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8BC1" w14:textId="77777777" w:rsidR="00BD6BBE" w:rsidRPr="007E0AB8" w:rsidRDefault="00BD6BBE">
      <w:pPr>
        <w:pStyle w:val="Title"/>
        <w:rPr>
          <w:szCs w:val="24"/>
        </w:rPr>
      </w:pPr>
      <w:bookmarkStart w:id="0" w:name="_GoBack"/>
      <w:bookmarkEnd w:id="0"/>
      <w:r w:rsidRPr="007E0AB8">
        <w:rPr>
          <w:szCs w:val="24"/>
        </w:rPr>
        <w:t>UNITED STATES</w:t>
      </w:r>
    </w:p>
    <w:p w14:paraId="0B224CAC" w14:textId="77777777" w:rsidR="00BD6BBE" w:rsidRPr="007E0AB8" w:rsidRDefault="00BD6BBE">
      <w:pPr>
        <w:pStyle w:val="Title"/>
        <w:rPr>
          <w:szCs w:val="24"/>
        </w:rPr>
      </w:pPr>
      <w:r w:rsidRPr="007E0AB8">
        <w:rPr>
          <w:szCs w:val="24"/>
        </w:rPr>
        <w:t>SECURITIES AND EXCHANGE COMMISSION</w:t>
      </w:r>
    </w:p>
    <w:p w14:paraId="3DE428FE" w14:textId="77777777" w:rsidR="00BD6BBE" w:rsidRPr="007E0AB8" w:rsidRDefault="00BD6BBE" w:rsidP="00361F10">
      <w:pPr>
        <w:pStyle w:val="Subtitle"/>
        <w:jc w:val="center"/>
        <w:rPr>
          <w:sz w:val="24"/>
          <w:szCs w:val="24"/>
        </w:rPr>
      </w:pPr>
      <w:r w:rsidRPr="007E0AB8">
        <w:rPr>
          <w:sz w:val="24"/>
          <w:szCs w:val="24"/>
        </w:rPr>
        <w:t>WASHINGTON,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1"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9201D8">
        <w:rPr>
          <w:b/>
          <w:sz w:val="24"/>
        </w:rPr>
      </w:r>
      <w:r w:rsidR="009201D8">
        <w:rPr>
          <w:b/>
          <w:sz w:val="24"/>
        </w:rPr>
        <w:fldChar w:fldCharType="separate"/>
      </w:r>
      <w:r>
        <w:rPr>
          <w:b/>
          <w:sz w:val="24"/>
        </w:rPr>
        <w:fldChar w:fldCharType="end"/>
      </w:r>
      <w:bookmarkEnd w:id="1"/>
      <w:r w:rsidR="00BD6BBE">
        <w:rPr>
          <w:b/>
          <w:sz w:val="24"/>
        </w:rPr>
        <w:tab/>
        <w:t>QUARTERLY REPORT PURSUANT TO SECTION 13 OR 15(d) OF THE SECURITIES EXCHANGE ACT OF 1934</w:t>
      </w:r>
    </w:p>
    <w:p w14:paraId="09E86E99" w14:textId="643DBF89" w:rsidR="00BD6BBE" w:rsidRPr="00F87A5B" w:rsidRDefault="00BD6BBE">
      <w:pPr>
        <w:tabs>
          <w:tab w:val="decimal" w:pos="9180"/>
        </w:tabs>
        <w:ind w:left="720" w:hanging="720"/>
        <w:rPr>
          <w:b/>
        </w:rPr>
      </w:pPr>
      <w:r w:rsidRPr="00F87A5B">
        <w:tab/>
        <w:t xml:space="preserve">For the quarterly period ended </w:t>
      </w:r>
      <w:r w:rsidR="00A40A2E">
        <w:t>September</w:t>
      </w:r>
      <w:r w:rsidR="00460775">
        <w:t xml:space="preserve"> 3</w:t>
      </w:r>
      <w:r w:rsidR="00920814">
        <w:t>0</w:t>
      </w:r>
      <w:r w:rsidR="00482106">
        <w:t>,</w:t>
      </w:r>
      <w:r w:rsidR="00460775">
        <w:t xml:space="preserve"> 201</w:t>
      </w:r>
      <w:r w:rsidR="00323150">
        <w:t>9</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2" w:name="Check3"/>
      <w:r w:rsidR="00361F10">
        <w:rPr>
          <w:b/>
          <w:sz w:val="24"/>
        </w:rPr>
        <w:instrText xml:space="preserve"> FORMCHECKBOX </w:instrText>
      </w:r>
      <w:r w:rsidR="009201D8">
        <w:rPr>
          <w:b/>
          <w:sz w:val="24"/>
        </w:rPr>
      </w:r>
      <w:r w:rsidR="009201D8">
        <w:rPr>
          <w:b/>
          <w:sz w:val="24"/>
        </w:rPr>
        <w:fldChar w:fldCharType="separate"/>
      </w:r>
      <w:r>
        <w:rPr>
          <w:b/>
          <w:sz w:val="24"/>
        </w:rPr>
        <w:fldChar w:fldCharType="end"/>
      </w:r>
      <w:bookmarkEnd w:id="2"/>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77777777" w:rsidR="00BD6BBE" w:rsidRDefault="0024386A" w:rsidP="00F87A5B">
      <w:pPr>
        <w:jc w:val="center"/>
        <w:rPr>
          <w:b/>
          <w:szCs w:val="22"/>
        </w:rPr>
      </w:pPr>
      <w:r>
        <w:rPr>
          <w:b/>
          <w:szCs w:val="22"/>
        </w:rPr>
        <w:t>Commission file number 000-52091</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7777777" w:rsidR="00BD6BBE" w:rsidRDefault="00BD6BBE">
      <w:pPr>
        <w:jc w:val="center"/>
        <w:rPr>
          <w:szCs w:val="22"/>
        </w:rPr>
      </w:pPr>
      <w:r>
        <w:rPr>
          <w:szCs w:val="22"/>
        </w:rPr>
        <w:t>(Exact name of Registrant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77777777" w:rsidR="00BD6BBE" w:rsidRPr="00F87A5B" w:rsidRDefault="00BD6BBE">
      <w:pPr>
        <w:tabs>
          <w:tab w:val="center" w:pos="2160"/>
          <w:tab w:val="center" w:pos="8100"/>
        </w:tabs>
      </w:pPr>
      <w:r w:rsidRPr="00F87A5B">
        <w:tab/>
        <w:t>(State or other jurisdiction</w:t>
      </w:r>
      <w:r w:rsidRPr="00F87A5B">
        <w:tab/>
        <w:t>(I.R.S. Employer Identification No.)</w:t>
      </w:r>
    </w:p>
    <w:p w14:paraId="53EA54C8" w14:textId="77777777" w:rsidR="00BD6BBE" w:rsidRPr="00F87A5B" w:rsidRDefault="00BD6BBE">
      <w:pPr>
        <w:tabs>
          <w:tab w:val="center" w:pos="2160"/>
          <w:tab w:val="decimal" w:pos="9180"/>
        </w:tabs>
      </w:pPr>
      <w:r w:rsidRPr="00F87A5B">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F87A5B" w:rsidRDefault="00BD6BBE">
      <w:pPr>
        <w:tabs>
          <w:tab w:val="center" w:pos="2160"/>
          <w:tab w:val="center" w:pos="8100"/>
        </w:tabs>
      </w:pPr>
      <w:r w:rsidRPr="00F87A5B">
        <w:tab/>
        <w:t>(Address of principal executive offices)</w:t>
      </w:r>
      <w:r w:rsidRPr="00F87A5B">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Default="006816F3">
      <w:pPr>
        <w:pStyle w:val="Heading5"/>
        <w:tabs>
          <w:tab w:val="clear" w:pos="2160"/>
          <w:tab w:val="clear" w:pos="7280"/>
          <w:tab w:val="clear" w:pos="9360"/>
        </w:tabs>
        <w:jc w:val="center"/>
        <w:rPr>
          <w:sz w:val="22"/>
          <w:szCs w:val="22"/>
        </w:rPr>
      </w:pPr>
      <w:r>
        <w:rPr>
          <w:sz w:val="22"/>
          <w:szCs w:val="22"/>
        </w:rPr>
        <w:t>(</w:t>
      </w:r>
      <w:r w:rsidR="00BD6BBE">
        <w:rPr>
          <w:sz w:val="22"/>
          <w:szCs w:val="22"/>
        </w:rPr>
        <w:t>Registrant</w:t>
      </w:r>
      <w:r w:rsidR="00B44A4C">
        <w:rPr>
          <w:sz w:val="22"/>
          <w:szCs w:val="22"/>
        </w:rPr>
        <w:t>’</w:t>
      </w:r>
      <w:r w:rsidR="00BD6BBE">
        <w:rPr>
          <w:sz w:val="22"/>
          <w:szCs w:val="22"/>
        </w:rPr>
        <w:t>s telephone number, including area code</w:t>
      </w:r>
      <w:r>
        <w:rPr>
          <w:b/>
          <w:sz w:val="22"/>
          <w:szCs w:val="22"/>
        </w:rPr>
        <w:t>)</w:t>
      </w:r>
    </w:p>
    <w:p w14:paraId="0E1A3266" w14:textId="42EFD0B4" w:rsidR="00BD6BBE" w:rsidRDefault="00BD6BBE">
      <w:pPr>
        <w:tabs>
          <w:tab w:val="decimal" w:pos="9180"/>
        </w:tabs>
        <w:jc w:val="both"/>
        <w:rPr>
          <w:szCs w:val="22"/>
        </w:rPr>
      </w:pPr>
    </w:p>
    <w:p w14:paraId="623EAF4D" w14:textId="2AEB32BD" w:rsidR="00457935" w:rsidRDefault="00457935" w:rsidP="00457935">
      <w:pPr>
        <w:tabs>
          <w:tab w:val="decimal" w:pos="9180"/>
        </w:tabs>
        <w:rPr>
          <w:szCs w:val="22"/>
        </w:rPr>
      </w:pPr>
      <w:r>
        <w:rPr>
          <w:szCs w:val="22"/>
        </w:rPr>
        <w:t>Securities registered pursuant to Section 12(b) of the Act:</w:t>
      </w:r>
      <w:r w:rsidR="00590413">
        <w:rPr>
          <w:szCs w:val="22"/>
        </w:rPr>
        <w:t xml:space="preserve">  None</w:t>
      </w:r>
    </w:p>
    <w:p w14:paraId="53C907D7" w14:textId="77777777" w:rsidR="00457935" w:rsidRDefault="00457935">
      <w:pPr>
        <w:tabs>
          <w:tab w:val="decimal" w:pos="9180"/>
        </w:tabs>
        <w:jc w:val="both"/>
      </w:pPr>
    </w:p>
    <w:p w14:paraId="54F24CC6" w14:textId="4DCD3076"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3" w:name="Check4"/>
      <w:r w:rsidR="000D7A76">
        <w:fldChar w:fldCharType="begin">
          <w:ffData>
            <w:name w:val="Check4"/>
            <w:enabled/>
            <w:calcOnExit w:val="0"/>
            <w:checkBox>
              <w:sizeAuto/>
              <w:default w:val="1"/>
            </w:checkBox>
          </w:ffData>
        </w:fldChar>
      </w:r>
      <w:r w:rsidR="00361F10">
        <w:instrText xml:space="preserve"> FORMCHECKBOX </w:instrText>
      </w:r>
      <w:r w:rsidR="009201D8">
        <w:fldChar w:fldCharType="separate"/>
      </w:r>
      <w:r w:rsidR="000D7A76">
        <w:fldChar w:fldCharType="end"/>
      </w:r>
      <w:bookmarkEnd w:id="3"/>
      <w:r w:rsidRPr="00F87A5B">
        <w:t xml:space="preserve"> </w:t>
      </w:r>
      <w:r w:rsidR="00F87A5B">
        <w:t xml:space="preserve">   No </w:t>
      </w:r>
      <w:r w:rsidR="000D7A76">
        <w:fldChar w:fldCharType="begin">
          <w:ffData>
            <w:name w:val="Check5"/>
            <w:enabled/>
            <w:calcOnExit w:val="0"/>
            <w:checkBox>
              <w:sizeAuto/>
              <w:default w:val="0"/>
            </w:checkBox>
          </w:ffData>
        </w:fldChar>
      </w:r>
      <w:bookmarkStart w:id="4" w:name="Check5"/>
      <w:r w:rsidR="00361F10">
        <w:instrText xml:space="preserve"> FORMCHECKBOX </w:instrText>
      </w:r>
      <w:r w:rsidR="009201D8">
        <w:fldChar w:fldCharType="separate"/>
      </w:r>
      <w:r w:rsidR="000D7A76">
        <w:fldChar w:fldCharType="end"/>
      </w:r>
      <w:bookmarkEnd w:id="4"/>
    </w:p>
    <w:p w14:paraId="6E78267D" w14:textId="77777777" w:rsidR="004E11CB" w:rsidRDefault="004E11CB" w:rsidP="004E11CB">
      <w:pPr>
        <w:tabs>
          <w:tab w:val="decimal" w:pos="9180"/>
        </w:tabs>
        <w:jc w:val="both"/>
      </w:pPr>
    </w:p>
    <w:p w14:paraId="32E8EF75" w14:textId="7AD499E7"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9201D8">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9201D8">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Indicate by check mark whether the registrant is a large accelerated filer, an accelerated filer, a non</w:t>
      </w:r>
      <w:r>
        <w:noBreakHyphen/>
        <w:t>accelerated filer, smaller reporting company, or an emerging growth company.  See the definitions of “large accelerated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r w:rsidRPr="0072585E">
        <w:rPr>
          <w:color w:val="000000"/>
        </w:rPr>
        <w:t>Large accelerated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201D8">
        <w:rPr>
          <w:rFonts w:ascii="Wingdings" w:hAnsi="Wingdings" w:cs="Wingdings"/>
          <w:color w:val="000000"/>
          <w:sz w:val="18"/>
          <w:szCs w:val="18"/>
        </w:rPr>
      </w:r>
      <w:r w:rsidR="009201D8">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201D8">
        <w:rPr>
          <w:rFonts w:ascii="Wingdings" w:hAnsi="Wingdings" w:cs="Wingdings"/>
          <w:color w:val="000000"/>
          <w:sz w:val="18"/>
          <w:szCs w:val="18"/>
        </w:rPr>
      </w:r>
      <w:r w:rsidR="009201D8">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6A1064A9"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201D8">
        <w:rPr>
          <w:rFonts w:ascii="Wingdings" w:hAnsi="Wingdings" w:cs="Wingdings"/>
          <w:color w:val="000000"/>
          <w:sz w:val="18"/>
          <w:szCs w:val="18"/>
        </w:rPr>
      </w:r>
      <w:r w:rsidR="009201D8">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9201D8">
        <w:rPr>
          <w:rFonts w:ascii="Wingdings" w:hAnsi="Wingdings" w:cs="Wingdings"/>
          <w:color w:val="000000"/>
          <w:sz w:val="18"/>
          <w:szCs w:val="18"/>
        </w:rPr>
      </w:r>
      <w:r w:rsidR="009201D8">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6E7907ED"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fldChar w:fldCharType="begin">
          <w:ffData>
            <w:name w:val="Check4"/>
            <w:enabled/>
            <w:calcOnExit w:val="0"/>
            <w:checkBox>
              <w:sizeAuto/>
              <w:default w:val="1"/>
            </w:checkBox>
          </w:ffData>
        </w:fldChar>
      </w:r>
      <w:r>
        <w:instrText xml:space="preserve"> FORMCHECKBOX </w:instrText>
      </w:r>
      <w:r w:rsidR="009201D8">
        <w:fldChar w:fldCharType="separate"/>
      </w:r>
      <w: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201D8">
        <w:rPr>
          <w:rFonts w:ascii="Wingdings" w:hAnsi="Wingdings" w:cs="Wingdings"/>
          <w:color w:val="000000"/>
          <w:sz w:val="18"/>
          <w:szCs w:val="18"/>
        </w:rPr>
      </w:r>
      <w:r w:rsidR="009201D8">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Pr="00A52082" w:rsidRDefault="0094630A" w:rsidP="0094630A">
      <w:pPr>
        <w:tabs>
          <w:tab w:val="decimal" w:pos="7470"/>
        </w:tabs>
        <w:jc w:val="both"/>
      </w:pPr>
      <w:r w:rsidRPr="00F87A5B">
        <w:t xml:space="preserve">Indicate by </w:t>
      </w:r>
      <w:r w:rsidRPr="00A52082">
        <w:t xml:space="preserve">check mark whether the registrant is a shell company (as defined in </w:t>
      </w:r>
      <w:r w:rsidR="00F87A5B" w:rsidRPr="00A52082">
        <w:t>Rule 12b-2 of the Exchange Act):</w:t>
      </w:r>
    </w:p>
    <w:p w14:paraId="0A09CEC0" w14:textId="77777777" w:rsidR="0094630A" w:rsidRPr="00A52082" w:rsidRDefault="0072585E" w:rsidP="0094630A">
      <w:pPr>
        <w:tabs>
          <w:tab w:val="decimal" w:pos="7470"/>
        </w:tabs>
        <w:jc w:val="both"/>
      </w:pPr>
      <w:r w:rsidRPr="00A52082">
        <w:t xml:space="preserve">Yes </w:t>
      </w:r>
      <w:r w:rsidR="000D7A76" w:rsidRPr="00A52082">
        <w:rPr>
          <w:rFonts w:ascii="Wingdings" w:hAnsi="Wingdings" w:cs="Wingdings"/>
          <w:color w:val="000000"/>
          <w:sz w:val="18"/>
          <w:szCs w:val="18"/>
        </w:rPr>
        <w:fldChar w:fldCharType="begin">
          <w:ffData>
            <w:name w:val="Check1"/>
            <w:enabled/>
            <w:calcOnExit w:val="0"/>
            <w:checkBox>
              <w:sizeAuto/>
              <w:default w:val="0"/>
            </w:checkBox>
          </w:ffData>
        </w:fldChar>
      </w:r>
      <w:r w:rsidR="001C3695" w:rsidRPr="00A52082">
        <w:rPr>
          <w:rFonts w:ascii="Wingdings" w:hAnsi="Wingdings" w:cs="Wingdings"/>
          <w:color w:val="000000"/>
          <w:sz w:val="18"/>
          <w:szCs w:val="18"/>
        </w:rPr>
        <w:instrText xml:space="preserve"> FORMCHECKBOX </w:instrText>
      </w:r>
      <w:r w:rsidR="009201D8">
        <w:rPr>
          <w:rFonts w:ascii="Wingdings" w:hAnsi="Wingdings" w:cs="Wingdings"/>
          <w:color w:val="000000"/>
          <w:sz w:val="18"/>
          <w:szCs w:val="18"/>
        </w:rPr>
      </w:r>
      <w:r w:rsidR="009201D8">
        <w:rPr>
          <w:rFonts w:ascii="Wingdings" w:hAnsi="Wingdings" w:cs="Wingdings"/>
          <w:color w:val="000000"/>
          <w:sz w:val="18"/>
          <w:szCs w:val="18"/>
        </w:rPr>
        <w:fldChar w:fldCharType="separate"/>
      </w:r>
      <w:r w:rsidR="000D7A76" w:rsidRPr="00A52082">
        <w:rPr>
          <w:rFonts w:ascii="Wingdings" w:hAnsi="Wingdings" w:cs="Wingdings"/>
          <w:color w:val="000000"/>
          <w:sz w:val="18"/>
          <w:szCs w:val="18"/>
        </w:rPr>
        <w:fldChar w:fldCharType="end"/>
      </w:r>
      <w:r w:rsidR="0094630A" w:rsidRPr="00A52082">
        <w:t xml:space="preserve"> </w:t>
      </w:r>
      <w:r w:rsidR="00F87A5B" w:rsidRPr="00A52082">
        <w:t xml:space="preserve">   </w:t>
      </w:r>
      <w:r w:rsidR="0094630A" w:rsidRPr="00A52082">
        <w:t xml:space="preserve">No </w:t>
      </w:r>
      <w:r w:rsidR="000D7A76" w:rsidRPr="00A52082">
        <w:rPr>
          <w:rFonts w:ascii="Wingdings" w:hAnsi="Wingdings" w:cs="Wingdings"/>
          <w:color w:val="000000"/>
          <w:sz w:val="18"/>
          <w:szCs w:val="18"/>
        </w:rPr>
        <w:fldChar w:fldCharType="begin">
          <w:ffData>
            <w:name w:val=""/>
            <w:enabled/>
            <w:calcOnExit w:val="0"/>
            <w:checkBox>
              <w:sizeAuto/>
              <w:default w:val="1"/>
            </w:checkBox>
          </w:ffData>
        </w:fldChar>
      </w:r>
      <w:r w:rsidR="001C3695" w:rsidRPr="00A52082">
        <w:rPr>
          <w:rFonts w:ascii="Wingdings" w:hAnsi="Wingdings" w:cs="Wingdings"/>
          <w:color w:val="000000"/>
          <w:sz w:val="18"/>
          <w:szCs w:val="18"/>
        </w:rPr>
        <w:instrText xml:space="preserve"> FORMCHECKBOX </w:instrText>
      </w:r>
      <w:r w:rsidR="009201D8">
        <w:rPr>
          <w:rFonts w:ascii="Wingdings" w:hAnsi="Wingdings" w:cs="Wingdings"/>
          <w:color w:val="000000"/>
          <w:sz w:val="18"/>
          <w:szCs w:val="18"/>
        </w:rPr>
      </w:r>
      <w:r w:rsidR="009201D8">
        <w:rPr>
          <w:rFonts w:ascii="Wingdings" w:hAnsi="Wingdings" w:cs="Wingdings"/>
          <w:color w:val="000000"/>
          <w:sz w:val="18"/>
          <w:szCs w:val="18"/>
        </w:rPr>
        <w:fldChar w:fldCharType="separate"/>
      </w:r>
      <w:r w:rsidR="000D7A76" w:rsidRPr="00A52082">
        <w:rPr>
          <w:rFonts w:ascii="Wingdings" w:hAnsi="Wingdings" w:cs="Wingdings"/>
          <w:color w:val="000000"/>
          <w:sz w:val="18"/>
          <w:szCs w:val="18"/>
        </w:rPr>
        <w:fldChar w:fldCharType="end"/>
      </w:r>
    </w:p>
    <w:p w14:paraId="12AC5872" w14:textId="77777777" w:rsidR="000128C9" w:rsidRPr="00A52082" w:rsidRDefault="000128C9" w:rsidP="000128C9">
      <w:pPr>
        <w:tabs>
          <w:tab w:val="decimal" w:pos="9180"/>
        </w:tabs>
        <w:jc w:val="both"/>
        <w:rPr>
          <w:szCs w:val="22"/>
        </w:rPr>
      </w:pPr>
    </w:p>
    <w:p w14:paraId="71837A23" w14:textId="4BBFC768" w:rsidR="0094630A" w:rsidRDefault="0094630A">
      <w:pPr>
        <w:tabs>
          <w:tab w:val="decimal" w:pos="9180"/>
        </w:tabs>
        <w:jc w:val="both"/>
      </w:pPr>
      <w:r w:rsidRPr="00A52082">
        <w:t>As o</w:t>
      </w:r>
      <w:r w:rsidR="009B114A" w:rsidRPr="00A52082">
        <w:t xml:space="preserve">f </w:t>
      </w:r>
      <w:r w:rsidR="00A40A2E" w:rsidRPr="00A52082">
        <w:t>November</w:t>
      </w:r>
      <w:r w:rsidR="001F0568" w:rsidRPr="00A52082">
        <w:t xml:space="preserve"> </w:t>
      </w:r>
      <w:r w:rsidR="00C1516A">
        <w:t>6</w:t>
      </w:r>
      <w:r w:rsidR="009B20E1" w:rsidRPr="00A52082">
        <w:t>,</w:t>
      </w:r>
      <w:r w:rsidR="00460775" w:rsidRPr="00A52082">
        <w:t xml:space="preserve"> 201</w:t>
      </w:r>
      <w:r w:rsidR="00323150" w:rsidRPr="00A52082">
        <w:t>9</w:t>
      </w:r>
      <w:r w:rsidR="00F75588" w:rsidRPr="00A52082">
        <w:t>,</w:t>
      </w:r>
      <w:r w:rsidR="00B9332C" w:rsidRPr="00A52082">
        <w:t xml:space="preserve"> </w:t>
      </w:r>
      <w:r w:rsidR="00C1516A">
        <w:t>426,306,328</w:t>
      </w:r>
      <w:r w:rsidR="00DC3FAF" w:rsidRPr="00A52082">
        <w:t xml:space="preserve"> </w:t>
      </w:r>
      <w:r w:rsidRPr="00A52082">
        <w:t>shares</w:t>
      </w:r>
      <w:r w:rsidRPr="003D6A75">
        <w:t xml:space="preserve">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52389860" w14:textId="77777777" w:rsidR="00644156" w:rsidRPr="0058175D" w:rsidRDefault="00644156" w:rsidP="00277F5A">
      <w:pPr>
        <w:tabs>
          <w:tab w:val="center" w:pos="9900"/>
        </w:tabs>
        <w:rPr>
          <w:b/>
        </w:rPr>
      </w:pPr>
    </w:p>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61FD8DA3" w:rsidR="00482106" w:rsidRPr="000371CC" w:rsidRDefault="00482106" w:rsidP="004E3374">
      <w:pPr>
        <w:tabs>
          <w:tab w:val="right" w:pos="10080"/>
        </w:tabs>
        <w:ind w:left="900"/>
      </w:pPr>
      <w:r>
        <w:t xml:space="preserve">Condensed </w:t>
      </w:r>
      <w:r w:rsidRPr="000371CC">
        <w:t xml:space="preserve">Consolidated Balance Sheets as of </w:t>
      </w:r>
      <w:r w:rsidR="00A40A2E">
        <w:t>September</w:t>
      </w:r>
      <w:r w:rsidR="00460775">
        <w:t xml:space="preserve"> 3</w:t>
      </w:r>
      <w:r w:rsidR="00914613">
        <w:t>0</w:t>
      </w:r>
      <w:r w:rsidR="00B35C97">
        <w:t xml:space="preserve">, </w:t>
      </w:r>
      <w:r w:rsidR="00460775">
        <w:t>201</w:t>
      </w:r>
      <w:r w:rsidR="00323150">
        <w:t>9</w:t>
      </w:r>
      <w:r w:rsidR="00ED6B2C">
        <w:t xml:space="preserve"> (unaudited)</w:t>
      </w:r>
      <w:r w:rsidR="00D74F1F">
        <w:t xml:space="preserve"> </w:t>
      </w:r>
      <w:r w:rsidR="00460775">
        <w:t>and December 31, 201</w:t>
      </w:r>
      <w:r w:rsidR="00323150">
        <w:t>8</w:t>
      </w:r>
      <w:r w:rsidRPr="000371CC">
        <w:tab/>
        <w:t>1</w:t>
      </w:r>
    </w:p>
    <w:p w14:paraId="323AB257" w14:textId="0F3C57FB"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w:t>
      </w:r>
      <w:r w:rsidR="00914613">
        <w:t xml:space="preserve">and </w:t>
      </w:r>
      <w:r w:rsidR="00A40A2E">
        <w:t>nine</w:t>
      </w:r>
      <w:r w:rsidR="00914613">
        <w:t xml:space="preserve">-month </w:t>
      </w:r>
      <w:r w:rsidR="00483E00">
        <w:t xml:space="preserve">periods </w:t>
      </w:r>
      <w:r w:rsidR="001F0568">
        <w:t>e</w:t>
      </w:r>
      <w:r w:rsidR="00A12E9E">
        <w:t>nded</w:t>
      </w:r>
    </w:p>
    <w:p w14:paraId="10D88DBF" w14:textId="59419BB3" w:rsidR="00482106" w:rsidRDefault="004E3374" w:rsidP="004E3374">
      <w:pPr>
        <w:tabs>
          <w:tab w:val="right" w:pos="10080"/>
        </w:tabs>
        <w:ind w:left="900"/>
      </w:pPr>
      <w:r>
        <w:t xml:space="preserve">   </w:t>
      </w:r>
      <w:r w:rsidR="00A40A2E">
        <w:t>September</w:t>
      </w:r>
      <w:r w:rsidR="0063349C">
        <w:t xml:space="preserve"> </w:t>
      </w:r>
      <w:r w:rsidR="00460775">
        <w:t>3</w:t>
      </w:r>
      <w:r w:rsidR="00914613">
        <w:t>0</w:t>
      </w:r>
      <w:r w:rsidR="00460775">
        <w:t>, 201</w:t>
      </w:r>
      <w:r w:rsidR="00323150">
        <w:t>9</w:t>
      </w:r>
      <w:r w:rsidR="00731C61">
        <w:t xml:space="preserve"> </w:t>
      </w:r>
      <w:r w:rsidR="00460775">
        <w:t>and 201</w:t>
      </w:r>
      <w:r w:rsidR="00323150">
        <w:t>8</w:t>
      </w:r>
      <w:r w:rsidR="00CC10F7">
        <w:t xml:space="preserve"> (unaudited)</w:t>
      </w:r>
      <w:r w:rsidR="00482106" w:rsidRPr="000371CC">
        <w:tab/>
      </w:r>
      <w:r w:rsidR="009E5F38">
        <w:t>2</w:t>
      </w:r>
    </w:p>
    <w:p w14:paraId="60ACCB41" w14:textId="59B126A9" w:rsidR="00487CAB" w:rsidRDefault="00487CAB" w:rsidP="004E3374">
      <w:pPr>
        <w:tabs>
          <w:tab w:val="right" w:pos="10080"/>
        </w:tabs>
        <w:ind w:left="900"/>
      </w:pPr>
      <w:r>
        <w:t>Condensed Consolidated Statements of Changes in Stockholders’ Equity (Deficiency)</w:t>
      </w:r>
    </w:p>
    <w:p w14:paraId="14FC8BBF" w14:textId="3BBB1CB1" w:rsidR="00487CAB" w:rsidRPr="000371CC" w:rsidRDefault="00487CAB" w:rsidP="00117D5D">
      <w:pPr>
        <w:tabs>
          <w:tab w:val="right" w:pos="10080"/>
        </w:tabs>
        <w:ind w:left="900"/>
      </w:pPr>
      <w:r>
        <w:t xml:space="preserve">   for the </w:t>
      </w:r>
      <w:r w:rsidR="00053143">
        <w:t xml:space="preserve">three-month and </w:t>
      </w:r>
      <w:r w:rsidR="00A40A2E">
        <w:t>nine</w:t>
      </w:r>
      <w:r>
        <w:t xml:space="preserve">-month periods ended </w:t>
      </w:r>
      <w:r w:rsidR="00A40A2E">
        <w:t>September</w:t>
      </w:r>
      <w:r>
        <w:t xml:space="preserve"> 3</w:t>
      </w:r>
      <w:r w:rsidR="00914613">
        <w:t>0</w:t>
      </w:r>
      <w:r>
        <w:t>, 2019 and 2018 (unaudited)</w:t>
      </w:r>
      <w:r>
        <w:tab/>
        <w:t>3</w:t>
      </w:r>
    </w:p>
    <w:p w14:paraId="5EC29F91" w14:textId="69254D02" w:rsidR="004E3374" w:rsidRDefault="00482106" w:rsidP="004E3374">
      <w:pPr>
        <w:tabs>
          <w:tab w:val="right" w:pos="10080"/>
        </w:tabs>
        <w:ind w:left="900"/>
      </w:pPr>
      <w:r>
        <w:t xml:space="preserve">Condensed </w:t>
      </w:r>
      <w:r w:rsidRPr="000371CC">
        <w:t xml:space="preserve">Consolidated Statements of Cash Flows for the </w:t>
      </w:r>
      <w:r w:rsidR="00A40A2E">
        <w:t>nine</w:t>
      </w:r>
      <w:r w:rsidR="00CC2136">
        <w:t>-</w:t>
      </w:r>
      <w:r w:rsidR="00F758D1">
        <w:t xml:space="preserve">month </w:t>
      </w:r>
      <w:r w:rsidR="00483E00">
        <w:t xml:space="preserve">periods </w:t>
      </w:r>
      <w:r w:rsidR="00731D11">
        <w:t>ended</w:t>
      </w:r>
    </w:p>
    <w:p w14:paraId="6B706CF1" w14:textId="5546A60A" w:rsidR="00482106" w:rsidRPr="000371CC" w:rsidRDefault="004E3374" w:rsidP="004E3374">
      <w:pPr>
        <w:tabs>
          <w:tab w:val="right" w:pos="10080"/>
        </w:tabs>
        <w:ind w:left="900"/>
      </w:pPr>
      <w:r>
        <w:t xml:space="preserve">   </w:t>
      </w:r>
      <w:r w:rsidR="00A40A2E">
        <w:t>September</w:t>
      </w:r>
      <w:r w:rsidR="0063349C">
        <w:t xml:space="preserve"> </w:t>
      </w:r>
      <w:r w:rsidR="00460775">
        <w:t>3</w:t>
      </w:r>
      <w:r w:rsidR="00914613">
        <w:t>0</w:t>
      </w:r>
      <w:r w:rsidR="00823D2D">
        <w:t xml:space="preserve">, </w:t>
      </w:r>
      <w:r w:rsidR="00460775">
        <w:t>201</w:t>
      </w:r>
      <w:r w:rsidR="00323150">
        <w:t>9</w:t>
      </w:r>
      <w:r>
        <w:t xml:space="preserve"> </w:t>
      </w:r>
      <w:r w:rsidR="00460775">
        <w:t>and 201</w:t>
      </w:r>
      <w:r w:rsidR="00323150">
        <w:t>8</w:t>
      </w:r>
      <w:r w:rsidR="00CC10F7">
        <w:t xml:space="preserve"> (unaudited)</w:t>
      </w:r>
      <w:r w:rsidR="00482106">
        <w:tab/>
      </w:r>
      <w:r w:rsidR="009E6DE3">
        <w:t>5</w:t>
      </w:r>
    </w:p>
    <w:p w14:paraId="53104FA3" w14:textId="0A016292"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9E6DE3">
        <w:t>6</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153E04F7"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487CAB">
        <w:t>1</w:t>
      </w:r>
      <w:r w:rsidR="009E6DE3">
        <w:t>2</w:t>
      </w:r>
    </w:p>
    <w:p w14:paraId="04727900" w14:textId="77777777" w:rsidR="00482106" w:rsidRDefault="00482106" w:rsidP="004E3374">
      <w:pPr>
        <w:tabs>
          <w:tab w:val="left" w:pos="900"/>
          <w:tab w:val="right" w:pos="10080"/>
        </w:tabs>
      </w:pPr>
    </w:p>
    <w:p w14:paraId="3698A973" w14:textId="540F7297" w:rsidR="00482106" w:rsidRPr="000371CC" w:rsidRDefault="00482106" w:rsidP="004E3374">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175A7C">
        <w:t>1</w:t>
      </w:r>
      <w:r w:rsidR="009E6DE3">
        <w:t>7</w:t>
      </w:r>
    </w:p>
    <w:p w14:paraId="19A98050" w14:textId="77777777" w:rsidR="00482106" w:rsidRPr="000371CC" w:rsidRDefault="00482106" w:rsidP="004E3374">
      <w:pPr>
        <w:tabs>
          <w:tab w:val="left" w:pos="900"/>
          <w:tab w:val="right" w:pos="10080"/>
        </w:tabs>
        <w:ind w:firstLine="10"/>
      </w:pPr>
    </w:p>
    <w:p w14:paraId="16AC473F" w14:textId="344E25D9"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9E6DE3">
        <w:t>7</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147B4893"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9E6DE3">
        <w:t>8</w:t>
      </w:r>
    </w:p>
    <w:p w14:paraId="073F6D6B" w14:textId="77777777" w:rsidR="00482106" w:rsidRPr="000371CC" w:rsidRDefault="00482106" w:rsidP="004E3374">
      <w:pPr>
        <w:tabs>
          <w:tab w:val="left" w:pos="900"/>
          <w:tab w:val="right" w:pos="10200"/>
        </w:tabs>
      </w:pPr>
    </w:p>
    <w:p w14:paraId="27555486" w14:textId="6E6FEE03"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9E6DE3">
        <w:t>8</w:t>
      </w:r>
    </w:p>
    <w:p w14:paraId="0F986A6E" w14:textId="77777777" w:rsidR="00482106" w:rsidRPr="000371CC" w:rsidRDefault="00482106" w:rsidP="004E3374">
      <w:pPr>
        <w:tabs>
          <w:tab w:val="left" w:pos="900"/>
          <w:tab w:val="right" w:pos="10080"/>
          <w:tab w:val="right" w:pos="10200"/>
        </w:tabs>
      </w:pPr>
    </w:p>
    <w:p w14:paraId="6537B7F4" w14:textId="5779C171"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9E6DE3">
        <w:t>8</w:t>
      </w:r>
    </w:p>
    <w:p w14:paraId="2598FC1C" w14:textId="77777777" w:rsidR="00482106" w:rsidRPr="000371CC" w:rsidRDefault="00482106" w:rsidP="004E3374">
      <w:pPr>
        <w:tabs>
          <w:tab w:val="left" w:pos="900"/>
          <w:tab w:val="right" w:pos="10080"/>
          <w:tab w:val="right" w:pos="10200"/>
        </w:tabs>
      </w:pPr>
    </w:p>
    <w:p w14:paraId="790C8A4C" w14:textId="73BD36DD"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9E6DE3">
        <w:t>8</w:t>
      </w:r>
    </w:p>
    <w:p w14:paraId="7122746D" w14:textId="77777777" w:rsidR="00BF7DB7" w:rsidRDefault="00BF7DB7" w:rsidP="004E3374">
      <w:pPr>
        <w:tabs>
          <w:tab w:val="left" w:pos="900"/>
          <w:tab w:val="right" w:pos="10080"/>
          <w:tab w:val="right" w:pos="10200"/>
        </w:tabs>
      </w:pPr>
    </w:p>
    <w:p w14:paraId="51D96C50" w14:textId="2EDB8C7C"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9E6DE3">
        <w:t>8</w:t>
      </w:r>
    </w:p>
    <w:p w14:paraId="1D1D1680" w14:textId="77777777" w:rsidR="00482106" w:rsidRPr="000371CC" w:rsidRDefault="00482106" w:rsidP="004E3374">
      <w:pPr>
        <w:tabs>
          <w:tab w:val="left" w:pos="900"/>
          <w:tab w:val="right" w:pos="10080"/>
          <w:tab w:val="right" w:pos="10200"/>
        </w:tabs>
      </w:pPr>
    </w:p>
    <w:p w14:paraId="7FF4F361" w14:textId="729CAFCD"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9E6DE3">
        <w:t>8</w:t>
      </w:r>
    </w:p>
    <w:p w14:paraId="7329C9FE" w14:textId="77777777" w:rsidR="00482106" w:rsidRPr="000371CC" w:rsidRDefault="00482106" w:rsidP="004E3374">
      <w:pPr>
        <w:tabs>
          <w:tab w:val="left" w:pos="900"/>
          <w:tab w:val="right" w:pos="10080"/>
          <w:tab w:val="right" w:pos="10200"/>
        </w:tabs>
      </w:pPr>
    </w:p>
    <w:p w14:paraId="25371BEC" w14:textId="3088B514"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9E6DE3">
        <w:t>9</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408BB8F0"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9E6DE3">
        <w:t>20</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68F34852" w14:textId="77777777" w:rsidR="00A12856" w:rsidRPr="001C3695" w:rsidRDefault="00A12856" w:rsidP="00A12856">
      <w:pPr>
        <w:pStyle w:val="Heading1"/>
        <w:numPr>
          <w:ilvl w:val="0"/>
          <w:numId w:val="0"/>
        </w:numPr>
      </w:pPr>
      <w:r>
        <w:lastRenderedPageBreak/>
        <w:t>Part I -- F</w:t>
      </w:r>
      <w:r w:rsidRPr="001C3695">
        <w:t>INANCIAL INFORMATION</w:t>
      </w:r>
    </w:p>
    <w:p w14:paraId="582A6C39" w14:textId="77777777" w:rsidR="00A12856" w:rsidRPr="008C2AC9" w:rsidRDefault="00A12856" w:rsidP="00A12856"/>
    <w:p w14:paraId="6E8698E7" w14:textId="77777777" w:rsidR="00A12856" w:rsidRDefault="00A12856" w:rsidP="00A12856">
      <w:pPr>
        <w:pStyle w:val="Heading2"/>
        <w:numPr>
          <w:ilvl w:val="0"/>
          <w:numId w:val="0"/>
        </w:numPr>
        <w:tabs>
          <w:tab w:val="left" w:pos="1080"/>
        </w:tabs>
        <w:spacing w:after="0"/>
      </w:pPr>
      <w:r w:rsidRPr="008C2AC9">
        <w:rPr>
          <w:u w:val="none"/>
        </w:rPr>
        <w:t>Item 1</w:t>
      </w:r>
      <w:r w:rsidRPr="008C2AC9">
        <w:rPr>
          <w:u w:val="none"/>
        </w:rPr>
        <w:tab/>
      </w:r>
      <w:r w:rsidRPr="001C3695">
        <w:t>Financial Statements</w:t>
      </w:r>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A12856" w:rsidRPr="00356734" w14:paraId="1675C5F3" w14:textId="77777777" w:rsidTr="00A12856">
        <w:trPr>
          <w:cantSplit/>
          <w:trHeight w:val="230"/>
        </w:trPr>
        <w:tc>
          <w:tcPr>
            <w:tcW w:w="10080" w:type="dxa"/>
            <w:gridSpan w:val="7"/>
          </w:tcPr>
          <w:p w14:paraId="3CA4B9B9" w14:textId="77777777" w:rsidR="00A12856" w:rsidRPr="00585725" w:rsidRDefault="00A12856" w:rsidP="00A12856">
            <w:pPr>
              <w:pStyle w:val="Heading8"/>
              <w:rPr>
                <w:i w:val="0"/>
                <w:sz w:val="20"/>
                <w:u w:val="none"/>
              </w:rPr>
            </w:pPr>
            <w:r>
              <w:rPr>
                <w:i w:val="0"/>
                <w:sz w:val="20"/>
                <w:u w:val="none"/>
              </w:rPr>
              <w:t>GEOVAX LABS, INC.</w:t>
            </w:r>
          </w:p>
        </w:tc>
      </w:tr>
      <w:tr w:rsidR="00A12856" w:rsidRPr="00356734" w14:paraId="5A3FE55B" w14:textId="77777777" w:rsidTr="00A12856">
        <w:trPr>
          <w:cantSplit/>
          <w:trHeight w:val="230"/>
        </w:trPr>
        <w:tc>
          <w:tcPr>
            <w:tcW w:w="10080" w:type="dxa"/>
            <w:gridSpan w:val="7"/>
          </w:tcPr>
          <w:p w14:paraId="3F37C9A7" w14:textId="77777777" w:rsidR="00A12856" w:rsidRPr="00356734" w:rsidRDefault="00A12856" w:rsidP="00A12856">
            <w:pPr>
              <w:pStyle w:val="Heading8"/>
              <w:rPr>
                <w:i w:val="0"/>
                <w:sz w:val="20"/>
                <w:u w:val="none"/>
              </w:rPr>
            </w:pPr>
            <w:r w:rsidRPr="00356734">
              <w:rPr>
                <w:i w:val="0"/>
                <w:sz w:val="20"/>
                <w:u w:val="none"/>
              </w:rPr>
              <w:t>CONDENSED CONSOLIDATED BALANCE SHEETS</w:t>
            </w:r>
          </w:p>
        </w:tc>
      </w:tr>
      <w:tr w:rsidR="00A12856" w:rsidRPr="00356734" w14:paraId="44EA91A2" w14:textId="77777777" w:rsidTr="00A12856">
        <w:trPr>
          <w:trHeight w:hRule="exact" w:val="230"/>
        </w:trPr>
        <w:tc>
          <w:tcPr>
            <w:tcW w:w="305" w:type="dxa"/>
          </w:tcPr>
          <w:p w14:paraId="604EBE28" w14:textId="77777777" w:rsidR="00A12856" w:rsidRPr="00356734" w:rsidRDefault="00A12856" w:rsidP="00A12856">
            <w:pPr>
              <w:jc w:val="right"/>
              <w:rPr>
                <w:snapToGrid w:val="0"/>
                <w:color w:val="000000"/>
              </w:rPr>
            </w:pPr>
          </w:p>
        </w:tc>
        <w:tc>
          <w:tcPr>
            <w:tcW w:w="302" w:type="dxa"/>
          </w:tcPr>
          <w:p w14:paraId="47E1E62A" w14:textId="77777777" w:rsidR="00A12856" w:rsidRPr="00356734" w:rsidRDefault="00A12856" w:rsidP="00A12856">
            <w:pPr>
              <w:jc w:val="right"/>
              <w:rPr>
                <w:snapToGrid w:val="0"/>
                <w:color w:val="000000"/>
              </w:rPr>
            </w:pPr>
          </w:p>
        </w:tc>
        <w:tc>
          <w:tcPr>
            <w:tcW w:w="5513" w:type="dxa"/>
          </w:tcPr>
          <w:p w14:paraId="4047A6BC" w14:textId="77777777" w:rsidR="00A12856" w:rsidRPr="00356734" w:rsidRDefault="00A12856" w:rsidP="00A12856">
            <w:pPr>
              <w:jc w:val="right"/>
              <w:rPr>
                <w:snapToGrid w:val="0"/>
                <w:color w:val="000000"/>
              </w:rPr>
            </w:pPr>
          </w:p>
        </w:tc>
        <w:tc>
          <w:tcPr>
            <w:tcW w:w="90" w:type="dxa"/>
          </w:tcPr>
          <w:p w14:paraId="17D44D18" w14:textId="77777777" w:rsidR="00A12856" w:rsidRPr="00356734" w:rsidRDefault="00A12856" w:rsidP="00A12856">
            <w:pPr>
              <w:jc w:val="right"/>
              <w:rPr>
                <w:snapToGrid w:val="0"/>
                <w:color w:val="000000"/>
              </w:rPr>
            </w:pPr>
          </w:p>
        </w:tc>
        <w:tc>
          <w:tcPr>
            <w:tcW w:w="3870" w:type="dxa"/>
            <w:gridSpan w:val="3"/>
          </w:tcPr>
          <w:p w14:paraId="469E608B" w14:textId="77777777" w:rsidR="00A12856" w:rsidRPr="00356734" w:rsidRDefault="00A12856" w:rsidP="00A12856">
            <w:pPr>
              <w:jc w:val="center"/>
              <w:rPr>
                <w:snapToGrid w:val="0"/>
                <w:color w:val="000000"/>
              </w:rPr>
            </w:pPr>
          </w:p>
        </w:tc>
      </w:tr>
      <w:tr w:rsidR="00A12856" w:rsidRPr="00356734" w14:paraId="128B71E5" w14:textId="77777777" w:rsidTr="00A12856">
        <w:trPr>
          <w:trHeight w:hRule="exact" w:val="230"/>
        </w:trPr>
        <w:tc>
          <w:tcPr>
            <w:tcW w:w="305" w:type="dxa"/>
          </w:tcPr>
          <w:p w14:paraId="75E1C539" w14:textId="77777777" w:rsidR="00A12856" w:rsidRPr="00356734" w:rsidRDefault="00A12856" w:rsidP="00A12856">
            <w:pPr>
              <w:jc w:val="right"/>
              <w:rPr>
                <w:snapToGrid w:val="0"/>
                <w:color w:val="000000"/>
              </w:rPr>
            </w:pPr>
          </w:p>
        </w:tc>
        <w:tc>
          <w:tcPr>
            <w:tcW w:w="302" w:type="dxa"/>
          </w:tcPr>
          <w:p w14:paraId="7157FF95" w14:textId="77777777" w:rsidR="00A12856" w:rsidRPr="00356734" w:rsidRDefault="00A12856" w:rsidP="00A12856">
            <w:pPr>
              <w:jc w:val="right"/>
              <w:rPr>
                <w:snapToGrid w:val="0"/>
                <w:color w:val="000000"/>
              </w:rPr>
            </w:pPr>
          </w:p>
        </w:tc>
        <w:tc>
          <w:tcPr>
            <w:tcW w:w="5513" w:type="dxa"/>
          </w:tcPr>
          <w:p w14:paraId="57F4FC46" w14:textId="77777777" w:rsidR="00A12856" w:rsidRPr="00356734" w:rsidRDefault="00A12856" w:rsidP="00A12856">
            <w:pPr>
              <w:jc w:val="right"/>
              <w:rPr>
                <w:snapToGrid w:val="0"/>
                <w:color w:val="000000"/>
              </w:rPr>
            </w:pPr>
          </w:p>
        </w:tc>
        <w:tc>
          <w:tcPr>
            <w:tcW w:w="90" w:type="dxa"/>
          </w:tcPr>
          <w:p w14:paraId="6C7F0116" w14:textId="77777777" w:rsidR="00A12856" w:rsidRPr="00356734" w:rsidRDefault="00A12856" w:rsidP="00A12856">
            <w:pPr>
              <w:jc w:val="right"/>
              <w:rPr>
                <w:snapToGrid w:val="0"/>
                <w:color w:val="000000"/>
              </w:rPr>
            </w:pPr>
          </w:p>
        </w:tc>
        <w:tc>
          <w:tcPr>
            <w:tcW w:w="1710" w:type="dxa"/>
          </w:tcPr>
          <w:p w14:paraId="5F59AC44" w14:textId="30F6B5D2" w:rsidR="00A12856" w:rsidRPr="00356734" w:rsidRDefault="00A40A2E" w:rsidP="00A12856">
            <w:pPr>
              <w:jc w:val="center"/>
              <w:rPr>
                <w:snapToGrid w:val="0"/>
                <w:color w:val="000000"/>
              </w:rPr>
            </w:pPr>
            <w:r>
              <w:rPr>
                <w:snapToGrid w:val="0"/>
                <w:color w:val="000000"/>
              </w:rPr>
              <w:t>September</w:t>
            </w:r>
            <w:r w:rsidR="00A12856">
              <w:rPr>
                <w:snapToGrid w:val="0"/>
                <w:color w:val="000000"/>
              </w:rPr>
              <w:t xml:space="preserve"> 3</w:t>
            </w:r>
            <w:r w:rsidR="008E1B36">
              <w:rPr>
                <w:snapToGrid w:val="0"/>
                <w:color w:val="000000"/>
              </w:rPr>
              <w:t>0</w:t>
            </w:r>
            <w:r w:rsidR="00A12856">
              <w:rPr>
                <w:snapToGrid w:val="0"/>
                <w:color w:val="000000"/>
              </w:rPr>
              <w:t>,</w:t>
            </w:r>
          </w:p>
        </w:tc>
        <w:tc>
          <w:tcPr>
            <w:tcW w:w="270" w:type="dxa"/>
          </w:tcPr>
          <w:p w14:paraId="0E328F89" w14:textId="77777777" w:rsidR="00A12856" w:rsidRPr="00356734" w:rsidRDefault="00A12856" w:rsidP="00A12856">
            <w:pPr>
              <w:jc w:val="right"/>
              <w:rPr>
                <w:snapToGrid w:val="0"/>
                <w:color w:val="000000"/>
              </w:rPr>
            </w:pPr>
          </w:p>
        </w:tc>
        <w:tc>
          <w:tcPr>
            <w:tcW w:w="1890" w:type="dxa"/>
          </w:tcPr>
          <w:p w14:paraId="44B944A6" w14:textId="77777777" w:rsidR="00A12856" w:rsidRPr="00356734" w:rsidRDefault="00A12856" w:rsidP="00A12856">
            <w:pPr>
              <w:jc w:val="center"/>
              <w:rPr>
                <w:snapToGrid w:val="0"/>
                <w:color w:val="000000"/>
              </w:rPr>
            </w:pPr>
            <w:r w:rsidRPr="00356734">
              <w:rPr>
                <w:snapToGrid w:val="0"/>
                <w:color w:val="000000"/>
              </w:rPr>
              <w:t>December 31,</w:t>
            </w:r>
          </w:p>
        </w:tc>
      </w:tr>
      <w:tr w:rsidR="00A12856" w:rsidRPr="00356734" w14:paraId="44AC2396" w14:textId="77777777" w:rsidTr="00A12856">
        <w:trPr>
          <w:trHeight w:hRule="exact" w:val="230"/>
        </w:trPr>
        <w:tc>
          <w:tcPr>
            <w:tcW w:w="305" w:type="dxa"/>
          </w:tcPr>
          <w:p w14:paraId="0A9D0CA7" w14:textId="77777777" w:rsidR="00A12856" w:rsidRPr="00356734" w:rsidRDefault="00A12856" w:rsidP="00A12856">
            <w:pPr>
              <w:jc w:val="right"/>
              <w:rPr>
                <w:snapToGrid w:val="0"/>
                <w:color w:val="000000"/>
              </w:rPr>
            </w:pPr>
          </w:p>
        </w:tc>
        <w:tc>
          <w:tcPr>
            <w:tcW w:w="302" w:type="dxa"/>
          </w:tcPr>
          <w:p w14:paraId="45FB0775" w14:textId="77777777" w:rsidR="00A12856" w:rsidRPr="00356734" w:rsidRDefault="00A12856" w:rsidP="00A12856">
            <w:pPr>
              <w:jc w:val="right"/>
              <w:rPr>
                <w:snapToGrid w:val="0"/>
                <w:color w:val="000000"/>
              </w:rPr>
            </w:pPr>
          </w:p>
        </w:tc>
        <w:tc>
          <w:tcPr>
            <w:tcW w:w="5513" w:type="dxa"/>
          </w:tcPr>
          <w:p w14:paraId="4A59F476" w14:textId="77777777" w:rsidR="00A12856" w:rsidRPr="00356734" w:rsidRDefault="00A12856" w:rsidP="00A12856">
            <w:pPr>
              <w:jc w:val="right"/>
              <w:rPr>
                <w:snapToGrid w:val="0"/>
                <w:color w:val="000000"/>
              </w:rPr>
            </w:pPr>
          </w:p>
        </w:tc>
        <w:tc>
          <w:tcPr>
            <w:tcW w:w="90" w:type="dxa"/>
          </w:tcPr>
          <w:p w14:paraId="78042E5A" w14:textId="77777777" w:rsidR="00A12856" w:rsidRPr="00356734" w:rsidRDefault="00A12856" w:rsidP="00A12856">
            <w:pPr>
              <w:jc w:val="right"/>
              <w:rPr>
                <w:snapToGrid w:val="0"/>
                <w:color w:val="000000"/>
              </w:rPr>
            </w:pPr>
          </w:p>
        </w:tc>
        <w:tc>
          <w:tcPr>
            <w:tcW w:w="1710" w:type="dxa"/>
            <w:tcBorders>
              <w:bottom w:val="single" w:sz="6" w:space="0" w:color="auto"/>
            </w:tcBorders>
          </w:tcPr>
          <w:p w14:paraId="53732A94" w14:textId="77777777" w:rsidR="00A12856" w:rsidRPr="00356734" w:rsidRDefault="00A12856" w:rsidP="00A12856">
            <w:pPr>
              <w:jc w:val="center"/>
              <w:rPr>
                <w:snapToGrid w:val="0"/>
                <w:color w:val="000000"/>
              </w:rPr>
            </w:pPr>
            <w:r>
              <w:rPr>
                <w:snapToGrid w:val="0"/>
                <w:color w:val="000000"/>
              </w:rPr>
              <w:t>2019</w:t>
            </w:r>
          </w:p>
        </w:tc>
        <w:tc>
          <w:tcPr>
            <w:tcW w:w="270" w:type="dxa"/>
          </w:tcPr>
          <w:p w14:paraId="04356196" w14:textId="77777777" w:rsidR="00A12856" w:rsidRPr="00356734" w:rsidRDefault="00A12856" w:rsidP="00A12856">
            <w:pPr>
              <w:jc w:val="right"/>
              <w:rPr>
                <w:snapToGrid w:val="0"/>
                <w:color w:val="000000"/>
              </w:rPr>
            </w:pPr>
          </w:p>
        </w:tc>
        <w:tc>
          <w:tcPr>
            <w:tcW w:w="1890" w:type="dxa"/>
            <w:tcBorders>
              <w:bottom w:val="single" w:sz="6" w:space="0" w:color="auto"/>
            </w:tcBorders>
          </w:tcPr>
          <w:p w14:paraId="0EED6799" w14:textId="77777777" w:rsidR="00A12856" w:rsidRPr="00356734" w:rsidRDefault="00A12856" w:rsidP="00A12856">
            <w:pPr>
              <w:jc w:val="center"/>
              <w:rPr>
                <w:snapToGrid w:val="0"/>
                <w:color w:val="000000"/>
              </w:rPr>
            </w:pPr>
            <w:r w:rsidRPr="00356734">
              <w:rPr>
                <w:snapToGrid w:val="0"/>
                <w:color w:val="000000"/>
              </w:rPr>
              <w:t>20</w:t>
            </w:r>
            <w:r>
              <w:rPr>
                <w:snapToGrid w:val="0"/>
                <w:color w:val="000000"/>
              </w:rPr>
              <w:t>18</w:t>
            </w:r>
          </w:p>
        </w:tc>
      </w:tr>
      <w:tr w:rsidR="00A12856" w:rsidRPr="00EB7BF0" w14:paraId="59AB1635" w14:textId="77777777" w:rsidTr="00A12856">
        <w:trPr>
          <w:trHeight w:hRule="exact" w:val="230"/>
        </w:trPr>
        <w:tc>
          <w:tcPr>
            <w:tcW w:w="6120" w:type="dxa"/>
            <w:gridSpan w:val="3"/>
          </w:tcPr>
          <w:p w14:paraId="1ADE0484" w14:textId="77777777" w:rsidR="00A12856" w:rsidRPr="00EB7BF0" w:rsidRDefault="00A12856" w:rsidP="00A12856">
            <w:pPr>
              <w:rPr>
                <w:snapToGrid w:val="0"/>
                <w:color w:val="000000"/>
              </w:rPr>
            </w:pPr>
          </w:p>
        </w:tc>
        <w:tc>
          <w:tcPr>
            <w:tcW w:w="90" w:type="dxa"/>
          </w:tcPr>
          <w:p w14:paraId="525FF952" w14:textId="77777777" w:rsidR="00A12856" w:rsidRPr="00EB7BF0" w:rsidRDefault="00A12856" w:rsidP="00A12856">
            <w:pPr>
              <w:jc w:val="right"/>
              <w:rPr>
                <w:snapToGrid w:val="0"/>
                <w:color w:val="000000"/>
              </w:rPr>
            </w:pPr>
          </w:p>
        </w:tc>
        <w:tc>
          <w:tcPr>
            <w:tcW w:w="1710" w:type="dxa"/>
          </w:tcPr>
          <w:p w14:paraId="46EC8F90" w14:textId="77777777" w:rsidR="00A12856" w:rsidRPr="00EB7BF0" w:rsidRDefault="00A12856" w:rsidP="00A12856">
            <w:pPr>
              <w:jc w:val="center"/>
              <w:rPr>
                <w:snapToGrid w:val="0"/>
                <w:color w:val="000000"/>
              </w:rPr>
            </w:pPr>
            <w:r>
              <w:rPr>
                <w:snapToGrid w:val="0"/>
                <w:color w:val="000000"/>
              </w:rPr>
              <w:t>(unaudited)</w:t>
            </w:r>
          </w:p>
        </w:tc>
        <w:tc>
          <w:tcPr>
            <w:tcW w:w="270" w:type="dxa"/>
          </w:tcPr>
          <w:p w14:paraId="7C4C59CE" w14:textId="77777777" w:rsidR="00A12856" w:rsidRPr="00EB7BF0" w:rsidRDefault="00A12856" w:rsidP="00A12856">
            <w:pPr>
              <w:jc w:val="center"/>
              <w:rPr>
                <w:snapToGrid w:val="0"/>
                <w:color w:val="000000"/>
              </w:rPr>
            </w:pPr>
          </w:p>
        </w:tc>
        <w:tc>
          <w:tcPr>
            <w:tcW w:w="1890" w:type="dxa"/>
          </w:tcPr>
          <w:p w14:paraId="181E3384" w14:textId="77777777" w:rsidR="00A12856" w:rsidRPr="00EB7BF0" w:rsidRDefault="00A12856" w:rsidP="00A12856">
            <w:pPr>
              <w:jc w:val="center"/>
              <w:rPr>
                <w:snapToGrid w:val="0"/>
                <w:color w:val="000000"/>
              </w:rPr>
            </w:pPr>
          </w:p>
        </w:tc>
      </w:tr>
      <w:tr w:rsidR="00A12856" w:rsidRPr="00EB7BF0" w14:paraId="380BCDC4" w14:textId="77777777" w:rsidTr="00A12856">
        <w:trPr>
          <w:trHeight w:hRule="exact" w:val="230"/>
        </w:trPr>
        <w:tc>
          <w:tcPr>
            <w:tcW w:w="6120" w:type="dxa"/>
            <w:gridSpan w:val="3"/>
          </w:tcPr>
          <w:p w14:paraId="137FE57E" w14:textId="77777777" w:rsidR="00A12856" w:rsidRPr="00EB7BF0" w:rsidRDefault="00A12856" w:rsidP="00A12856">
            <w:pPr>
              <w:rPr>
                <w:snapToGrid w:val="0"/>
                <w:color w:val="000000"/>
              </w:rPr>
            </w:pPr>
            <w:r w:rsidRPr="00374FE3">
              <w:rPr>
                <w:snapToGrid w:val="0"/>
                <w:color w:val="000000"/>
              </w:rPr>
              <w:t>ASSETS</w:t>
            </w:r>
          </w:p>
        </w:tc>
        <w:tc>
          <w:tcPr>
            <w:tcW w:w="90" w:type="dxa"/>
          </w:tcPr>
          <w:p w14:paraId="2C93DE61" w14:textId="77777777" w:rsidR="00A12856" w:rsidRPr="00EB7BF0" w:rsidRDefault="00A12856" w:rsidP="00A12856">
            <w:pPr>
              <w:jc w:val="right"/>
              <w:rPr>
                <w:snapToGrid w:val="0"/>
                <w:color w:val="000000"/>
              </w:rPr>
            </w:pPr>
          </w:p>
        </w:tc>
        <w:tc>
          <w:tcPr>
            <w:tcW w:w="1710" w:type="dxa"/>
          </w:tcPr>
          <w:p w14:paraId="3FC6ED47" w14:textId="77777777" w:rsidR="00A12856" w:rsidRDefault="00A12856" w:rsidP="00A12856">
            <w:pPr>
              <w:jc w:val="center"/>
              <w:rPr>
                <w:snapToGrid w:val="0"/>
                <w:color w:val="000000"/>
              </w:rPr>
            </w:pPr>
          </w:p>
        </w:tc>
        <w:tc>
          <w:tcPr>
            <w:tcW w:w="270" w:type="dxa"/>
          </w:tcPr>
          <w:p w14:paraId="4D89A5EB" w14:textId="77777777" w:rsidR="00A12856" w:rsidRPr="00EB7BF0" w:rsidRDefault="00A12856" w:rsidP="00A12856">
            <w:pPr>
              <w:jc w:val="center"/>
              <w:rPr>
                <w:snapToGrid w:val="0"/>
                <w:color w:val="000000"/>
              </w:rPr>
            </w:pPr>
          </w:p>
        </w:tc>
        <w:tc>
          <w:tcPr>
            <w:tcW w:w="1890" w:type="dxa"/>
          </w:tcPr>
          <w:p w14:paraId="34AEFC24" w14:textId="77777777" w:rsidR="00A12856" w:rsidRPr="00EB7BF0" w:rsidRDefault="00A12856" w:rsidP="00A12856">
            <w:pPr>
              <w:jc w:val="center"/>
              <w:rPr>
                <w:snapToGrid w:val="0"/>
                <w:color w:val="000000"/>
              </w:rPr>
            </w:pPr>
          </w:p>
        </w:tc>
      </w:tr>
      <w:tr w:rsidR="00A12856" w:rsidRPr="00EB7BF0" w14:paraId="2F044F11" w14:textId="77777777" w:rsidTr="00A12856">
        <w:trPr>
          <w:trHeight w:hRule="exact" w:val="230"/>
        </w:trPr>
        <w:tc>
          <w:tcPr>
            <w:tcW w:w="6120" w:type="dxa"/>
            <w:gridSpan w:val="3"/>
          </w:tcPr>
          <w:p w14:paraId="37E1A621" w14:textId="77777777" w:rsidR="00A12856" w:rsidRPr="00EB7BF0" w:rsidRDefault="00A12856" w:rsidP="00A12856">
            <w:pPr>
              <w:rPr>
                <w:snapToGrid w:val="0"/>
                <w:color w:val="000000"/>
              </w:rPr>
            </w:pPr>
            <w:r w:rsidRPr="00374FE3">
              <w:rPr>
                <w:snapToGrid w:val="0"/>
                <w:color w:val="000000"/>
              </w:rPr>
              <w:t>Current assets:</w:t>
            </w:r>
          </w:p>
        </w:tc>
        <w:tc>
          <w:tcPr>
            <w:tcW w:w="90" w:type="dxa"/>
          </w:tcPr>
          <w:p w14:paraId="66AF163B" w14:textId="77777777" w:rsidR="00A12856" w:rsidRPr="00EB7BF0" w:rsidRDefault="00A12856" w:rsidP="00A12856">
            <w:pPr>
              <w:jc w:val="right"/>
              <w:rPr>
                <w:snapToGrid w:val="0"/>
                <w:color w:val="000000"/>
              </w:rPr>
            </w:pPr>
          </w:p>
        </w:tc>
        <w:tc>
          <w:tcPr>
            <w:tcW w:w="1710" w:type="dxa"/>
          </w:tcPr>
          <w:p w14:paraId="65F4B1E5" w14:textId="77777777" w:rsidR="00A12856" w:rsidRPr="00EB7BF0" w:rsidRDefault="00A12856" w:rsidP="00A12856">
            <w:pPr>
              <w:jc w:val="right"/>
              <w:rPr>
                <w:snapToGrid w:val="0"/>
                <w:color w:val="000000"/>
              </w:rPr>
            </w:pPr>
          </w:p>
        </w:tc>
        <w:tc>
          <w:tcPr>
            <w:tcW w:w="270" w:type="dxa"/>
          </w:tcPr>
          <w:p w14:paraId="77597D92" w14:textId="77777777" w:rsidR="00A12856" w:rsidRPr="00EB7BF0" w:rsidRDefault="00A12856" w:rsidP="00A12856">
            <w:pPr>
              <w:jc w:val="right"/>
              <w:rPr>
                <w:snapToGrid w:val="0"/>
                <w:color w:val="000000"/>
              </w:rPr>
            </w:pPr>
          </w:p>
        </w:tc>
        <w:tc>
          <w:tcPr>
            <w:tcW w:w="1890" w:type="dxa"/>
          </w:tcPr>
          <w:p w14:paraId="3F335302" w14:textId="77777777" w:rsidR="00A12856" w:rsidRPr="00EB7BF0" w:rsidRDefault="00A12856" w:rsidP="00A12856">
            <w:pPr>
              <w:jc w:val="right"/>
              <w:rPr>
                <w:snapToGrid w:val="0"/>
                <w:color w:val="000000"/>
              </w:rPr>
            </w:pPr>
          </w:p>
        </w:tc>
      </w:tr>
      <w:tr w:rsidR="00A12856" w:rsidRPr="00EB7BF0" w14:paraId="67F3CBC3" w14:textId="77777777" w:rsidTr="00A12856">
        <w:trPr>
          <w:trHeight w:hRule="exact" w:val="230"/>
        </w:trPr>
        <w:tc>
          <w:tcPr>
            <w:tcW w:w="305" w:type="dxa"/>
          </w:tcPr>
          <w:p w14:paraId="535A02C3" w14:textId="77777777" w:rsidR="00A12856" w:rsidRPr="00EB7BF0" w:rsidRDefault="00A12856" w:rsidP="00A12856">
            <w:pPr>
              <w:rPr>
                <w:snapToGrid w:val="0"/>
                <w:color w:val="000000"/>
              </w:rPr>
            </w:pPr>
          </w:p>
        </w:tc>
        <w:tc>
          <w:tcPr>
            <w:tcW w:w="5815" w:type="dxa"/>
            <w:gridSpan w:val="2"/>
          </w:tcPr>
          <w:p w14:paraId="3F28C689" w14:textId="77777777" w:rsidR="00A12856" w:rsidRPr="00EB7BF0" w:rsidRDefault="00A12856" w:rsidP="00A12856">
            <w:pPr>
              <w:rPr>
                <w:b/>
                <w:snapToGrid w:val="0"/>
                <w:color w:val="000000"/>
              </w:rPr>
            </w:pPr>
            <w:r w:rsidRPr="00374FE3">
              <w:rPr>
                <w:snapToGrid w:val="0"/>
                <w:color w:val="000000"/>
              </w:rPr>
              <w:t>Cash and cash equivalents</w:t>
            </w:r>
          </w:p>
        </w:tc>
        <w:tc>
          <w:tcPr>
            <w:tcW w:w="90" w:type="dxa"/>
          </w:tcPr>
          <w:p w14:paraId="1A554B7D" w14:textId="77777777" w:rsidR="00A12856" w:rsidRPr="00EB7BF0" w:rsidRDefault="00A12856" w:rsidP="00A12856">
            <w:pPr>
              <w:jc w:val="right"/>
              <w:rPr>
                <w:snapToGrid w:val="0"/>
                <w:color w:val="000000"/>
              </w:rPr>
            </w:pPr>
          </w:p>
        </w:tc>
        <w:tc>
          <w:tcPr>
            <w:tcW w:w="1710" w:type="dxa"/>
          </w:tcPr>
          <w:p w14:paraId="553DCC75" w14:textId="0965FE3E" w:rsidR="00A12856" w:rsidRPr="00EB7BF0" w:rsidRDefault="00A12856" w:rsidP="00A12856">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3725CC">
              <w:rPr>
                <w:snapToGrid w:val="0"/>
                <w:color w:val="000000"/>
              </w:rPr>
              <w:t>569,359</w:t>
            </w:r>
          </w:p>
        </w:tc>
        <w:tc>
          <w:tcPr>
            <w:tcW w:w="270" w:type="dxa"/>
          </w:tcPr>
          <w:p w14:paraId="3ED97A5F" w14:textId="77777777" w:rsidR="00A12856" w:rsidRPr="00EB7BF0" w:rsidRDefault="00A12856" w:rsidP="00A12856">
            <w:pPr>
              <w:jc w:val="right"/>
              <w:rPr>
                <w:snapToGrid w:val="0"/>
                <w:color w:val="000000"/>
              </w:rPr>
            </w:pPr>
          </w:p>
        </w:tc>
        <w:tc>
          <w:tcPr>
            <w:tcW w:w="1890" w:type="dxa"/>
          </w:tcPr>
          <w:p w14:paraId="38386E7F" w14:textId="77777777" w:rsidR="00A12856" w:rsidRPr="00EB7BF0" w:rsidRDefault="00A12856" w:rsidP="00A12856">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t>259,701</w:t>
            </w:r>
          </w:p>
        </w:tc>
      </w:tr>
      <w:tr w:rsidR="00A12856" w:rsidRPr="00EB7BF0" w14:paraId="5EC3D79E" w14:textId="77777777" w:rsidTr="00A12856">
        <w:trPr>
          <w:trHeight w:hRule="exact" w:val="230"/>
        </w:trPr>
        <w:tc>
          <w:tcPr>
            <w:tcW w:w="305" w:type="dxa"/>
          </w:tcPr>
          <w:p w14:paraId="0EDCD893" w14:textId="77777777" w:rsidR="00A12856" w:rsidRPr="00EB7BF0" w:rsidRDefault="00A12856" w:rsidP="00A12856">
            <w:pPr>
              <w:jc w:val="right"/>
              <w:rPr>
                <w:snapToGrid w:val="0"/>
                <w:color w:val="000000"/>
              </w:rPr>
            </w:pPr>
          </w:p>
        </w:tc>
        <w:tc>
          <w:tcPr>
            <w:tcW w:w="5815" w:type="dxa"/>
            <w:gridSpan w:val="2"/>
          </w:tcPr>
          <w:p w14:paraId="496D45FC" w14:textId="77777777" w:rsidR="00A12856" w:rsidRPr="00EB7BF0" w:rsidRDefault="00A12856" w:rsidP="00A12856">
            <w:pPr>
              <w:rPr>
                <w:snapToGrid w:val="0"/>
                <w:color w:val="000000"/>
              </w:rPr>
            </w:pPr>
            <w:r w:rsidRPr="00374FE3">
              <w:rPr>
                <w:snapToGrid w:val="0"/>
                <w:color w:val="000000"/>
              </w:rPr>
              <w:t>Grant funds and other receivables</w:t>
            </w:r>
          </w:p>
        </w:tc>
        <w:tc>
          <w:tcPr>
            <w:tcW w:w="90" w:type="dxa"/>
          </w:tcPr>
          <w:p w14:paraId="0022B270" w14:textId="77777777" w:rsidR="00A12856" w:rsidRPr="00EB7BF0" w:rsidRDefault="00A12856" w:rsidP="00A12856">
            <w:pPr>
              <w:jc w:val="right"/>
              <w:rPr>
                <w:snapToGrid w:val="0"/>
                <w:color w:val="000000"/>
              </w:rPr>
            </w:pPr>
          </w:p>
        </w:tc>
        <w:tc>
          <w:tcPr>
            <w:tcW w:w="1710" w:type="dxa"/>
          </w:tcPr>
          <w:p w14:paraId="4E2416A7" w14:textId="5EF17639" w:rsidR="00A12856" w:rsidRPr="00EB7BF0" w:rsidRDefault="003725CC" w:rsidP="00A12856">
            <w:pPr>
              <w:tabs>
                <w:tab w:val="decimal" w:pos="1320"/>
              </w:tabs>
              <w:rPr>
                <w:snapToGrid w:val="0"/>
                <w:color w:val="000000"/>
              </w:rPr>
            </w:pPr>
            <w:r>
              <w:rPr>
                <w:snapToGrid w:val="0"/>
                <w:color w:val="000000"/>
              </w:rPr>
              <w:t>103,485</w:t>
            </w:r>
          </w:p>
        </w:tc>
        <w:tc>
          <w:tcPr>
            <w:tcW w:w="270" w:type="dxa"/>
          </w:tcPr>
          <w:p w14:paraId="5985E5B3" w14:textId="77777777" w:rsidR="00A12856" w:rsidRPr="00EB7BF0" w:rsidRDefault="00A12856" w:rsidP="00A12856">
            <w:pPr>
              <w:jc w:val="right"/>
              <w:rPr>
                <w:snapToGrid w:val="0"/>
                <w:color w:val="000000"/>
              </w:rPr>
            </w:pPr>
          </w:p>
        </w:tc>
        <w:tc>
          <w:tcPr>
            <w:tcW w:w="1890" w:type="dxa"/>
          </w:tcPr>
          <w:p w14:paraId="00C9F4E0" w14:textId="77777777" w:rsidR="00A12856" w:rsidRPr="00EB7BF0" w:rsidRDefault="00A12856" w:rsidP="00A12856">
            <w:pPr>
              <w:tabs>
                <w:tab w:val="decimal" w:pos="1500"/>
              </w:tabs>
              <w:rPr>
                <w:snapToGrid w:val="0"/>
                <w:color w:val="000000"/>
              </w:rPr>
            </w:pPr>
            <w:r>
              <w:rPr>
                <w:snapToGrid w:val="0"/>
                <w:color w:val="000000"/>
              </w:rPr>
              <w:t>121,814</w:t>
            </w:r>
          </w:p>
        </w:tc>
      </w:tr>
      <w:tr w:rsidR="00A12856" w:rsidRPr="00EB7BF0" w14:paraId="1D730172" w14:textId="77777777" w:rsidTr="00A12856">
        <w:trPr>
          <w:trHeight w:hRule="exact" w:val="230"/>
        </w:trPr>
        <w:tc>
          <w:tcPr>
            <w:tcW w:w="305" w:type="dxa"/>
          </w:tcPr>
          <w:p w14:paraId="1A33A29E" w14:textId="77777777" w:rsidR="00A12856" w:rsidRPr="00EB7BF0" w:rsidRDefault="00A12856" w:rsidP="00A12856">
            <w:pPr>
              <w:jc w:val="right"/>
              <w:rPr>
                <w:snapToGrid w:val="0"/>
                <w:color w:val="000000"/>
              </w:rPr>
            </w:pPr>
          </w:p>
        </w:tc>
        <w:tc>
          <w:tcPr>
            <w:tcW w:w="5815" w:type="dxa"/>
            <w:gridSpan w:val="2"/>
          </w:tcPr>
          <w:p w14:paraId="49F23AA6" w14:textId="77777777" w:rsidR="00A12856" w:rsidRPr="00EB7BF0" w:rsidRDefault="00A12856" w:rsidP="00A12856">
            <w:pPr>
              <w:rPr>
                <w:b/>
                <w:snapToGrid w:val="0"/>
                <w:color w:val="000000"/>
              </w:rPr>
            </w:pPr>
            <w:r w:rsidRPr="00374FE3">
              <w:rPr>
                <w:snapToGrid w:val="0"/>
                <w:color w:val="000000"/>
              </w:rPr>
              <w:t>Prepaid expenses and other current assets</w:t>
            </w:r>
          </w:p>
        </w:tc>
        <w:tc>
          <w:tcPr>
            <w:tcW w:w="90" w:type="dxa"/>
          </w:tcPr>
          <w:p w14:paraId="6CC0D56F" w14:textId="77777777" w:rsidR="00A12856" w:rsidRPr="00EB7BF0" w:rsidRDefault="00A12856" w:rsidP="00A12856">
            <w:pPr>
              <w:jc w:val="right"/>
              <w:rPr>
                <w:snapToGrid w:val="0"/>
                <w:color w:val="000000"/>
              </w:rPr>
            </w:pPr>
          </w:p>
        </w:tc>
        <w:tc>
          <w:tcPr>
            <w:tcW w:w="1710" w:type="dxa"/>
            <w:tcBorders>
              <w:bottom w:val="single" w:sz="4" w:space="0" w:color="auto"/>
            </w:tcBorders>
          </w:tcPr>
          <w:p w14:paraId="3CC8E914" w14:textId="620F78F3" w:rsidR="00A12856" w:rsidRPr="00EB7BF0" w:rsidRDefault="003725CC" w:rsidP="00A12856">
            <w:pPr>
              <w:tabs>
                <w:tab w:val="decimal" w:pos="1320"/>
              </w:tabs>
              <w:rPr>
                <w:snapToGrid w:val="0"/>
                <w:color w:val="000000"/>
              </w:rPr>
            </w:pPr>
            <w:r>
              <w:rPr>
                <w:snapToGrid w:val="0"/>
                <w:color w:val="000000"/>
              </w:rPr>
              <w:t>122,746</w:t>
            </w:r>
          </w:p>
        </w:tc>
        <w:tc>
          <w:tcPr>
            <w:tcW w:w="270" w:type="dxa"/>
          </w:tcPr>
          <w:p w14:paraId="02A27185" w14:textId="77777777" w:rsidR="00A12856" w:rsidRPr="00EB7BF0" w:rsidRDefault="00A12856" w:rsidP="00A12856">
            <w:pPr>
              <w:jc w:val="right"/>
              <w:rPr>
                <w:snapToGrid w:val="0"/>
                <w:color w:val="000000"/>
              </w:rPr>
            </w:pPr>
          </w:p>
        </w:tc>
        <w:tc>
          <w:tcPr>
            <w:tcW w:w="1890" w:type="dxa"/>
            <w:tcBorders>
              <w:bottom w:val="single" w:sz="4" w:space="0" w:color="auto"/>
            </w:tcBorders>
          </w:tcPr>
          <w:p w14:paraId="2CE9B935" w14:textId="77777777" w:rsidR="00A12856" w:rsidRPr="00EB7BF0" w:rsidRDefault="00A12856" w:rsidP="00A12856">
            <w:pPr>
              <w:tabs>
                <w:tab w:val="decimal" w:pos="1500"/>
              </w:tabs>
              <w:rPr>
                <w:snapToGrid w:val="0"/>
                <w:color w:val="000000"/>
              </w:rPr>
            </w:pPr>
            <w:r>
              <w:rPr>
                <w:snapToGrid w:val="0"/>
                <w:color w:val="000000"/>
              </w:rPr>
              <w:t>238,189</w:t>
            </w:r>
          </w:p>
        </w:tc>
      </w:tr>
      <w:tr w:rsidR="00A12856" w:rsidRPr="00EB7BF0" w14:paraId="22B149A6" w14:textId="77777777" w:rsidTr="00A12856">
        <w:trPr>
          <w:trHeight w:hRule="exact" w:val="230"/>
        </w:trPr>
        <w:tc>
          <w:tcPr>
            <w:tcW w:w="6120" w:type="dxa"/>
            <w:gridSpan w:val="3"/>
          </w:tcPr>
          <w:p w14:paraId="600B3F10" w14:textId="77777777" w:rsidR="00A12856" w:rsidRPr="00E74795" w:rsidRDefault="00A12856" w:rsidP="00A12856">
            <w:pPr>
              <w:rPr>
                <w:snapToGrid w:val="0"/>
                <w:color w:val="000000"/>
              </w:rPr>
            </w:pPr>
            <w:r w:rsidRPr="00374FE3">
              <w:rPr>
                <w:snapToGrid w:val="0"/>
                <w:color w:val="000000"/>
              </w:rPr>
              <w:t>Total current assets</w:t>
            </w:r>
          </w:p>
        </w:tc>
        <w:tc>
          <w:tcPr>
            <w:tcW w:w="90" w:type="dxa"/>
          </w:tcPr>
          <w:p w14:paraId="2A7F420C" w14:textId="77777777" w:rsidR="00A12856" w:rsidRPr="00E74795" w:rsidRDefault="00A12856" w:rsidP="00A12856">
            <w:pPr>
              <w:jc w:val="right"/>
              <w:rPr>
                <w:snapToGrid w:val="0"/>
                <w:color w:val="000000"/>
              </w:rPr>
            </w:pPr>
          </w:p>
        </w:tc>
        <w:tc>
          <w:tcPr>
            <w:tcW w:w="1710" w:type="dxa"/>
            <w:tcBorders>
              <w:top w:val="single" w:sz="4" w:space="0" w:color="auto"/>
            </w:tcBorders>
          </w:tcPr>
          <w:p w14:paraId="6F159C26" w14:textId="2C3EE373" w:rsidR="00A12856" w:rsidRPr="00E74795" w:rsidRDefault="003725CC" w:rsidP="00A12856">
            <w:pPr>
              <w:tabs>
                <w:tab w:val="decimal" w:pos="1320"/>
              </w:tabs>
              <w:rPr>
                <w:snapToGrid w:val="0"/>
                <w:color w:val="000000"/>
              </w:rPr>
            </w:pPr>
            <w:r>
              <w:rPr>
                <w:snapToGrid w:val="0"/>
                <w:color w:val="000000"/>
              </w:rPr>
              <w:t>795,590</w:t>
            </w:r>
          </w:p>
        </w:tc>
        <w:tc>
          <w:tcPr>
            <w:tcW w:w="270" w:type="dxa"/>
          </w:tcPr>
          <w:p w14:paraId="2B145D2F" w14:textId="77777777" w:rsidR="00A12856" w:rsidRPr="00E74795" w:rsidRDefault="00A12856" w:rsidP="00A12856">
            <w:pPr>
              <w:jc w:val="center"/>
              <w:rPr>
                <w:snapToGrid w:val="0"/>
                <w:color w:val="000000"/>
              </w:rPr>
            </w:pPr>
          </w:p>
        </w:tc>
        <w:tc>
          <w:tcPr>
            <w:tcW w:w="1890" w:type="dxa"/>
            <w:tcBorders>
              <w:top w:val="single" w:sz="4" w:space="0" w:color="auto"/>
            </w:tcBorders>
          </w:tcPr>
          <w:p w14:paraId="4747A5D2" w14:textId="77777777" w:rsidR="00A12856" w:rsidRPr="00E74795" w:rsidRDefault="00A12856" w:rsidP="00A12856">
            <w:pPr>
              <w:tabs>
                <w:tab w:val="decimal" w:pos="1500"/>
              </w:tabs>
              <w:rPr>
                <w:snapToGrid w:val="0"/>
                <w:color w:val="000000"/>
              </w:rPr>
            </w:pPr>
            <w:r>
              <w:rPr>
                <w:snapToGrid w:val="0"/>
                <w:color w:val="000000"/>
              </w:rPr>
              <w:t>619,704</w:t>
            </w:r>
          </w:p>
        </w:tc>
      </w:tr>
      <w:tr w:rsidR="00A12856" w:rsidRPr="00EB7BF0" w14:paraId="15E573A6" w14:textId="77777777" w:rsidTr="00A12856">
        <w:trPr>
          <w:trHeight w:hRule="exact" w:val="230"/>
        </w:trPr>
        <w:tc>
          <w:tcPr>
            <w:tcW w:w="6120" w:type="dxa"/>
            <w:gridSpan w:val="3"/>
          </w:tcPr>
          <w:p w14:paraId="06632F6A" w14:textId="77777777" w:rsidR="00A12856" w:rsidRPr="00E74795" w:rsidRDefault="00A12856" w:rsidP="00A12856">
            <w:pPr>
              <w:rPr>
                <w:b/>
                <w:snapToGrid w:val="0"/>
                <w:color w:val="000000"/>
              </w:rPr>
            </w:pPr>
            <w:r w:rsidRPr="00374FE3">
              <w:rPr>
                <w:snapToGrid w:val="0"/>
                <w:color w:val="000000"/>
              </w:rPr>
              <w:t xml:space="preserve">Property and equipment, net (Note </w:t>
            </w:r>
            <w:r>
              <w:rPr>
                <w:snapToGrid w:val="0"/>
                <w:color w:val="000000"/>
              </w:rPr>
              <w:t>5</w:t>
            </w:r>
            <w:r w:rsidRPr="00374FE3">
              <w:rPr>
                <w:snapToGrid w:val="0"/>
                <w:color w:val="000000"/>
              </w:rPr>
              <w:t>)</w:t>
            </w:r>
          </w:p>
        </w:tc>
        <w:tc>
          <w:tcPr>
            <w:tcW w:w="90" w:type="dxa"/>
          </w:tcPr>
          <w:p w14:paraId="261E9B46" w14:textId="77777777" w:rsidR="00A12856" w:rsidRPr="00E74795" w:rsidRDefault="00A12856" w:rsidP="00A12856">
            <w:pPr>
              <w:jc w:val="right"/>
              <w:rPr>
                <w:snapToGrid w:val="0"/>
                <w:color w:val="000000"/>
              </w:rPr>
            </w:pPr>
          </w:p>
        </w:tc>
        <w:tc>
          <w:tcPr>
            <w:tcW w:w="1710" w:type="dxa"/>
          </w:tcPr>
          <w:p w14:paraId="7F3794E2" w14:textId="312C2738" w:rsidR="00A12856" w:rsidRPr="00E74795" w:rsidRDefault="003725CC" w:rsidP="00A12856">
            <w:pPr>
              <w:tabs>
                <w:tab w:val="decimal" w:pos="1320"/>
              </w:tabs>
              <w:rPr>
                <w:snapToGrid w:val="0"/>
                <w:color w:val="000000"/>
              </w:rPr>
            </w:pPr>
            <w:r>
              <w:rPr>
                <w:snapToGrid w:val="0"/>
                <w:color w:val="000000"/>
              </w:rPr>
              <w:t>9,929</w:t>
            </w:r>
          </w:p>
        </w:tc>
        <w:tc>
          <w:tcPr>
            <w:tcW w:w="270" w:type="dxa"/>
          </w:tcPr>
          <w:p w14:paraId="125794BF" w14:textId="77777777" w:rsidR="00A12856" w:rsidRPr="00E74795" w:rsidRDefault="00A12856" w:rsidP="00A12856">
            <w:pPr>
              <w:jc w:val="right"/>
              <w:rPr>
                <w:snapToGrid w:val="0"/>
                <w:color w:val="000000"/>
              </w:rPr>
            </w:pPr>
          </w:p>
        </w:tc>
        <w:tc>
          <w:tcPr>
            <w:tcW w:w="1890" w:type="dxa"/>
          </w:tcPr>
          <w:p w14:paraId="44F21391" w14:textId="77777777" w:rsidR="00A12856" w:rsidRPr="00E74795" w:rsidRDefault="00A12856" w:rsidP="00A12856">
            <w:pPr>
              <w:tabs>
                <w:tab w:val="decimal" w:pos="1500"/>
              </w:tabs>
              <w:rPr>
                <w:snapToGrid w:val="0"/>
                <w:color w:val="000000"/>
              </w:rPr>
            </w:pPr>
            <w:r>
              <w:rPr>
                <w:snapToGrid w:val="0"/>
                <w:color w:val="000000"/>
              </w:rPr>
              <w:t>11,350</w:t>
            </w:r>
          </w:p>
        </w:tc>
      </w:tr>
      <w:tr w:rsidR="00A12856" w:rsidRPr="00EB7BF0" w14:paraId="11EEF1D0" w14:textId="77777777" w:rsidTr="00A12856">
        <w:trPr>
          <w:trHeight w:hRule="exact" w:val="230"/>
        </w:trPr>
        <w:tc>
          <w:tcPr>
            <w:tcW w:w="6120" w:type="dxa"/>
            <w:gridSpan w:val="3"/>
          </w:tcPr>
          <w:p w14:paraId="1E927635" w14:textId="77777777" w:rsidR="00A12856" w:rsidRPr="00E74795" w:rsidRDefault="00A12856" w:rsidP="00A12856">
            <w:pPr>
              <w:rPr>
                <w:snapToGrid w:val="0"/>
                <w:color w:val="000000"/>
              </w:rPr>
            </w:pPr>
            <w:r w:rsidRPr="00374FE3">
              <w:rPr>
                <w:snapToGrid w:val="0"/>
                <w:color w:val="000000"/>
              </w:rPr>
              <w:t>Deposits</w:t>
            </w:r>
          </w:p>
        </w:tc>
        <w:tc>
          <w:tcPr>
            <w:tcW w:w="90" w:type="dxa"/>
          </w:tcPr>
          <w:p w14:paraId="73CD8CFE" w14:textId="77777777" w:rsidR="00A12856" w:rsidRPr="00E74795" w:rsidRDefault="00A12856" w:rsidP="00A12856">
            <w:pPr>
              <w:jc w:val="right"/>
              <w:rPr>
                <w:snapToGrid w:val="0"/>
                <w:color w:val="000000"/>
              </w:rPr>
            </w:pPr>
          </w:p>
        </w:tc>
        <w:tc>
          <w:tcPr>
            <w:tcW w:w="1710" w:type="dxa"/>
          </w:tcPr>
          <w:p w14:paraId="2FA6DFE4" w14:textId="72A7AB90" w:rsidR="00A12856" w:rsidRPr="00E74795" w:rsidRDefault="00817BB3" w:rsidP="00A12856">
            <w:pPr>
              <w:tabs>
                <w:tab w:val="decimal" w:pos="1320"/>
              </w:tabs>
              <w:rPr>
                <w:snapToGrid w:val="0"/>
                <w:color w:val="000000"/>
              </w:rPr>
            </w:pPr>
            <w:r>
              <w:rPr>
                <w:snapToGrid w:val="0"/>
                <w:color w:val="000000"/>
              </w:rPr>
              <w:t>11</w:t>
            </w:r>
            <w:r w:rsidR="003725CC">
              <w:rPr>
                <w:snapToGrid w:val="0"/>
                <w:color w:val="000000"/>
              </w:rPr>
              <w:t>,010</w:t>
            </w:r>
          </w:p>
        </w:tc>
        <w:tc>
          <w:tcPr>
            <w:tcW w:w="270" w:type="dxa"/>
          </w:tcPr>
          <w:p w14:paraId="2FE7EBCC" w14:textId="77777777" w:rsidR="00A12856" w:rsidRPr="00E74795" w:rsidRDefault="00A12856" w:rsidP="00A12856">
            <w:pPr>
              <w:jc w:val="right"/>
              <w:rPr>
                <w:snapToGrid w:val="0"/>
                <w:color w:val="000000"/>
              </w:rPr>
            </w:pPr>
          </w:p>
        </w:tc>
        <w:tc>
          <w:tcPr>
            <w:tcW w:w="1890" w:type="dxa"/>
          </w:tcPr>
          <w:p w14:paraId="6F4DACE6" w14:textId="77777777" w:rsidR="00A12856" w:rsidRPr="00E74795" w:rsidRDefault="00A12856" w:rsidP="00A12856">
            <w:pPr>
              <w:tabs>
                <w:tab w:val="decimal" w:pos="1500"/>
              </w:tabs>
              <w:rPr>
                <w:snapToGrid w:val="0"/>
                <w:color w:val="000000"/>
              </w:rPr>
            </w:pPr>
            <w:r w:rsidRPr="00374FE3">
              <w:rPr>
                <w:snapToGrid w:val="0"/>
                <w:color w:val="000000"/>
              </w:rPr>
              <w:t>11,010</w:t>
            </w:r>
          </w:p>
        </w:tc>
      </w:tr>
      <w:tr w:rsidR="00A12856" w:rsidRPr="00EB7BF0" w14:paraId="67A8B804" w14:textId="77777777" w:rsidTr="00A12856">
        <w:trPr>
          <w:trHeight w:hRule="exact" w:val="230"/>
        </w:trPr>
        <w:tc>
          <w:tcPr>
            <w:tcW w:w="305" w:type="dxa"/>
          </w:tcPr>
          <w:p w14:paraId="16BF6E97" w14:textId="77777777" w:rsidR="00A12856" w:rsidRPr="00EB7BF0" w:rsidRDefault="00A12856" w:rsidP="00A12856">
            <w:pPr>
              <w:jc w:val="right"/>
              <w:rPr>
                <w:snapToGrid w:val="0"/>
                <w:color w:val="000000"/>
              </w:rPr>
            </w:pPr>
          </w:p>
        </w:tc>
        <w:tc>
          <w:tcPr>
            <w:tcW w:w="302" w:type="dxa"/>
          </w:tcPr>
          <w:p w14:paraId="490248E8" w14:textId="77777777" w:rsidR="00A12856" w:rsidRPr="00EB7BF0" w:rsidRDefault="00A12856" w:rsidP="00A12856">
            <w:pPr>
              <w:jc w:val="right"/>
              <w:rPr>
                <w:snapToGrid w:val="0"/>
                <w:color w:val="000000"/>
              </w:rPr>
            </w:pPr>
          </w:p>
        </w:tc>
        <w:tc>
          <w:tcPr>
            <w:tcW w:w="5513" w:type="dxa"/>
          </w:tcPr>
          <w:p w14:paraId="77B3D301" w14:textId="77777777" w:rsidR="00A12856" w:rsidRPr="00E74795" w:rsidRDefault="00A12856" w:rsidP="00A12856">
            <w:pPr>
              <w:jc w:val="right"/>
              <w:rPr>
                <w:snapToGrid w:val="0"/>
                <w:color w:val="000000"/>
              </w:rPr>
            </w:pPr>
          </w:p>
        </w:tc>
        <w:tc>
          <w:tcPr>
            <w:tcW w:w="90" w:type="dxa"/>
          </w:tcPr>
          <w:p w14:paraId="48B2CEB0" w14:textId="77777777" w:rsidR="00A12856" w:rsidRPr="00E74795" w:rsidRDefault="00A12856" w:rsidP="00A12856">
            <w:pPr>
              <w:jc w:val="right"/>
              <w:rPr>
                <w:snapToGrid w:val="0"/>
                <w:color w:val="000000"/>
              </w:rPr>
            </w:pPr>
          </w:p>
        </w:tc>
        <w:tc>
          <w:tcPr>
            <w:tcW w:w="1710" w:type="dxa"/>
            <w:tcBorders>
              <w:top w:val="single" w:sz="6" w:space="0" w:color="auto"/>
            </w:tcBorders>
          </w:tcPr>
          <w:p w14:paraId="0EB02390" w14:textId="77777777" w:rsidR="00A12856" w:rsidRPr="00E74795" w:rsidRDefault="00A12856" w:rsidP="00A12856">
            <w:pPr>
              <w:tabs>
                <w:tab w:val="decimal" w:pos="1320"/>
              </w:tabs>
              <w:rPr>
                <w:snapToGrid w:val="0"/>
                <w:color w:val="000000"/>
              </w:rPr>
            </w:pPr>
          </w:p>
        </w:tc>
        <w:tc>
          <w:tcPr>
            <w:tcW w:w="270" w:type="dxa"/>
          </w:tcPr>
          <w:p w14:paraId="1650F4D3" w14:textId="77777777" w:rsidR="00A12856" w:rsidRPr="00E74795" w:rsidRDefault="00A12856" w:rsidP="00A12856">
            <w:pPr>
              <w:jc w:val="right"/>
              <w:rPr>
                <w:snapToGrid w:val="0"/>
                <w:color w:val="000000"/>
              </w:rPr>
            </w:pPr>
          </w:p>
        </w:tc>
        <w:tc>
          <w:tcPr>
            <w:tcW w:w="1890" w:type="dxa"/>
            <w:tcBorders>
              <w:top w:val="single" w:sz="6" w:space="0" w:color="auto"/>
            </w:tcBorders>
          </w:tcPr>
          <w:p w14:paraId="3ACD0E41" w14:textId="77777777" w:rsidR="00A12856" w:rsidRPr="00E74795" w:rsidRDefault="00A12856" w:rsidP="00A12856">
            <w:pPr>
              <w:tabs>
                <w:tab w:val="decimal" w:pos="1195"/>
              </w:tabs>
              <w:rPr>
                <w:snapToGrid w:val="0"/>
                <w:color w:val="000000"/>
              </w:rPr>
            </w:pPr>
          </w:p>
        </w:tc>
      </w:tr>
      <w:tr w:rsidR="00A12856" w:rsidRPr="00EB7BF0" w14:paraId="2FEC0E5A" w14:textId="77777777" w:rsidTr="00A12856">
        <w:trPr>
          <w:trHeight w:hRule="exact" w:val="230"/>
        </w:trPr>
        <w:tc>
          <w:tcPr>
            <w:tcW w:w="6120" w:type="dxa"/>
            <w:gridSpan w:val="3"/>
          </w:tcPr>
          <w:p w14:paraId="4EA85A94" w14:textId="77777777" w:rsidR="00A12856" w:rsidRPr="00E74795" w:rsidRDefault="00A12856" w:rsidP="00A12856">
            <w:pPr>
              <w:rPr>
                <w:snapToGrid w:val="0"/>
                <w:color w:val="000000"/>
              </w:rPr>
            </w:pPr>
            <w:r w:rsidRPr="00374FE3">
              <w:rPr>
                <w:snapToGrid w:val="0"/>
                <w:color w:val="000000"/>
              </w:rPr>
              <w:t>Total assets</w:t>
            </w:r>
          </w:p>
        </w:tc>
        <w:tc>
          <w:tcPr>
            <w:tcW w:w="90" w:type="dxa"/>
          </w:tcPr>
          <w:p w14:paraId="2BA7B389" w14:textId="77777777" w:rsidR="00A12856" w:rsidRPr="00E74795" w:rsidRDefault="00A12856" w:rsidP="00A12856">
            <w:pPr>
              <w:jc w:val="right"/>
              <w:rPr>
                <w:snapToGrid w:val="0"/>
                <w:color w:val="000000"/>
              </w:rPr>
            </w:pPr>
          </w:p>
        </w:tc>
        <w:tc>
          <w:tcPr>
            <w:tcW w:w="1710" w:type="dxa"/>
            <w:tcBorders>
              <w:bottom w:val="double" w:sz="6" w:space="0" w:color="auto"/>
            </w:tcBorders>
          </w:tcPr>
          <w:p w14:paraId="5B9F6B74" w14:textId="30983748" w:rsidR="00A12856" w:rsidRPr="00E74795" w:rsidRDefault="00A12856" w:rsidP="00A12856">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3725CC">
              <w:rPr>
                <w:snapToGrid w:val="0"/>
                <w:color w:val="000000"/>
              </w:rPr>
              <w:t>816,529</w:t>
            </w:r>
          </w:p>
        </w:tc>
        <w:tc>
          <w:tcPr>
            <w:tcW w:w="270" w:type="dxa"/>
          </w:tcPr>
          <w:p w14:paraId="0DEA356F" w14:textId="77777777" w:rsidR="00A12856" w:rsidRPr="00E74795" w:rsidRDefault="00A12856" w:rsidP="00A12856">
            <w:pPr>
              <w:jc w:val="right"/>
              <w:rPr>
                <w:snapToGrid w:val="0"/>
                <w:color w:val="000000"/>
              </w:rPr>
            </w:pPr>
          </w:p>
        </w:tc>
        <w:tc>
          <w:tcPr>
            <w:tcW w:w="1890" w:type="dxa"/>
            <w:tcBorders>
              <w:bottom w:val="double" w:sz="6" w:space="0" w:color="auto"/>
            </w:tcBorders>
          </w:tcPr>
          <w:p w14:paraId="6D109333" w14:textId="77777777" w:rsidR="00A12856" w:rsidRPr="00E74795" w:rsidRDefault="00A12856" w:rsidP="00A12856">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642,064</w:t>
            </w:r>
          </w:p>
        </w:tc>
      </w:tr>
      <w:tr w:rsidR="00A12856" w:rsidRPr="00EB7BF0" w14:paraId="5F3F718A" w14:textId="77777777" w:rsidTr="00A12856">
        <w:trPr>
          <w:trHeight w:hRule="exact" w:val="230"/>
        </w:trPr>
        <w:tc>
          <w:tcPr>
            <w:tcW w:w="305" w:type="dxa"/>
          </w:tcPr>
          <w:p w14:paraId="0DEF723B" w14:textId="77777777" w:rsidR="00A12856" w:rsidRPr="00EB7BF0" w:rsidRDefault="00A12856" w:rsidP="00A12856">
            <w:pPr>
              <w:jc w:val="right"/>
              <w:rPr>
                <w:snapToGrid w:val="0"/>
                <w:color w:val="000000"/>
              </w:rPr>
            </w:pPr>
          </w:p>
        </w:tc>
        <w:tc>
          <w:tcPr>
            <w:tcW w:w="302" w:type="dxa"/>
          </w:tcPr>
          <w:p w14:paraId="35FE0B9D" w14:textId="77777777" w:rsidR="00A12856" w:rsidRPr="00EB7BF0" w:rsidRDefault="00A12856" w:rsidP="00A12856">
            <w:pPr>
              <w:jc w:val="right"/>
              <w:rPr>
                <w:snapToGrid w:val="0"/>
                <w:color w:val="000000"/>
              </w:rPr>
            </w:pPr>
          </w:p>
        </w:tc>
        <w:tc>
          <w:tcPr>
            <w:tcW w:w="5513" w:type="dxa"/>
          </w:tcPr>
          <w:p w14:paraId="6E105921" w14:textId="77777777" w:rsidR="00A12856" w:rsidRPr="00E74795" w:rsidRDefault="00A12856" w:rsidP="00A12856">
            <w:pPr>
              <w:jc w:val="right"/>
              <w:rPr>
                <w:snapToGrid w:val="0"/>
                <w:color w:val="000000"/>
              </w:rPr>
            </w:pPr>
          </w:p>
        </w:tc>
        <w:tc>
          <w:tcPr>
            <w:tcW w:w="90" w:type="dxa"/>
          </w:tcPr>
          <w:p w14:paraId="043831B1" w14:textId="77777777" w:rsidR="00A12856" w:rsidRPr="00E74795" w:rsidRDefault="00A12856" w:rsidP="00A12856">
            <w:pPr>
              <w:jc w:val="right"/>
              <w:rPr>
                <w:snapToGrid w:val="0"/>
                <w:color w:val="000000"/>
              </w:rPr>
            </w:pPr>
          </w:p>
        </w:tc>
        <w:tc>
          <w:tcPr>
            <w:tcW w:w="1710" w:type="dxa"/>
          </w:tcPr>
          <w:p w14:paraId="7AD6F996" w14:textId="77777777" w:rsidR="00A12856" w:rsidRPr="00E74795" w:rsidRDefault="00A12856" w:rsidP="00A12856">
            <w:pPr>
              <w:tabs>
                <w:tab w:val="decimal" w:pos="1195"/>
              </w:tabs>
              <w:jc w:val="right"/>
              <w:rPr>
                <w:snapToGrid w:val="0"/>
                <w:color w:val="000000"/>
              </w:rPr>
            </w:pPr>
          </w:p>
        </w:tc>
        <w:tc>
          <w:tcPr>
            <w:tcW w:w="270" w:type="dxa"/>
          </w:tcPr>
          <w:p w14:paraId="2431E8BA" w14:textId="77777777" w:rsidR="00A12856" w:rsidRPr="00E74795" w:rsidRDefault="00A12856" w:rsidP="00A12856">
            <w:pPr>
              <w:jc w:val="right"/>
              <w:rPr>
                <w:snapToGrid w:val="0"/>
                <w:color w:val="000000"/>
              </w:rPr>
            </w:pPr>
          </w:p>
        </w:tc>
        <w:tc>
          <w:tcPr>
            <w:tcW w:w="1890" w:type="dxa"/>
          </w:tcPr>
          <w:p w14:paraId="29B9FD84" w14:textId="77777777" w:rsidR="00A12856" w:rsidRPr="00E74795" w:rsidRDefault="00A12856" w:rsidP="00A12856">
            <w:pPr>
              <w:tabs>
                <w:tab w:val="decimal" w:pos="1195"/>
              </w:tabs>
              <w:jc w:val="right"/>
              <w:rPr>
                <w:snapToGrid w:val="0"/>
                <w:color w:val="000000"/>
              </w:rPr>
            </w:pPr>
          </w:p>
        </w:tc>
      </w:tr>
      <w:tr w:rsidR="00A12856" w:rsidRPr="00EB7BF0" w14:paraId="72F29204" w14:textId="77777777" w:rsidTr="00A12856">
        <w:trPr>
          <w:trHeight w:hRule="exact" w:val="230"/>
        </w:trPr>
        <w:tc>
          <w:tcPr>
            <w:tcW w:w="6120" w:type="dxa"/>
            <w:gridSpan w:val="3"/>
          </w:tcPr>
          <w:p w14:paraId="1FF3AB01" w14:textId="77777777" w:rsidR="00A12856" w:rsidRPr="00E74795" w:rsidRDefault="00A12856" w:rsidP="00A12856">
            <w:pPr>
              <w:rPr>
                <w:snapToGrid w:val="0"/>
                <w:color w:val="000000"/>
              </w:rPr>
            </w:pPr>
            <w:r w:rsidRPr="00374FE3">
              <w:rPr>
                <w:snapToGrid w:val="0"/>
                <w:color w:val="000000"/>
              </w:rPr>
              <w:t>LIABILITIES AND STOCKHOLDERS’ EQUITY (DEFICIENCY)</w:t>
            </w:r>
          </w:p>
        </w:tc>
        <w:tc>
          <w:tcPr>
            <w:tcW w:w="90" w:type="dxa"/>
          </w:tcPr>
          <w:p w14:paraId="61F4001B" w14:textId="77777777" w:rsidR="00A12856" w:rsidRPr="00E74795" w:rsidRDefault="00A12856" w:rsidP="00A12856">
            <w:pPr>
              <w:jc w:val="right"/>
              <w:rPr>
                <w:snapToGrid w:val="0"/>
                <w:color w:val="000000"/>
              </w:rPr>
            </w:pPr>
          </w:p>
        </w:tc>
        <w:tc>
          <w:tcPr>
            <w:tcW w:w="1710" w:type="dxa"/>
          </w:tcPr>
          <w:p w14:paraId="68B4F53B" w14:textId="77777777" w:rsidR="00A12856" w:rsidRPr="00E74795" w:rsidRDefault="00A12856" w:rsidP="00A12856">
            <w:pPr>
              <w:tabs>
                <w:tab w:val="decimal" w:pos="1195"/>
              </w:tabs>
              <w:jc w:val="right"/>
              <w:rPr>
                <w:snapToGrid w:val="0"/>
                <w:color w:val="000000"/>
              </w:rPr>
            </w:pPr>
          </w:p>
        </w:tc>
        <w:tc>
          <w:tcPr>
            <w:tcW w:w="270" w:type="dxa"/>
          </w:tcPr>
          <w:p w14:paraId="0130C815" w14:textId="77777777" w:rsidR="00A12856" w:rsidRPr="00E74795" w:rsidRDefault="00A12856" w:rsidP="00A12856">
            <w:pPr>
              <w:jc w:val="right"/>
              <w:rPr>
                <w:snapToGrid w:val="0"/>
                <w:color w:val="000000"/>
              </w:rPr>
            </w:pPr>
          </w:p>
        </w:tc>
        <w:tc>
          <w:tcPr>
            <w:tcW w:w="1890" w:type="dxa"/>
          </w:tcPr>
          <w:p w14:paraId="47787378" w14:textId="77777777" w:rsidR="00A12856" w:rsidRPr="00E74795" w:rsidRDefault="00A12856" w:rsidP="00A12856">
            <w:pPr>
              <w:tabs>
                <w:tab w:val="decimal" w:pos="1195"/>
              </w:tabs>
              <w:jc w:val="right"/>
              <w:rPr>
                <w:snapToGrid w:val="0"/>
                <w:color w:val="000000"/>
              </w:rPr>
            </w:pPr>
          </w:p>
        </w:tc>
      </w:tr>
      <w:tr w:rsidR="00A12856" w:rsidRPr="00EB7BF0" w14:paraId="2F23264D" w14:textId="77777777" w:rsidTr="00A12856">
        <w:trPr>
          <w:trHeight w:hRule="exact" w:val="230"/>
        </w:trPr>
        <w:tc>
          <w:tcPr>
            <w:tcW w:w="6120" w:type="dxa"/>
            <w:gridSpan w:val="3"/>
          </w:tcPr>
          <w:p w14:paraId="5ED89D6F" w14:textId="77777777" w:rsidR="00A12856" w:rsidRPr="00E74795" w:rsidRDefault="00A12856" w:rsidP="00A12856">
            <w:pPr>
              <w:rPr>
                <w:snapToGrid w:val="0"/>
                <w:color w:val="000000"/>
              </w:rPr>
            </w:pPr>
            <w:r w:rsidRPr="00374FE3">
              <w:rPr>
                <w:snapToGrid w:val="0"/>
                <w:color w:val="000000"/>
              </w:rPr>
              <w:t>Current liabilities:</w:t>
            </w:r>
          </w:p>
        </w:tc>
        <w:tc>
          <w:tcPr>
            <w:tcW w:w="90" w:type="dxa"/>
          </w:tcPr>
          <w:p w14:paraId="371CA070" w14:textId="77777777" w:rsidR="00A12856" w:rsidRPr="00E74795" w:rsidRDefault="00A12856" w:rsidP="00A12856">
            <w:pPr>
              <w:jc w:val="right"/>
              <w:rPr>
                <w:snapToGrid w:val="0"/>
                <w:color w:val="000000"/>
              </w:rPr>
            </w:pPr>
          </w:p>
        </w:tc>
        <w:tc>
          <w:tcPr>
            <w:tcW w:w="1710" w:type="dxa"/>
          </w:tcPr>
          <w:p w14:paraId="6043BEDA" w14:textId="77777777" w:rsidR="00A12856" w:rsidRPr="00E74795" w:rsidRDefault="00A12856" w:rsidP="00A12856">
            <w:pPr>
              <w:tabs>
                <w:tab w:val="decimal" w:pos="1195"/>
              </w:tabs>
              <w:jc w:val="right"/>
              <w:rPr>
                <w:snapToGrid w:val="0"/>
                <w:color w:val="000000"/>
              </w:rPr>
            </w:pPr>
          </w:p>
        </w:tc>
        <w:tc>
          <w:tcPr>
            <w:tcW w:w="270" w:type="dxa"/>
          </w:tcPr>
          <w:p w14:paraId="21FDAD0E" w14:textId="77777777" w:rsidR="00A12856" w:rsidRPr="00E74795" w:rsidRDefault="00A12856" w:rsidP="00A12856">
            <w:pPr>
              <w:jc w:val="right"/>
              <w:rPr>
                <w:snapToGrid w:val="0"/>
                <w:color w:val="000000"/>
              </w:rPr>
            </w:pPr>
          </w:p>
        </w:tc>
        <w:tc>
          <w:tcPr>
            <w:tcW w:w="1890" w:type="dxa"/>
          </w:tcPr>
          <w:p w14:paraId="1BE4AF3B" w14:textId="77777777" w:rsidR="00A12856" w:rsidRPr="00E74795" w:rsidRDefault="00A12856" w:rsidP="00A12856">
            <w:pPr>
              <w:tabs>
                <w:tab w:val="decimal" w:pos="1195"/>
              </w:tabs>
              <w:jc w:val="right"/>
              <w:rPr>
                <w:snapToGrid w:val="0"/>
                <w:color w:val="000000"/>
              </w:rPr>
            </w:pPr>
          </w:p>
        </w:tc>
      </w:tr>
      <w:tr w:rsidR="00A12856" w:rsidRPr="00EB7BF0" w14:paraId="31090747" w14:textId="77777777" w:rsidTr="00A12856">
        <w:trPr>
          <w:trHeight w:hRule="exact" w:val="230"/>
        </w:trPr>
        <w:tc>
          <w:tcPr>
            <w:tcW w:w="305" w:type="dxa"/>
          </w:tcPr>
          <w:p w14:paraId="728136D4" w14:textId="77777777" w:rsidR="00A12856" w:rsidRPr="00EB7BF0" w:rsidRDefault="00A12856" w:rsidP="00A12856">
            <w:pPr>
              <w:jc w:val="right"/>
              <w:rPr>
                <w:snapToGrid w:val="0"/>
                <w:color w:val="000000"/>
              </w:rPr>
            </w:pPr>
          </w:p>
        </w:tc>
        <w:tc>
          <w:tcPr>
            <w:tcW w:w="5815" w:type="dxa"/>
            <w:gridSpan w:val="2"/>
          </w:tcPr>
          <w:p w14:paraId="62216191" w14:textId="77777777" w:rsidR="00A12856" w:rsidRPr="00E74795" w:rsidRDefault="00A12856" w:rsidP="00A12856">
            <w:pPr>
              <w:rPr>
                <w:b/>
                <w:snapToGrid w:val="0"/>
                <w:color w:val="000000"/>
              </w:rPr>
            </w:pPr>
            <w:r w:rsidRPr="00374FE3">
              <w:rPr>
                <w:snapToGrid w:val="0"/>
                <w:color w:val="000000"/>
              </w:rPr>
              <w:t xml:space="preserve">Accounts payable </w:t>
            </w:r>
          </w:p>
        </w:tc>
        <w:tc>
          <w:tcPr>
            <w:tcW w:w="90" w:type="dxa"/>
          </w:tcPr>
          <w:p w14:paraId="35A8EFF0" w14:textId="77777777" w:rsidR="00A12856" w:rsidRPr="00E74795" w:rsidRDefault="00A12856" w:rsidP="00A12856">
            <w:pPr>
              <w:jc w:val="right"/>
              <w:rPr>
                <w:snapToGrid w:val="0"/>
                <w:color w:val="000000"/>
              </w:rPr>
            </w:pPr>
          </w:p>
        </w:tc>
        <w:tc>
          <w:tcPr>
            <w:tcW w:w="1710" w:type="dxa"/>
          </w:tcPr>
          <w:p w14:paraId="2D09921F" w14:textId="267857D2" w:rsidR="00A12856" w:rsidRPr="00E74795" w:rsidRDefault="00A12856" w:rsidP="00A12856">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3725CC">
              <w:rPr>
                <w:snapToGrid w:val="0"/>
                <w:color w:val="000000"/>
              </w:rPr>
              <w:t>63,143</w:t>
            </w:r>
          </w:p>
        </w:tc>
        <w:tc>
          <w:tcPr>
            <w:tcW w:w="270" w:type="dxa"/>
          </w:tcPr>
          <w:p w14:paraId="6337711F" w14:textId="77777777" w:rsidR="00A12856" w:rsidRPr="00E74795" w:rsidRDefault="00A12856" w:rsidP="00A12856">
            <w:pPr>
              <w:jc w:val="right"/>
              <w:rPr>
                <w:snapToGrid w:val="0"/>
                <w:color w:val="000000"/>
              </w:rPr>
            </w:pPr>
          </w:p>
        </w:tc>
        <w:tc>
          <w:tcPr>
            <w:tcW w:w="1890" w:type="dxa"/>
          </w:tcPr>
          <w:p w14:paraId="60FBA580" w14:textId="77777777" w:rsidR="00A12856" w:rsidRPr="00E74795" w:rsidRDefault="00A12856" w:rsidP="00A12856">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Pr>
                <w:snapToGrid w:val="0"/>
                <w:color w:val="000000"/>
              </w:rPr>
              <w:t>125,859</w:t>
            </w:r>
          </w:p>
        </w:tc>
      </w:tr>
      <w:tr w:rsidR="00A12856" w:rsidRPr="00EB7BF0" w14:paraId="48821E3D" w14:textId="77777777" w:rsidTr="00A12856">
        <w:trPr>
          <w:trHeight w:hRule="exact" w:val="230"/>
        </w:trPr>
        <w:tc>
          <w:tcPr>
            <w:tcW w:w="305" w:type="dxa"/>
          </w:tcPr>
          <w:p w14:paraId="4268F839" w14:textId="77777777" w:rsidR="00A12856" w:rsidRPr="00EB7BF0" w:rsidRDefault="00A12856" w:rsidP="00A12856">
            <w:pPr>
              <w:jc w:val="right"/>
              <w:rPr>
                <w:snapToGrid w:val="0"/>
                <w:color w:val="000000"/>
              </w:rPr>
            </w:pPr>
          </w:p>
        </w:tc>
        <w:tc>
          <w:tcPr>
            <w:tcW w:w="5815" w:type="dxa"/>
            <w:gridSpan w:val="2"/>
          </w:tcPr>
          <w:p w14:paraId="50077CD8" w14:textId="77777777" w:rsidR="00A12856" w:rsidRPr="00E74795" w:rsidRDefault="00A12856" w:rsidP="00A12856">
            <w:pPr>
              <w:rPr>
                <w:snapToGrid w:val="0"/>
                <w:color w:val="000000"/>
              </w:rPr>
            </w:pPr>
            <w:r w:rsidRPr="00374FE3">
              <w:rPr>
                <w:snapToGrid w:val="0"/>
                <w:color w:val="000000"/>
              </w:rPr>
              <w:t xml:space="preserve">Accrued expenses (Note </w:t>
            </w:r>
            <w:r>
              <w:rPr>
                <w:snapToGrid w:val="0"/>
                <w:color w:val="000000"/>
              </w:rPr>
              <w:t>6</w:t>
            </w:r>
            <w:r w:rsidRPr="00374FE3">
              <w:rPr>
                <w:snapToGrid w:val="0"/>
                <w:color w:val="000000"/>
              </w:rPr>
              <w:t>)</w:t>
            </w:r>
          </w:p>
        </w:tc>
        <w:tc>
          <w:tcPr>
            <w:tcW w:w="90" w:type="dxa"/>
          </w:tcPr>
          <w:p w14:paraId="4A4D5803" w14:textId="77777777" w:rsidR="00A12856" w:rsidRPr="00E74795" w:rsidRDefault="00A12856" w:rsidP="00A12856">
            <w:pPr>
              <w:jc w:val="right"/>
              <w:rPr>
                <w:snapToGrid w:val="0"/>
                <w:color w:val="000000"/>
              </w:rPr>
            </w:pPr>
          </w:p>
        </w:tc>
        <w:tc>
          <w:tcPr>
            <w:tcW w:w="1710" w:type="dxa"/>
          </w:tcPr>
          <w:p w14:paraId="14365A5D" w14:textId="0DF05866" w:rsidR="00A12856" w:rsidRPr="00E74795" w:rsidRDefault="00817BB3" w:rsidP="00A12856">
            <w:pPr>
              <w:tabs>
                <w:tab w:val="decimal" w:pos="1320"/>
              </w:tabs>
              <w:rPr>
                <w:snapToGrid w:val="0"/>
                <w:color w:val="000000"/>
              </w:rPr>
            </w:pPr>
            <w:r>
              <w:rPr>
                <w:snapToGrid w:val="0"/>
                <w:color w:val="000000"/>
              </w:rPr>
              <w:t>1,</w:t>
            </w:r>
            <w:r w:rsidR="003725CC">
              <w:rPr>
                <w:snapToGrid w:val="0"/>
                <w:color w:val="000000"/>
              </w:rPr>
              <w:t>732,438</w:t>
            </w:r>
          </w:p>
        </w:tc>
        <w:tc>
          <w:tcPr>
            <w:tcW w:w="270" w:type="dxa"/>
          </w:tcPr>
          <w:p w14:paraId="04354B26" w14:textId="77777777" w:rsidR="00A12856" w:rsidRPr="00E74795" w:rsidRDefault="00A12856" w:rsidP="00A12856">
            <w:pPr>
              <w:jc w:val="right"/>
              <w:rPr>
                <w:snapToGrid w:val="0"/>
                <w:color w:val="000000"/>
              </w:rPr>
            </w:pPr>
          </w:p>
        </w:tc>
        <w:tc>
          <w:tcPr>
            <w:tcW w:w="1890" w:type="dxa"/>
          </w:tcPr>
          <w:p w14:paraId="0B90AE79" w14:textId="77777777" w:rsidR="00A12856" w:rsidRPr="00E74795" w:rsidRDefault="00A12856" w:rsidP="00A12856">
            <w:pPr>
              <w:tabs>
                <w:tab w:val="decimal" w:pos="1500"/>
              </w:tabs>
              <w:rPr>
                <w:snapToGrid w:val="0"/>
                <w:color w:val="000000"/>
              </w:rPr>
            </w:pPr>
            <w:r>
              <w:rPr>
                <w:snapToGrid w:val="0"/>
                <w:color w:val="000000"/>
              </w:rPr>
              <w:t>1,238,552</w:t>
            </w:r>
          </w:p>
        </w:tc>
      </w:tr>
      <w:tr w:rsidR="00A12856" w:rsidRPr="00EB7BF0" w14:paraId="0500EA37" w14:textId="77777777" w:rsidTr="00A12856">
        <w:trPr>
          <w:trHeight w:hRule="exact" w:val="230"/>
        </w:trPr>
        <w:tc>
          <w:tcPr>
            <w:tcW w:w="305" w:type="dxa"/>
          </w:tcPr>
          <w:p w14:paraId="42CEF289" w14:textId="77777777" w:rsidR="00A12856" w:rsidRPr="00EB7BF0" w:rsidRDefault="00A12856" w:rsidP="00A12856">
            <w:pPr>
              <w:jc w:val="right"/>
              <w:rPr>
                <w:snapToGrid w:val="0"/>
                <w:color w:val="000000"/>
              </w:rPr>
            </w:pPr>
          </w:p>
        </w:tc>
        <w:tc>
          <w:tcPr>
            <w:tcW w:w="5815" w:type="dxa"/>
            <w:gridSpan w:val="2"/>
          </w:tcPr>
          <w:p w14:paraId="183B4C96" w14:textId="77777777" w:rsidR="00A12856" w:rsidRPr="00E74795" w:rsidRDefault="00A12856" w:rsidP="00A12856">
            <w:pPr>
              <w:rPr>
                <w:snapToGrid w:val="0"/>
                <w:color w:val="000000"/>
              </w:rPr>
            </w:pPr>
            <w:r w:rsidRPr="00374FE3">
              <w:rPr>
                <w:snapToGrid w:val="0"/>
                <w:color w:val="000000"/>
              </w:rPr>
              <w:t xml:space="preserve">Current portion of notes payable (Note </w:t>
            </w:r>
            <w:r>
              <w:rPr>
                <w:snapToGrid w:val="0"/>
                <w:color w:val="000000"/>
              </w:rPr>
              <w:t>7</w:t>
            </w:r>
            <w:r w:rsidRPr="00374FE3">
              <w:rPr>
                <w:snapToGrid w:val="0"/>
                <w:color w:val="000000"/>
              </w:rPr>
              <w:t>)</w:t>
            </w:r>
          </w:p>
        </w:tc>
        <w:tc>
          <w:tcPr>
            <w:tcW w:w="90" w:type="dxa"/>
          </w:tcPr>
          <w:p w14:paraId="35F5CFAA" w14:textId="77777777" w:rsidR="00A12856" w:rsidRPr="00E74795" w:rsidRDefault="00A12856" w:rsidP="00A12856">
            <w:pPr>
              <w:jc w:val="right"/>
              <w:rPr>
                <w:snapToGrid w:val="0"/>
                <w:color w:val="000000"/>
              </w:rPr>
            </w:pPr>
          </w:p>
        </w:tc>
        <w:tc>
          <w:tcPr>
            <w:tcW w:w="1710" w:type="dxa"/>
            <w:tcBorders>
              <w:bottom w:val="single" w:sz="4" w:space="0" w:color="auto"/>
            </w:tcBorders>
          </w:tcPr>
          <w:p w14:paraId="322C76F0" w14:textId="283F036E" w:rsidR="00A12856" w:rsidRPr="00E74795" w:rsidRDefault="00817BB3" w:rsidP="00A12856">
            <w:pPr>
              <w:tabs>
                <w:tab w:val="decimal" w:pos="1320"/>
              </w:tabs>
              <w:rPr>
                <w:snapToGrid w:val="0"/>
                <w:color w:val="000000"/>
              </w:rPr>
            </w:pPr>
            <w:r>
              <w:rPr>
                <w:snapToGrid w:val="0"/>
                <w:color w:val="000000"/>
              </w:rPr>
              <w:t>12,500</w:t>
            </w:r>
          </w:p>
        </w:tc>
        <w:tc>
          <w:tcPr>
            <w:tcW w:w="270" w:type="dxa"/>
          </w:tcPr>
          <w:p w14:paraId="6EDBA848" w14:textId="77777777" w:rsidR="00A12856" w:rsidRPr="00E74795" w:rsidRDefault="00A12856" w:rsidP="00A12856">
            <w:pPr>
              <w:jc w:val="right"/>
              <w:rPr>
                <w:snapToGrid w:val="0"/>
                <w:color w:val="000000"/>
              </w:rPr>
            </w:pPr>
          </w:p>
        </w:tc>
        <w:tc>
          <w:tcPr>
            <w:tcW w:w="1890" w:type="dxa"/>
            <w:tcBorders>
              <w:bottom w:val="single" w:sz="4" w:space="0" w:color="auto"/>
            </w:tcBorders>
          </w:tcPr>
          <w:p w14:paraId="7BD3BCDA" w14:textId="77777777" w:rsidR="00A12856" w:rsidRPr="00E74795" w:rsidRDefault="00A12856" w:rsidP="00A12856">
            <w:pPr>
              <w:tabs>
                <w:tab w:val="decimal" w:pos="1195"/>
              </w:tabs>
              <w:jc w:val="center"/>
              <w:rPr>
                <w:snapToGrid w:val="0"/>
                <w:color w:val="000000"/>
              </w:rPr>
            </w:pPr>
            <w:r>
              <w:rPr>
                <w:snapToGrid w:val="0"/>
                <w:color w:val="000000"/>
              </w:rPr>
              <w:t>260,420</w:t>
            </w:r>
          </w:p>
        </w:tc>
      </w:tr>
      <w:tr w:rsidR="00A12856" w:rsidRPr="00EB7BF0" w14:paraId="6C0E38ED" w14:textId="77777777" w:rsidTr="00A12856">
        <w:trPr>
          <w:trHeight w:hRule="exact" w:val="230"/>
        </w:trPr>
        <w:tc>
          <w:tcPr>
            <w:tcW w:w="6120" w:type="dxa"/>
            <w:gridSpan w:val="3"/>
          </w:tcPr>
          <w:p w14:paraId="0F25EC91" w14:textId="77777777" w:rsidR="00A12856" w:rsidRPr="00E74795" w:rsidRDefault="00A12856" w:rsidP="00A12856">
            <w:pPr>
              <w:rPr>
                <w:snapToGrid w:val="0"/>
                <w:color w:val="000000"/>
              </w:rPr>
            </w:pPr>
            <w:r w:rsidRPr="00374FE3">
              <w:rPr>
                <w:snapToGrid w:val="0"/>
                <w:color w:val="000000"/>
              </w:rPr>
              <w:t>Total current liabilities</w:t>
            </w:r>
          </w:p>
        </w:tc>
        <w:tc>
          <w:tcPr>
            <w:tcW w:w="90" w:type="dxa"/>
          </w:tcPr>
          <w:p w14:paraId="3CF12D13" w14:textId="77777777" w:rsidR="00A12856" w:rsidRPr="00E74795" w:rsidRDefault="00A12856" w:rsidP="00A12856">
            <w:pPr>
              <w:jc w:val="right"/>
              <w:rPr>
                <w:snapToGrid w:val="0"/>
                <w:color w:val="000000"/>
              </w:rPr>
            </w:pPr>
          </w:p>
        </w:tc>
        <w:tc>
          <w:tcPr>
            <w:tcW w:w="1710" w:type="dxa"/>
            <w:tcBorders>
              <w:top w:val="single" w:sz="4" w:space="0" w:color="auto"/>
            </w:tcBorders>
          </w:tcPr>
          <w:p w14:paraId="0B5B06CD" w14:textId="077B28BE" w:rsidR="00A12856" w:rsidRPr="00E74795" w:rsidRDefault="00817BB3" w:rsidP="00A12856">
            <w:pPr>
              <w:tabs>
                <w:tab w:val="decimal" w:pos="1320"/>
              </w:tabs>
              <w:rPr>
                <w:snapToGrid w:val="0"/>
                <w:color w:val="000000"/>
              </w:rPr>
            </w:pPr>
            <w:r>
              <w:rPr>
                <w:snapToGrid w:val="0"/>
                <w:color w:val="000000"/>
              </w:rPr>
              <w:t>1,</w:t>
            </w:r>
            <w:r w:rsidR="003725CC">
              <w:rPr>
                <w:snapToGrid w:val="0"/>
                <w:color w:val="000000"/>
              </w:rPr>
              <w:t>808,081</w:t>
            </w:r>
          </w:p>
        </w:tc>
        <w:tc>
          <w:tcPr>
            <w:tcW w:w="270" w:type="dxa"/>
          </w:tcPr>
          <w:p w14:paraId="3E20923B" w14:textId="77777777" w:rsidR="00A12856" w:rsidRPr="00E74795" w:rsidRDefault="00A12856" w:rsidP="00A12856">
            <w:pPr>
              <w:jc w:val="right"/>
              <w:rPr>
                <w:snapToGrid w:val="0"/>
                <w:color w:val="000000"/>
              </w:rPr>
            </w:pPr>
          </w:p>
        </w:tc>
        <w:tc>
          <w:tcPr>
            <w:tcW w:w="1890" w:type="dxa"/>
            <w:tcBorders>
              <w:top w:val="single" w:sz="4" w:space="0" w:color="auto"/>
            </w:tcBorders>
          </w:tcPr>
          <w:p w14:paraId="0296BE46" w14:textId="77777777" w:rsidR="00A12856" w:rsidRPr="00E74795" w:rsidRDefault="00A12856" w:rsidP="00A12856">
            <w:pPr>
              <w:tabs>
                <w:tab w:val="decimal" w:pos="1500"/>
              </w:tabs>
              <w:rPr>
                <w:snapToGrid w:val="0"/>
                <w:color w:val="000000"/>
              </w:rPr>
            </w:pPr>
            <w:r>
              <w:rPr>
                <w:snapToGrid w:val="0"/>
                <w:color w:val="000000"/>
              </w:rPr>
              <w:t>1,624,831</w:t>
            </w:r>
          </w:p>
        </w:tc>
      </w:tr>
      <w:tr w:rsidR="00A12856" w:rsidRPr="00EB7BF0" w14:paraId="1DB9BF8F" w14:textId="77777777" w:rsidTr="00A12856">
        <w:trPr>
          <w:trHeight w:hRule="exact" w:val="230"/>
        </w:trPr>
        <w:tc>
          <w:tcPr>
            <w:tcW w:w="6120" w:type="dxa"/>
            <w:gridSpan w:val="3"/>
          </w:tcPr>
          <w:p w14:paraId="78AAD076" w14:textId="77777777" w:rsidR="00A12856" w:rsidRPr="00E74795" w:rsidRDefault="00A12856" w:rsidP="00A12856">
            <w:pPr>
              <w:rPr>
                <w:snapToGrid w:val="0"/>
                <w:color w:val="000000"/>
              </w:rPr>
            </w:pPr>
            <w:r w:rsidRPr="00374FE3">
              <w:rPr>
                <w:snapToGrid w:val="0"/>
                <w:color w:val="000000"/>
              </w:rPr>
              <w:t xml:space="preserve">Note payable, net of current portion (Note </w:t>
            </w:r>
            <w:r>
              <w:rPr>
                <w:snapToGrid w:val="0"/>
                <w:color w:val="000000"/>
              </w:rPr>
              <w:t>7</w:t>
            </w:r>
            <w:r w:rsidRPr="00374FE3">
              <w:rPr>
                <w:snapToGrid w:val="0"/>
                <w:color w:val="000000"/>
              </w:rPr>
              <w:t>)</w:t>
            </w:r>
          </w:p>
        </w:tc>
        <w:tc>
          <w:tcPr>
            <w:tcW w:w="90" w:type="dxa"/>
          </w:tcPr>
          <w:p w14:paraId="4C0C3315" w14:textId="77777777" w:rsidR="00A12856" w:rsidRPr="00E74795" w:rsidRDefault="00A12856" w:rsidP="00A12856">
            <w:pPr>
              <w:jc w:val="right"/>
              <w:rPr>
                <w:snapToGrid w:val="0"/>
                <w:color w:val="000000"/>
              </w:rPr>
            </w:pPr>
          </w:p>
        </w:tc>
        <w:tc>
          <w:tcPr>
            <w:tcW w:w="1710" w:type="dxa"/>
            <w:tcBorders>
              <w:bottom w:val="single" w:sz="4" w:space="0" w:color="auto"/>
            </w:tcBorders>
          </w:tcPr>
          <w:p w14:paraId="0B107BFB" w14:textId="0A922011" w:rsidR="00A12856" w:rsidRPr="00E74795" w:rsidRDefault="003725CC" w:rsidP="00A12856">
            <w:pPr>
              <w:tabs>
                <w:tab w:val="decimal" w:pos="1320"/>
              </w:tabs>
              <w:rPr>
                <w:snapToGrid w:val="0"/>
                <w:color w:val="000000"/>
              </w:rPr>
            </w:pPr>
            <w:r>
              <w:rPr>
                <w:snapToGrid w:val="0"/>
                <w:color w:val="000000"/>
              </w:rPr>
              <w:t>29,167</w:t>
            </w:r>
          </w:p>
        </w:tc>
        <w:tc>
          <w:tcPr>
            <w:tcW w:w="270" w:type="dxa"/>
          </w:tcPr>
          <w:p w14:paraId="12710D60" w14:textId="77777777" w:rsidR="00A12856" w:rsidRPr="00E74795" w:rsidRDefault="00A12856" w:rsidP="00A12856">
            <w:pPr>
              <w:jc w:val="right"/>
              <w:rPr>
                <w:snapToGrid w:val="0"/>
                <w:color w:val="000000"/>
              </w:rPr>
            </w:pPr>
          </w:p>
        </w:tc>
        <w:tc>
          <w:tcPr>
            <w:tcW w:w="1890" w:type="dxa"/>
            <w:tcBorders>
              <w:bottom w:val="single" w:sz="4" w:space="0" w:color="auto"/>
            </w:tcBorders>
          </w:tcPr>
          <w:p w14:paraId="161AD067" w14:textId="77777777" w:rsidR="00A12856" w:rsidRPr="00E74795" w:rsidRDefault="00A12856" w:rsidP="00A12856">
            <w:pPr>
              <w:tabs>
                <w:tab w:val="decimal" w:pos="1500"/>
              </w:tabs>
              <w:rPr>
                <w:snapToGrid w:val="0"/>
                <w:color w:val="000000"/>
              </w:rPr>
            </w:pPr>
            <w:r>
              <w:rPr>
                <w:snapToGrid w:val="0"/>
                <w:color w:val="000000"/>
              </w:rPr>
              <w:t>39,580</w:t>
            </w:r>
          </w:p>
        </w:tc>
      </w:tr>
      <w:tr w:rsidR="00A12856" w:rsidRPr="00EB7BF0" w14:paraId="28940B1F" w14:textId="77777777" w:rsidTr="00A12856">
        <w:trPr>
          <w:trHeight w:hRule="exact" w:val="230"/>
        </w:trPr>
        <w:tc>
          <w:tcPr>
            <w:tcW w:w="6120" w:type="dxa"/>
            <w:gridSpan w:val="3"/>
          </w:tcPr>
          <w:p w14:paraId="79F69701" w14:textId="77777777" w:rsidR="00A12856" w:rsidRPr="00E74795" w:rsidRDefault="00A12856" w:rsidP="00A12856">
            <w:pPr>
              <w:rPr>
                <w:snapToGrid w:val="0"/>
                <w:color w:val="000000"/>
              </w:rPr>
            </w:pPr>
            <w:r w:rsidRPr="00374FE3">
              <w:rPr>
                <w:snapToGrid w:val="0"/>
                <w:color w:val="000000"/>
              </w:rPr>
              <w:t>Total liabilities</w:t>
            </w:r>
          </w:p>
        </w:tc>
        <w:tc>
          <w:tcPr>
            <w:tcW w:w="90" w:type="dxa"/>
          </w:tcPr>
          <w:p w14:paraId="040BFB33" w14:textId="77777777" w:rsidR="00A12856" w:rsidRPr="00E74795" w:rsidRDefault="00A12856" w:rsidP="00A12856">
            <w:pPr>
              <w:jc w:val="right"/>
              <w:rPr>
                <w:snapToGrid w:val="0"/>
                <w:color w:val="000000"/>
              </w:rPr>
            </w:pPr>
          </w:p>
        </w:tc>
        <w:tc>
          <w:tcPr>
            <w:tcW w:w="1710" w:type="dxa"/>
            <w:tcBorders>
              <w:top w:val="single" w:sz="4" w:space="0" w:color="auto"/>
            </w:tcBorders>
          </w:tcPr>
          <w:p w14:paraId="5AB0947D" w14:textId="5EF1C1DF" w:rsidR="00A12856" w:rsidRPr="00E74795" w:rsidRDefault="00817BB3" w:rsidP="00A12856">
            <w:pPr>
              <w:tabs>
                <w:tab w:val="decimal" w:pos="1320"/>
              </w:tabs>
              <w:rPr>
                <w:snapToGrid w:val="0"/>
                <w:color w:val="000000"/>
              </w:rPr>
            </w:pPr>
            <w:r>
              <w:rPr>
                <w:snapToGrid w:val="0"/>
                <w:color w:val="000000"/>
              </w:rPr>
              <w:t>1,</w:t>
            </w:r>
            <w:r w:rsidR="003725CC">
              <w:rPr>
                <w:snapToGrid w:val="0"/>
                <w:color w:val="000000"/>
              </w:rPr>
              <w:t>837,248</w:t>
            </w:r>
          </w:p>
        </w:tc>
        <w:tc>
          <w:tcPr>
            <w:tcW w:w="270" w:type="dxa"/>
          </w:tcPr>
          <w:p w14:paraId="433D6BC2" w14:textId="77777777" w:rsidR="00A12856" w:rsidRPr="00E74795" w:rsidRDefault="00A12856" w:rsidP="00A12856">
            <w:pPr>
              <w:jc w:val="right"/>
              <w:rPr>
                <w:snapToGrid w:val="0"/>
                <w:color w:val="000000"/>
              </w:rPr>
            </w:pPr>
          </w:p>
        </w:tc>
        <w:tc>
          <w:tcPr>
            <w:tcW w:w="1890" w:type="dxa"/>
            <w:tcBorders>
              <w:top w:val="single" w:sz="4" w:space="0" w:color="auto"/>
            </w:tcBorders>
          </w:tcPr>
          <w:p w14:paraId="265BBDFB" w14:textId="77777777" w:rsidR="00A12856" w:rsidRPr="00E74795" w:rsidRDefault="00A12856" w:rsidP="00A12856">
            <w:pPr>
              <w:tabs>
                <w:tab w:val="decimal" w:pos="1500"/>
              </w:tabs>
              <w:rPr>
                <w:snapToGrid w:val="0"/>
                <w:color w:val="000000"/>
              </w:rPr>
            </w:pPr>
            <w:r>
              <w:rPr>
                <w:snapToGrid w:val="0"/>
                <w:color w:val="000000"/>
              </w:rPr>
              <w:t>1,664,411</w:t>
            </w:r>
          </w:p>
        </w:tc>
      </w:tr>
      <w:tr w:rsidR="00A12856" w:rsidRPr="00EB7BF0" w14:paraId="3D0F869B" w14:textId="77777777" w:rsidTr="00A12856">
        <w:trPr>
          <w:trHeight w:hRule="exact" w:val="230"/>
        </w:trPr>
        <w:tc>
          <w:tcPr>
            <w:tcW w:w="305" w:type="dxa"/>
          </w:tcPr>
          <w:p w14:paraId="527B5BEF" w14:textId="77777777" w:rsidR="00A12856" w:rsidRPr="00EB7BF0" w:rsidRDefault="00A12856" w:rsidP="00A12856">
            <w:pPr>
              <w:jc w:val="right"/>
              <w:rPr>
                <w:snapToGrid w:val="0"/>
                <w:color w:val="000000"/>
              </w:rPr>
            </w:pPr>
          </w:p>
        </w:tc>
        <w:tc>
          <w:tcPr>
            <w:tcW w:w="302" w:type="dxa"/>
          </w:tcPr>
          <w:p w14:paraId="6182B817" w14:textId="77777777" w:rsidR="00A12856" w:rsidRPr="00EB7BF0" w:rsidRDefault="00A12856" w:rsidP="00A12856">
            <w:pPr>
              <w:jc w:val="right"/>
              <w:rPr>
                <w:snapToGrid w:val="0"/>
                <w:color w:val="000000"/>
              </w:rPr>
            </w:pPr>
          </w:p>
        </w:tc>
        <w:tc>
          <w:tcPr>
            <w:tcW w:w="5513" w:type="dxa"/>
          </w:tcPr>
          <w:p w14:paraId="6EDD2325" w14:textId="77777777" w:rsidR="00A12856" w:rsidRPr="00E74795" w:rsidRDefault="00A12856" w:rsidP="00A12856">
            <w:pPr>
              <w:rPr>
                <w:snapToGrid w:val="0"/>
                <w:color w:val="000000"/>
              </w:rPr>
            </w:pPr>
          </w:p>
        </w:tc>
        <w:tc>
          <w:tcPr>
            <w:tcW w:w="90" w:type="dxa"/>
          </w:tcPr>
          <w:p w14:paraId="349A25A6" w14:textId="77777777" w:rsidR="00A12856" w:rsidRPr="00E74795" w:rsidRDefault="00A12856" w:rsidP="00A12856">
            <w:pPr>
              <w:jc w:val="right"/>
              <w:rPr>
                <w:snapToGrid w:val="0"/>
                <w:color w:val="000000"/>
              </w:rPr>
            </w:pPr>
          </w:p>
        </w:tc>
        <w:tc>
          <w:tcPr>
            <w:tcW w:w="1710" w:type="dxa"/>
          </w:tcPr>
          <w:p w14:paraId="18A317AA" w14:textId="77777777" w:rsidR="00A12856" w:rsidRPr="00E74795" w:rsidRDefault="00A12856" w:rsidP="00A12856">
            <w:pPr>
              <w:tabs>
                <w:tab w:val="decimal" w:pos="1320"/>
              </w:tabs>
              <w:rPr>
                <w:snapToGrid w:val="0"/>
                <w:color w:val="000000"/>
              </w:rPr>
            </w:pPr>
          </w:p>
        </w:tc>
        <w:tc>
          <w:tcPr>
            <w:tcW w:w="270" w:type="dxa"/>
          </w:tcPr>
          <w:p w14:paraId="43CF9DBD" w14:textId="77777777" w:rsidR="00A12856" w:rsidRPr="00E74795" w:rsidRDefault="00A12856" w:rsidP="00A12856">
            <w:pPr>
              <w:jc w:val="right"/>
              <w:rPr>
                <w:snapToGrid w:val="0"/>
                <w:color w:val="000000"/>
              </w:rPr>
            </w:pPr>
          </w:p>
        </w:tc>
        <w:tc>
          <w:tcPr>
            <w:tcW w:w="1890" w:type="dxa"/>
          </w:tcPr>
          <w:p w14:paraId="0EE3325B" w14:textId="77777777" w:rsidR="00A12856" w:rsidRDefault="00A12856" w:rsidP="00A12856">
            <w:pPr>
              <w:tabs>
                <w:tab w:val="decimal" w:pos="1500"/>
              </w:tabs>
              <w:rPr>
                <w:snapToGrid w:val="0"/>
                <w:color w:val="000000"/>
              </w:rPr>
            </w:pPr>
          </w:p>
        </w:tc>
      </w:tr>
      <w:tr w:rsidR="00A12856" w:rsidRPr="00EB7BF0" w14:paraId="1F83B236" w14:textId="77777777" w:rsidTr="00A12856">
        <w:trPr>
          <w:trHeight w:hRule="exact" w:val="230"/>
        </w:trPr>
        <w:tc>
          <w:tcPr>
            <w:tcW w:w="6120" w:type="dxa"/>
            <w:gridSpan w:val="3"/>
          </w:tcPr>
          <w:p w14:paraId="17ABAEF8" w14:textId="77777777" w:rsidR="00A12856" w:rsidRPr="00E74795" w:rsidRDefault="00A12856" w:rsidP="00A12856">
            <w:pPr>
              <w:rPr>
                <w:snapToGrid w:val="0"/>
                <w:color w:val="000000"/>
              </w:rPr>
            </w:pPr>
            <w:r w:rsidRPr="00374FE3">
              <w:rPr>
                <w:snapToGrid w:val="0"/>
                <w:color w:val="000000"/>
              </w:rPr>
              <w:t xml:space="preserve">Commitments (Note </w:t>
            </w:r>
            <w:r>
              <w:rPr>
                <w:snapToGrid w:val="0"/>
                <w:color w:val="000000"/>
              </w:rPr>
              <w:t>8</w:t>
            </w:r>
            <w:r w:rsidRPr="00374FE3">
              <w:rPr>
                <w:snapToGrid w:val="0"/>
                <w:color w:val="000000"/>
              </w:rPr>
              <w:t>)</w:t>
            </w:r>
          </w:p>
        </w:tc>
        <w:tc>
          <w:tcPr>
            <w:tcW w:w="90" w:type="dxa"/>
          </w:tcPr>
          <w:p w14:paraId="30641E96" w14:textId="77777777" w:rsidR="00A12856" w:rsidRPr="00E74795" w:rsidRDefault="00A12856" w:rsidP="00A12856">
            <w:pPr>
              <w:jc w:val="right"/>
              <w:rPr>
                <w:snapToGrid w:val="0"/>
                <w:color w:val="000000"/>
              </w:rPr>
            </w:pPr>
          </w:p>
        </w:tc>
        <w:tc>
          <w:tcPr>
            <w:tcW w:w="1710" w:type="dxa"/>
          </w:tcPr>
          <w:p w14:paraId="0BF626B4" w14:textId="77777777" w:rsidR="00A12856" w:rsidRPr="00E74795" w:rsidRDefault="00A12856" w:rsidP="00A12856">
            <w:pPr>
              <w:tabs>
                <w:tab w:val="decimal" w:pos="1195"/>
              </w:tabs>
              <w:jc w:val="right"/>
              <w:rPr>
                <w:snapToGrid w:val="0"/>
                <w:color w:val="000000"/>
              </w:rPr>
            </w:pPr>
          </w:p>
        </w:tc>
        <w:tc>
          <w:tcPr>
            <w:tcW w:w="270" w:type="dxa"/>
          </w:tcPr>
          <w:p w14:paraId="7D37826E" w14:textId="77777777" w:rsidR="00A12856" w:rsidRPr="00E74795" w:rsidRDefault="00A12856" w:rsidP="00A12856">
            <w:pPr>
              <w:jc w:val="right"/>
              <w:rPr>
                <w:snapToGrid w:val="0"/>
                <w:color w:val="000000"/>
              </w:rPr>
            </w:pPr>
          </w:p>
        </w:tc>
        <w:tc>
          <w:tcPr>
            <w:tcW w:w="1890" w:type="dxa"/>
          </w:tcPr>
          <w:p w14:paraId="5593BB42" w14:textId="77777777" w:rsidR="00A12856" w:rsidRPr="00E74795" w:rsidRDefault="00A12856" w:rsidP="00A12856">
            <w:pPr>
              <w:tabs>
                <w:tab w:val="decimal" w:pos="1195"/>
              </w:tabs>
              <w:jc w:val="right"/>
              <w:rPr>
                <w:snapToGrid w:val="0"/>
                <w:color w:val="000000"/>
              </w:rPr>
            </w:pPr>
          </w:p>
        </w:tc>
      </w:tr>
      <w:tr w:rsidR="00A12856" w:rsidRPr="00EB7BF0" w14:paraId="1AC0BD84" w14:textId="77777777" w:rsidTr="00A12856">
        <w:trPr>
          <w:trHeight w:hRule="exact" w:val="230"/>
        </w:trPr>
        <w:tc>
          <w:tcPr>
            <w:tcW w:w="305" w:type="dxa"/>
          </w:tcPr>
          <w:p w14:paraId="1A58964A" w14:textId="77777777" w:rsidR="00A12856" w:rsidRPr="00EB7BF0" w:rsidRDefault="00A12856" w:rsidP="00A12856">
            <w:pPr>
              <w:jc w:val="right"/>
              <w:rPr>
                <w:snapToGrid w:val="0"/>
                <w:color w:val="000000"/>
              </w:rPr>
            </w:pPr>
          </w:p>
        </w:tc>
        <w:tc>
          <w:tcPr>
            <w:tcW w:w="302" w:type="dxa"/>
          </w:tcPr>
          <w:p w14:paraId="538A5219" w14:textId="77777777" w:rsidR="00A12856" w:rsidRPr="00EB7BF0" w:rsidRDefault="00A12856" w:rsidP="00A12856">
            <w:pPr>
              <w:jc w:val="right"/>
              <w:rPr>
                <w:snapToGrid w:val="0"/>
                <w:color w:val="000000"/>
              </w:rPr>
            </w:pPr>
          </w:p>
        </w:tc>
        <w:tc>
          <w:tcPr>
            <w:tcW w:w="5513" w:type="dxa"/>
          </w:tcPr>
          <w:p w14:paraId="7C7C7247" w14:textId="77777777" w:rsidR="00A12856" w:rsidRPr="00E74795" w:rsidRDefault="00A12856" w:rsidP="00A12856">
            <w:pPr>
              <w:jc w:val="right"/>
              <w:rPr>
                <w:snapToGrid w:val="0"/>
                <w:color w:val="000000"/>
              </w:rPr>
            </w:pPr>
          </w:p>
        </w:tc>
        <w:tc>
          <w:tcPr>
            <w:tcW w:w="90" w:type="dxa"/>
          </w:tcPr>
          <w:p w14:paraId="4D390EE5" w14:textId="77777777" w:rsidR="00A12856" w:rsidRPr="00E74795" w:rsidRDefault="00A12856" w:rsidP="00A12856">
            <w:pPr>
              <w:jc w:val="right"/>
              <w:rPr>
                <w:snapToGrid w:val="0"/>
                <w:color w:val="000000"/>
              </w:rPr>
            </w:pPr>
          </w:p>
        </w:tc>
        <w:tc>
          <w:tcPr>
            <w:tcW w:w="1710" w:type="dxa"/>
          </w:tcPr>
          <w:p w14:paraId="20FD3FD5" w14:textId="77777777" w:rsidR="00A12856" w:rsidRPr="00E74795" w:rsidRDefault="00A12856" w:rsidP="00A12856">
            <w:pPr>
              <w:tabs>
                <w:tab w:val="decimal" w:pos="1195"/>
              </w:tabs>
              <w:jc w:val="right"/>
              <w:rPr>
                <w:snapToGrid w:val="0"/>
                <w:color w:val="000000"/>
              </w:rPr>
            </w:pPr>
          </w:p>
        </w:tc>
        <w:tc>
          <w:tcPr>
            <w:tcW w:w="270" w:type="dxa"/>
          </w:tcPr>
          <w:p w14:paraId="2E86A3A6" w14:textId="77777777" w:rsidR="00A12856" w:rsidRPr="00E74795" w:rsidRDefault="00A12856" w:rsidP="00A12856">
            <w:pPr>
              <w:jc w:val="right"/>
              <w:rPr>
                <w:snapToGrid w:val="0"/>
                <w:color w:val="000000"/>
              </w:rPr>
            </w:pPr>
          </w:p>
        </w:tc>
        <w:tc>
          <w:tcPr>
            <w:tcW w:w="1890" w:type="dxa"/>
          </w:tcPr>
          <w:p w14:paraId="7E40E5E7" w14:textId="77777777" w:rsidR="00A12856" w:rsidRPr="00E74795" w:rsidRDefault="00A12856" w:rsidP="00A12856">
            <w:pPr>
              <w:tabs>
                <w:tab w:val="decimal" w:pos="1195"/>
              </w:tabs>
              <w:jc w:val="right"/>
              <w:rPr>
                <w:snapToGrid w:val="0"/>
                <w:color w:val="000000"/>
              </w:rPr>
            </w:pPr>
          </w:p>
        </w:tc>
      </w:tr>
      <w:tr w:rsidR="00A12856" w:rsidRPr="00EB7BF0" w14:paraId="4A97AE61" w14:textId="77777777" w:rsidTr="00A12856">
        <w:trPr>
          <w:trHeight w:hRule="exact" w:val="230"/>
        </w:trPr>
        <w:tc>
          <w:tcPr>
            <w:tcW w:w="6120" w:type="dxa"/>
            <w:gridSpan w:val="3"/>
          </w:tcPr>
          <w:p w14:paraId="6F332853" w14:textId="77777777" w:rsidR="00A12856" w:rsidRPr="00E74795" w:rsidRDefault="00A12856" w:rsidP="00A12856">
            <w:pPr>
              <w:rPr>
                <w:snapToGrid w:val="0"/>
                <w:color w:val="000000"/>
              </w:rPr>
            </w:pPr>
            <w:r w:rsidRPr="00374FE3">
              <w:rPr>
                <w:snapToGrid w:val="0"/>
                <w:color w:val="000000"/>
              </w:rPr>
              <w:t>Stockholders’ equity (deficiency):</w:t>
            </w:r>
          </w:p>
        </w:tc>
        <w:tc>
          <w:tcPr>
            <w:tcW w:w="90" w:type="dxa"/>
          </w:tcPr>
          <w:p w14:paraId="189EDAE9" w14:textId="77777777" w:rsidR="00A12856" w:rsidRPr="00E74795" w:rsidRDefault="00A12856" w:rsidP="00A12856">
            <w:pPr>
              <w:jc w:val="right"/>
              <w:rPr>
                <w:snapToGrid w:val="0"/>
                <w:color w:val="000000"/>
              </w:rPr>
            </w:pPr>
          </w:p>
        </w:tc>
        <w:tc>
          <w:tcPr>
            <w:tcW w:w="1710" w:type="dxa"/>
          </w:tcPr>
          <w:p w14:paraId="2140DFB5" w14:textId="77777777" w:rsidR="00A12856" w:rsidRPr="00E74795" w:rsidRDefault="00A12856" w:rsidP="00A12856">
            <w:pPr>
              <w:tabs>
                <w:tab w:val="decimal" w:pos="1195"/>
              </w:tabs>
              <w:jc w:val="right"/>
              <w:rPr>
                <w:snapToGrid w:val="0"/>
                <w:color w:val="000000"/>
              </w:rPr>
            </w:pPr>
          </w:p>
        </w:tc>
        <w:tc>
          <w:tcPr>
            <w:tcW w:w="270" w:type="dxa"/>
          </w:tcPr>
          <w:p w14:paraId="50D2EC08" w14:textId="77777777" w:rsidR="00A12856" w:rsidRPr="00E74795" w:rsidRDefault="00A12856" w:rsidP="00A12856">
            <w:pPr>
              <w:jc w:val="right"/>
              <w:rPr>
                <w:snapToGrid w:val="0"/>
                <w:color w:val="000000"/>
              </w:rPr>
            </w:pPr>
          </w:p>
        </w:tc>
        <w:tc>
          <w:tcPr>
            <w:tcW w:w="1890" w:type="dxa"/>
          </w:tcPr>
          <w:p w14:paraId="46B5E179" w14:textId="77777777" w:rsidR="00A12856" w:rsidRPr="00E74795" w:rsidRDefault="00A12856" w:rsidP="00A12856">
            <w:pPr>
              <w:tabs>
                <w:tab w:val="decimal" w:pos="1195"/>
              </w:tabs>
              <w:jc w:val="right"/>
              <w:rPr>
                <w:snapToGrid w:val="0"/>
                <w:color w:val="000000"/>
              </w:rPr>
            </w:pPr>
          </w:p>
        </w:tc>
      </w:tr>
      <w:tr w:rsidR="00A12856" w:rsidRPr="00EB7BF0" w14:paraId="37537B6C" w14:textId="77777777" w:rsidTr="00A12856">
        <w:trPr>
          <w:trHeight w:hRule="exact" w:val="230"/>
        </w:trPr>
        <w:tc>
          <w:tcPr>
            <w:tcW w:w="305" w:type="dxa"/>
          </w:tcPr>
          <w:p w14:paraId="056194F4" w14:textId="77777777" w:rsidR="00A12856" w:rsidRPr="00EB7BF0" w:rsidRDefault="00A12856" w:rsidP="00A12856">
            <w:pPr>
              <w:jc w:val="right"/>
              <w:rPr>
                <w:snapToGrid w:val="0"/>
                <w:color w:val="000000"/>
              </w:rPr>
            </w:pPr>
          </w:p>
        </w:tc>
        <w:tc>
          <w:tcPr>
            <w:tcW w:w="5815" w:type="dxa"/>
            <w:gridSpan w:val="2"/>
          </w:tcPr>
          <w:p w14:paraId="7B5ABF4B" w14:textId="484866A6" w:rsidR="00A12856" w:rsidRPr="00E74795" w:rsidRDefault="00A12856" w:rsidP="00A12856">
            <w:pPr>
              <w:tabs>
                <w:tab w:val="left" w:pos="203"/>
              </w:tabs>
              <w:rPr>
                <w:snapToGrid w:val="0"/>
                <w:color w:val="000000"/>
              </w:rPr>
            </w:pPr>
            <w:r>
              <w:rPr>
                <w:snapToGrid w:val="0"/>
                <w:color w:val="000000"/>
              </w:rPr>
              <w:t>Preferred Stock, $.01 par value</w:t>
            </w:r>
            <w:r w:rsidR="001F4C15">
              <w:rPr>
                <w:snapToGrid w:val="0"/>
                <w:color w:val="000000"/>
              </w:rPr>
              <w:t xml:space="preserve"> (Note 9)</w:t>
            </w:r>
            <w:r w:rsidR="00D46156">
              <w:rPr>
                <w:snapToGrid w:val="0"/>
                <w:color w:val="000000"/>
              </w:rPr>
              <w:t>:</w:t>
            </w:r>
          </w:p>
        </w:tc>
        <w:tc>
          <w:tcPr>
            <w:tcW w:w="90" w:type="dxa"/>
          </w:tcPr>
          <w:p w14:paraId="6369901D" w14:textId="77777777" w:rsidR="00A12856" w:rsidRPr="00E74795" w:rsidRDefault="00A12856" w:rsidP="00A12856">
            <w:pPr>
              <w:jc w:val="right"/>
              <w:rPr>
                <w:snapToGrid w:val="0"/>
                <w:color w:val="000000"/>
              </w:rPr>
            </w:pPr>
          </w:p>
        </w:tc>
        <w:tc>
          <w:tcPr>
            <w:tcW w:w="1710" w:type="dxa"/>
          </w:tcPr>
          <w:p w14:paraId="63CA89B7" w14:textId="45E90FC3" w:rsidR="00A12856" w:rsidRPr="00E74795" w:rsidRDefault="00A12856" w:rsidP="00A12856">
            <w:pPr>
              <w:tabs>
                <w:tab w:val="decimal" w:pos="1320"/>
              </w:tabs>
              <w:rPr>
                <w:snapToGrid w:val="0"/>
                <w:color w:val="000000"/>
              </w:rPr>
            </w:pPr>
          </w:p>
        </w:tc>
        <w:tc>
          <w:tcPr>
            <w:tcW w:w="270" w:type="dxa"/>
          </w:tcPr>
          <w:p w14:paraId="6C1221DF" w14:textId="77777777" w:rsidR="00A12856" w:rsidRPr="00E74795" w:rsidRDefault="00A12856" w:rsidP="00A12856">
            <w:pPr>
              <w:jc w:val="right"/>
              <w:rPr>
                <w:snapToGrid w:val="0"/>
                <w:color w:val="000000"/>
              </w:rPr>
            </w:pPr>
          </w:p>
        </w:tc>
        <w:tc>
          <w:tcPr>
            <w:tcW w:w="1890" w:type="dxa"/>
          </w:tcPr>
          <w:p w14:paraId="0EAA538A" w14:textId="05BEE5DC" w:rsidR="00A12856" w:rsidRPr="00E74795" w:rsidRDefault="00A12856" w:rsidP="00A12856">
            <w:pPr>
              <w:tabs>
                <w:tab w:val="decimal" w:pos="1500"/>
              </w:tabs>
              <w:rPr>
                <w:snapToGrid w:val="0"/>
                <w:color w:val="000000"/>
              </w:rPr>
            </w:pPr>
          </w:p>
        </w:tc>
      </w:tr>
      <w:tr w:rsidR="00D46156" w:rsidRPr="00EB7BF0" w14:paraId="234E2E78" w14:textId="77777777" w:rsidTr="00D46156">
        <w:trPr>
          <w:trHeight w:hRule="exact" w:val="230"/>
        </w:trPr>
        <w:tc>
          <w:tcPr>
            <w:tcW w:w="305" w:type="dxa"/>
          </w:tcPr>
          <w:p w14:paraId="05B7AA45" w14:textId="77777777" w:rsidR="00D46156" w:rsidRPr="00EB7BF0" w:rsidRDefault="00D46156" w:rsidP="00D46156">
            <w:pPr>
              <w:jc w:val="right"/>
              <w:rPr>
                <w:snapToGrid w:val="0"/>
                <w:color w:val="000000"/>
              </w:rPr>
            </w:pPr>
          </w:p>
        </w:tc>
        <w:tc>
          <w:tcPr>
            <w:tcW w:w="302" w:type="dxa"/>
          </w:tcPr>
          <w:p w14:paraId="720BCDBD" w14:textId="77777777" w:rsidR="00D46156" w:rsidRPr="00EB7BF0" w:rsidRDefault="00D46156" w:rsidP="00D46156">
            <w:pPr>
              <w:jc w:val="right"/>
              <w:rPr>
                <w:snapToGrid w:val="0"/>
                <w:color w:val="000000"/>
              </w:rPr>
            </w:pPr>
          </w:p>
        </w:tc>
        <w:tc>
          <w:tcPr>
            <w:tcW w:w="5513" w:type="dxa"/>
          </w:tcPr>
          <w:p w14:paraId="49E0C019" w14:textId="39476E74" w:rsidR="00D46156" w:rsidRPr="00374FE3" w:rsidRDefault="00D46156" w:rsidP="00D46156">
            <w:pPr>
              <w:tabs>
                <w:tab w:val="left" w:pos="203"/>
              </w:tabs>
              <w:rPr>
                <w:snapToGrid w:val="0"/>
                <w:color w:val="000000"/>
              </w:rPr>
            </w:pPr>
            <w:r w:rsidRPr="00374FE3">
              <w:rPr>
                <w:snapToGrid w:val="0"/>
                <w:color w:val="000000"/>
              </w:rPr>
              <w:t xml:space="preserve">Authorized shares – </w:t>
            </w:r>
            <w:r>
              <w:rPr>
                <w:snapToGrid w:val="0"/>
                <w:color w:val="000000"/>
              </w:rPr>
              <w:t>1</w:t>
            </w:r>
            <w:r w:rsidRPr="00374FE3">
              <w:rPr>
                <w:snapToGrid w:val="0"/>
                <w:color w:val="000000"/>
              </w:rPr>
              <w:t>0,000,000</w:t>
            </w:r>
          </w:p>
          <w:p w14:paraId="4E366369" w14:textId="77777777" w:rsidR="00D46156" w:rsidRPr="00E74795" w:rsidRDefault="00D46156" w:rsidP="00D46156">
            <w:pPr>
              <w:tabs>
                <w:tab w:val="left" w:pos="203"/>
              </w:tabs>
              <w:rPr>
                <w:snapToGrid w:val="0"/>
                <w:color w:val="000000"/>
              </w:rPr>
            </w:pPr>
          </w:p>
        </w:tc>
        <w:tc>
          <w:tcPr>
            <w:tcW w:w="90" w:type="dxa"/>
          </w:tcPr>
          <w:p w14:paraId="1790954E" w14:textId="77777777" w:rsidR="00D46156" w:rsidRPr="00E74795" w:rsidRDefault="00D46156" w:rsidP="00D46156">
            <w:pPr>
              <w:jc w:val="right"/>
              <w:rPr>
                <w:snapToGrid w:val="0"/>
                <w:color w:val="000000"/>
              </w:rPr>
            </w:pPr>
          </w:p>
        </w:tc>
        <w:tc>
          <w:tcPr>
            <w:tcW w:w="1710" w:type="dxa"/>
          </w:tcPr>
          <w:p w14:paraId="20BC82DE" w14:textId="77777777" w:rsidR="00D46156" w:rsidRPr="00E74795" w:rsidRDefault="00D46156" w:rsidP="00D46156">
            <w:pPr>
              <w:tabs>
                <w:tab w:val="decimal" w:pos="1320"/>
              </w:tabs>
              <w:jc w:val="right"/>
              <w:rPr>
                <w:snapToGrid w:val="0"/>
                <w:color w:val="000000"/>
              </w:rPr>
            </w:pPr>
          </w:p>
        </w:tc>
        <w:tc>
          <w:tcPr>
            <w:tcW w:w="270" w:type="dxa"/>
          </w:tcPr>
          <w:p w14:paraId="7AF53498" w14:textId="77777777" w:rsidR="00D46156" w:rsidRPr="00E74795" w:rsidRDefault="00D46156" w:rsidP="00D46156">
            <w:pPr>
              <w:jc w:val="right"/>
              <w:rPr>
                <w:snapToGrid w:val="0"/>
                <w:color w:val="000000"/>
              </w:rPr>
            </w:pPr>
          </w:p>
        </w:tc>
        <w:tc>
          <w:tcPr>
            <w:tcW w:w="1890" w:type="dxa"/>
          </w:tcPr>
          <w:p w14:paraId="2BEFA308" w14:textId="77777777" w:rsidR="00D46156" w:rsidRPr="00E74795" w:rsidRDefault="00D46156" w:rsidP="00D46156">
            <w:pPr>
              <w:tabs>
                <w:tab w:val="decimal" w:pos="1500"/>
              </w:tabs>
              <w:jc w:val="right"/>
              <w:rPr>
                <w:snapToGrid w:val="0"/>
                <w:color w:val="000000"/>
              </w:rPr>
            </w:pPr>
          </w:p>
        </w:tc>
      </w:tr>
      <w:tr w:rsidR="00D46156" w:rsidRPr="00EB7BF0" w14:paraId="52C498F6" w14:textId="77777777" w:rsidTr="00D46156">
        <w:trPr>
          <w:trHeight w:hRule="exact" w:val="230"/>
        </w:trPr>
        <w:tc>
          <w:tcPr>
            <w:tcW w:w="305" w:type="dxa"/>
          </w:tcPr>
          <w:p w14:paraId="09596CCA" w14:textId="77777777" w:rsidR="00D46156" w:rsidRPr="00EB7BF0" w:rsidRDefault="00D46156" w:rsidP="00D46156">
            <w:pPr>
              <w:jc w:val="right"/>
              <w:rPr>
                <w:snapToGrid w:val="0"/>
                <w:color w:val="000000"/>
              </w:rPr>
            </w:pPr>
          </w:p>
        </w:tc>
        <w:tc>
          <w:tcPr>
            <w:tcW w:w="302" w:type="dxa"/>
          </w:tcPr>
          <w:p w14:paraId="46AF47E4" w14:textId="77777777" w:rsidR="00D46156" w:rsidRPr="00EB7BF0" w:rsidRDefault="00D46156" w:rsidP="00D46156">
            <w:pPr>
              <w:jc w:val="right"/>
              <w:rPr>
                <w:snapToGrid w:val="0"/>
                <w:color w:val="000000"/>
              </w:rPr>
            </w:pPr>
          </w:p>
        </w:tc>
        <w:tc>
          <w:tcPr>
            <w:tcW w:w="5513" w:type="dxa"/>
          </w:tcPr>
          <w:p w14:paraId="4D65CCBF" w14:textId="2A15CE32" w:rsidR="00D46156" w:rsidRPr="00E74795" w:rsidRDefault="00D46156" w:rsidP="00D46156">
            <w:pPr>
              <w:tabs>
                <w:tab w:val="left" w:pos="203"/>
              </w:tabs>
              <w:rPr>
                <w:snapToGrid w:val="0"/>
                <w:color w:val="000000"/>
              </w:rPr>
            </w:pPr>
            <w:r w:rsidRPr="00374FE3">
              <w:rPr>
                <w:snapToGrid w:val="0"/>
                <w:color w:val="000000"/>
              </w:rPr>
              <w:t xml:space="preserve">Issued and outstanding shares – </w:t>
            </w:r>
            <w:r w:rsidR="00176E63">
              <w:rPr>
                <w:snapToGrid w:val="0"/>
                <w:color w:val="000000"/>
              </w:rPr>
              <w:t>3,</w:t>
            </w:r>
            <w:r w:rsidR="001F4C15">
              <w:rPr>
                <w:snapToGrid w:val="0"/>
                <w:color w:val="000000"/>
              </w:rPr>
              <w:t>054</w:t>
            </w:r>
            <w:r w:rsidRPr="00374FE3">
              <w:rPr>
                <w:snapToGrid w:val="0"/>
                <w:color w:val="000000"/>
              </w:rPr>
              <w:t xml:space="preserve"> and </w:t>
            </w:r>
            <w:r w:rsidR="00176E63">
              <w:rPr>
                <w:snapToGrid w:val="0"/>
                <w:color w:val="000000"/>
              </w:rPr>
              <w:t>3,450</w:t>
            </w:r>
          </w:p>
        </w:tc>
        <w:tc>
          <w:tcPr>
            <w:tcW w:w="90" w:type="dxa"/>
          </w:tcPr>
          <w:p w14:paraId="556C89D6" w14:textId="77777777" w:rsidR="00D46156" w:rsidRPr="00E74795" w:rsidRDefault="00D46156" w:rsidP="00D46156">
            <w:pPr>
              <w:jc w:val="right"/>
              <w:rPr>
                <w:snapToGrid w:val="0"/>
                <w:color w:val="000000"/>
              </w:rPr>
            </w:pPr>
          </w:p>
        </w:tc>
        <w:tc>
          <w:tcPr>
            <w:tcW w:w="1710" w:type="dxa"/>
          </w:tcPr>
          <w:p w14:paraId="3FF0B766" w14:textId="77777777" w:rsidR="00D46156" w:rsidRPr="00E74795" w:rsidRDefault="00D46156" w:rsidP="00D46156">
            <w:pPr>
              <w:tabs>
                <w:tab w:val="decimal" w:pos="1320"/>
              </w:tabs>
              <w:jc w:val="right"/>
              <w:rPr>
                <w:snapToGrid w:val="0"/>
                <w:color w:val="000000"/>
              </w:rPr>
            </w:pPr>
          </w:p>
        </w:tc>
        <w:tc>
          <w:tcPr>
            <w:tcW w:w="270" w:type="dxa"/>
          </w:tcPr>
          <w:p w14:paraId="10B8AA09" w14:textId="77777777" w:rsidR="00D46156" w:rsidRPr="00E74795" w:rsidRDefault="00D46156" w:rsidP="00D46156">
            <w:pPr>
              <w:jc w:val="right"/>
              <w:rPr>
                <w:snapToGrid w:val="0"/>
                <w:color w:val="000000"/>
              </w:rPr>
            </w:pPr>
          </w:p>
        </w:tc>
        <w:tc>
          <w:tcPr>
            <w:tcW w:w="1890" w:type="dxa"/>
          </w:tcPr>
          <w:p w14:paraId="175FD6EA" w14:textId="77777777" w:rsidR="00D46156" w:rsidRPr="00E74795" w:rsidRDefault="00D46156" w:rsidP="00D46156">
            <w:pPr>
              <w:tabs>
                <w:tab w:val="decimal" w:pos="1500"/>
              </w:tabs>
              <w:jc w:val="right"/>
              <w:rPr>
                <w:snapToGrid w:val="0"/>
                <w:color w:val="000000"/>
              </w:rPr>
            </w:pPr>
          </w:p>
        </w:tc>
      </w:tr>
      <w:tr w:rsidR="00D46156" w:rsidRPr="00EB7BF0" w14:paraId="37B2BFC2" w14:textId="77777777" w:rsidTr="00D46156">
        <w:trPr>
          <w:trHeight w:hRule="exact" w:val="230"/>
        </w:trPr>
        <w:tc>
          <w:tcPr>
            <w:tcW w:w="305" w:type="dxa"/>
          </w:tcPr>
          <w:p w14:paraId="5B2CF9EB" w14:textId="77777777" w:rsidR="00D46156" w:rsidRPr="00EB7BF0" w:rsidRDefault="00D46156" w:rsidP="00D46156">
            <w:pPr>
              <w:jc w:val="right"/>
              <w:rPr>
                <w:snapToGrid w:val="0"/>
                <w:color w:val="000000"/>
              </w:rPr>
            </w:pPr>
          </w:p>
        </w:tc>
        <w:tc>
          <w:tcPr>
            <w:tcW w:w="302" w:type="dxa"/>
          </w:tcPr>
          <w:p w14:paraId="677CA36E" w14:textId="77777777" w:rsidR="00D46156" w:rsidRPr="00EB7BF0" w:rsidRDefault="00D46156" w:rsidP="00D46156">
            <w:pPr>
              <w:jc w:val="right"/>
              <w:rPr>
                <w:snapToGrid w:val="0"/>
                <w:color w:val="000000"/>
              </w:rPr>
            </w:pPr>
          </w:p>
        </w:tc>
        <w:tc>
          <w:tcPr>
            <w:tcW w:w="5513" w:type="dxa"/>
          </w:tcPr>
          <w:p w14:paraId="3396A4DA" w14:textId="4B712868" w:rsidR="00D46156" w:rsidRPr="00E74795" w:rsidRDefault="00D46156" w:rsidP="00D46156">
            <w:pPr>
              <w:tabs>
                <w:tab w:val="left" w:pos="203"/>
              </w:tabs>
              <w:rPr>
                <w:snapToGrid w:val="0"/>
                <w:color w:val="000000"/>
              </w:rPr>
            </w:pPr>
            <w:r w:rsidRPr="00374FE3">
              <w:rPr>
                <w:snapToGrid w:val="0"/>
                <w:color w:val="000000"/>
              </w:rPr>
              <w:tab/>
            </w:r>
            <w:r w:rsidR="001F4C15">
              <w:rPr>
                <w:snapToGrid w:val="0"/>
                <w:color w:val="000000"/>
              </w:rPr>
              <w:t>September</w:t>
            </w:r>
            <w:r w:rsidRPr="00374FE3">
              <w:rPr>
                <w:snapToGrid w:val="0"/>
                <w:color w:val="000000"/>
              </w:rPr>
              <w:t xml:space="preserve"> 3</w:t>
            </w:r>
            <w:r>
              <w:rPr>
                <w:snapToGrid w:val="0"/>
                <w:color w:val="000000"/>
              </w:rPr>
              <w:t>0</w:t>
            </w:r>
            <w:r w:rsidRPr="00374FE3">
              <w:rPr>
                <w:snapToGrid w:val="0"/>
                <w:color w:val="000000"/>
              </w:rPr>
              <w:t>, 201</w:t>
            </w:r>
            <w:r>
              <w:rPr>
                <w:snapToGrid w:val="0"/>
                <w:color w:val="000000"/>
              </w:rPr>
              <w:t>9</w:t>
            </w:r>
            <w:r w:rsidRPr="00374FE3">
              <w:rPr>
                <w:snapToGrid w:val="0"/>
                <w:color w:val="000000"/>
              </w:rPr>
              <w:t xml:space="preserve"> and </w:t>
            </w:r>
            <w:r>
              <w:rPr>
                <w:snapToGrid w:val="0"/>
                <w:color w:val="000000"/>
              </w:rPr>
              <w:t xml:space="preserve">December 31, </w:t>
            </w:r>
            <w:r w:rsidRPr="00374FE3">
              <w:rPr>
                <w:snapToGrid w:val="0"/>
                <w:color w:val="000000"/>
              </w:rPr>
              <w:t>201</w:t>
            </w:r>
            <w:r>
              <w:rPr>
                <w:snapToGrid w:val="0"/>
                <w:color w:val="000000"/>
              </w:rPr>
              <w:t>8</w:t>
            </w:r>
            <w:r w:rsidRPr="00374FE3">
              <w:rPr>
                <w:snapToGrid w:val="0"/>
                <w:color w:val="000000"/>
              </w:rPr>
              <w:t>, respectively</w:t>
            </w:r>
          </w:p>
        </w:tc>
        <w:tc>
          <w:tcPr>
            <w:tcW w:w="90" w:type="dxa"/>
          </w:tcPr>
          <w:p w14:paraId="353F1CA2" w14:textId="77777777" w:rsidR="00D46156" w:rsidRPr="00E74795" w:rsidRDefault="00D46156" w:rsidP="00D46156">
            <w:pPr>
              <w:jc w:val="right"/>
              <w:rPr>
                <w:snapToGrid w:val="0"/>
                <w:color w:val="000000"/>
              </w:rPr>
            </w:pPr>
          </w:p>
        </w:tc>
        <w:tc>
          <w:tcPr>
            <w:tcW w:w="1710" w:type="dxa"/>
          </w:tcPr>
          <w:p w14:paraId="513A39BC" w14:textId="6CB84C56" w:rsidR="00D46156" w:rsidRPr="00E74795" w:rsidRDefault="003725CC" w:rsidP="00D46156">
            <w:pPr>
              <w:tabs>
                <w:tab w:val="decimal" w:pos="1320"/>
              </w:tabs>
              <w:rPr>
                <w:snapToGrid w:val="0"/>
                <w:color w:val="000000"/>
              </w:rPr>
            </w:pPr>
            <w:r>
              <w:rPr>
                <w:snapToGrid w:val="0"/>
                <w:color w:val="000000"/>
              </w:rPr>
              <w:t>2,</w:t>
            </w:r>
            <w:r w:rsidR="00960667">
              <w:rPr>
                <w:snapToGrid w:val="0"/>
                <w:color w:val="000000"/>
              </w:rPr>
              <w:t>321,823</w:t>
            </w:r>
          </w:p>
        </w:tc>
        <w:tc>
          <w:tcPr>
            <w:tcW w:w="270" w:type="dxa"/>
          </w:tcPr>
          <w:p w14:paraId="41C5B4B1" w14:textId="77777777" w:rsidR="00D46156" w:rsidRPr="00E74795" w:rsidRDefault="00D46156" w:rsidP="00D46156">
            <w:pPr>
              <w:jc w:val="right"/>
              <w:rPr>
                <w:snapToGrid w:val="0"/>
                <w:color w:val="000000"/>
              </w:rPr>
            </w:pPr>
          </w:p>
        </w:tc>
        <w:tc>
          <w:tcPr>
            <w:tcW w:w="1890" w:type="dxa"/>
          </w:tcPr>
          <w:p w14:paraId="58B1CA82" w14:textId="4D830C0D" w:rsidR="00D46156" w:rsidRPr="00E74795" w:rsidRDefault="00D46156" w:rsidP="00D46156">
            <w:pPr>
              <w:tabs>
                <w:tab w:val="decimal" w:pos="1500"/>
              </w:tabs>
              <w:rPr>
                <w:snapToGrid w:val="0"/>
                <w:color w:val="000000"/>
              </w:rPr>
            </w:pPr>
            <w:r>
              <w:rPr>
                <w:snapToGrid w:val="0"/>
                <w:color w:val="000000"/>
              </w:rPr>
              <w:t>1,971,333</w:t>
            </w:r>
          </w:p>
        </w:tc>
      </w:tr>
      <w:tr w:rsidR="00A12856" w:rsidRPr="00EB7BF0" w14:paraId="4EA8C634" w14:textId="77777777" w:rsidTr="00A12856">
        <w:trPr>
          <w:trHeight w:hRule="exact" w:val="230"/>
        </w:trPr>
        <w:tc>
          <w:tcPr>
            <w:tcW w:w="305" w:type="dxa"/>
          </w:tcPr>
          <w:p w14:paraId="4A2EB3F4" w14:textId="77777777" w:rsidR="00A12856" w:rsidRPr="00EB7BF0" w:rsidRDefault="00A12856" w:rsidP="00A12856">
            <w:pPr>
              <w:jc w:val="right"/>
              <w:rPr>
                <w:snapToGrid w:val="0"/>
                <w:color w:val="000000"/>
              </w:rPr>
            </w:pPr>
          </w:p>
        </w:tc>
        <w:tc>
          <w:tcPr>
            <w:tcW w:w="5815" w:type="dxa"/>
            <w:gridSpan w:val="2"/>
          </w:tcPr>
          <w:p w14:paraId="7CBA779F" w14:textId="77777777" w:rsidR="00A12856" w:rsidRPr="00E74795" w:rsidRDefault="00A12856" w:rsidP="00A12856">
            <w:pPr>
              <w:rPr>
                <w:snapToGrid w:val="0"/>
                <w:color w:val="000000"/>
              </w:rPr>
            </w:pPr>
            <w:r w:rsidRPr="00374FE3">
              <w:rPr>
                <w:snapToGrid w:val="0"/>
                <w:color w:val="000000"/>
              </w:rPr>
              <w:t>Common stock, $.001 par value:</w:t>
            </w:r>
          </w:p>
        </w:tc>
        <w:tc>
          <w:tcPr>
            <w:tcW w:w="90" w:type="dxa"/>
          </w:tcPr>
          <w:p w14:paraId="188C02C1" w14:textId="77777777" w:rsidR="00A12856" w:rsidRPr="00E74795" w:rsidRDefault="00A12856" w:rsidP="00A12856">
            <w:pPr>
              <w:jc w:val="right"/>
              <w:rPr>
                <w:snapToGrid w:val="0"/>
                <w:color w:val="000000"/>
              </w:rPr>
            </w:pPr>
          </w:p>
        </w:tc>
        <w:tc>
          <w:tcPr>
            <w:tcW w:w="1710" w:type="dxa"/>
          </w:tcPr>
          <w:p w14:paraId="4E52607B" w14:textId="77777777" w:rsidR="00A12856" w:rsidRPr="00E74795" w:rsidRDefault="00A12856" w:rsidP="00A12856">
            <w:pPr>
              <w:tabs>
                <w:tab w:val="decimal" w:pos="1320"/>
              </w:tabs>
              <w:jc w:val="right"/>
              <w:rPr>
                <w:snapToGrid w:val="0"/>
                <w:color w:val="000000"/>
              </w:rPr>
            </w:pPr>
          </w:p>
        </w:tc>
        <w:tc>
          <w:tcPr>
            <w:tcW w:w="270" w:type="dxa"/>
          </w:tcPr>
          <w:p w14:paraId="494C3BA1" w14:textId="77777777" w:rsidR="00A12856" w:rsidRPr="00E74795" w:rsidRDefault="00A12856" w:rsidP="00A12856">
            <w:pPr>
              <w:jc w:val="right"/>
              <w:rPr>
                <w:snapToGrid w:val="0"/>
                <w:color w:val="000000"/>
              </w:rPr>
            </w:pPr>
          </w:p>
        </w:tc>
        <w:tc>
          <w:tcPr>
            <w:tcW w:w="1890" w:type="dxa"/>
          </w:tcPr>
          <w:p w14:paraId="0C986D60" w14:textId="77777777" w:rsidR="00A12856" w:rsidRPr="00E74795" w:rsidRDefault="00A12856" w:rsidP="00A12856">
            <w:pPr>
              <w:tabs>
                <w:tab w:val="decimal" w:pos="1500"/>
              </w:tabs>
              <w:jc w:val="right"/>
              <w:rPr>
                <w:snapToGrid w:val="0"/>
                <w:color w:val="000000"/>
              </w:rPr>
            </w:pPr>
          </w:p>
        </w:tc>
      </w:tr>
      <w:tr w:rsidR="00A12856" w:rsidRPr="00EB7BF0" w14:paraId="0DD600A0" w14:textId="77777777" w:rsidTr="00A12856">
        <w:trPr>
          <w:trHeight w:hRule="exact" w:val="230"/>
        </w:trPr>
        <w:tc>
          <w:tcPr>
            <w:tcW w:w="305" w:type="dxa"/>
          </w:tcPr>
          <w:p w14:paraId="3BC899EC" w14:textId="77777777" w:rsidR="00A12856" w:rsidRPr="00EB7BF0" w:rsidRDefault="00A12856" w:rsidP="00A12856">
            <w:pPr>
              <w:jc w:val="right"/>
              <w:rPr>
                <w:snapToGrid w:val="0"/>
                <w:color w:val="000000"/>
              </w:rPr>
            </w:pPr>
            <w:bookmarkStart w:id="5" w:name="_Hlk12541074"/>
          </w:p>
        </w:tc>
        <w:tc>
          <w:tcPr>
            <w:tcW w:w="302" w:type="dxa"/>
          </w:tcPr>
          <w:p w14:paraId="19C5D531" w14:textId="77777777" w:rsidR="00A12856" w:rsidRPr="00EB7BF0" w:rsidRDefault="00A12856" w:rsidP="00A12856">
            <w:pPr>
              <w:jc w:val="right"/>
              <w:rPr>
                <w:snapToGrid w:val="0"/>
                <w:color w:val="000000"/>
              </w:rPr>
            </w:pPr>
          </w:p>
        </w:tc>
        <w:tc>
          <w:tcPr>
            <w:tcW w:w="5513" w:type="dxa"/>
          </w:tcPr>
          <w:p w14:paraId="55908633" w14:textId="77777777" w:rsidR="00A12856" w:rsidRPr="00374FE3" w:rsidRDefault="00A12856" w:rsidP="00A12856">
            <w:pPr>
              <w:tabs>
                <w:tab w:val="left" w:pos="203"/>
              </w:tabs>
              <w:rPr>
                <w:snapToGrid w:val="0"/>
                <w:color w:val="000000"/>
              </w:rPr>
            </w:pPr>
            <w:r w:rsidRPr="00374FE3">
              <w:rPr>
                <w:snapToGrid w:val="0"/>
                <w:color w:val="000000"/>
              </w:rPr>
              <w:t>Authorized shares – 600,000,000</w:t>
            </w:r>
          </w:p>
          <w:p w14:paraId="247944B8" w14:textId="77777777" w:rsidR="00A12856" w:rsidRPr="00E74795" w:rsidRDefault="00A12856" w:rsidP="00A12856">
            <w:pPr>
              <w:tabs>
                <w:tab w:val="left" w:pos="203"/>
              </w:tabs>
              <w:rPr>
                <w:snapToGrid w:val="0"/>
                <w:color w:val="000000"/>
              </w:rPr>
            </w:pPr>
          </w:p>
        </w:tc>
        <w:tc>
          <w:tcPr>
            <w:tcW w:w="90" w:type="dxa"/>
          </w:tcPr>
          <w:p w14:paraId="5B4E19CA" w14:textId="77777777" w:rsidR="00A12856" w:rsidRPr="00E74795" w:rsidRDefault="00A12856" w:rsidP="00A12856">
            <w:pPr>
              <w:jc w:val="right"/>
              <w:rPr>
                <w:snapToGrid w:val="0"/>
                <w:color w:val="000000"/>
              </w:rPr>
            </w:pPr>
          </w:p>
        </w:tc>
        <w:tc>
          <w:tcPr>
            <w:tcW w:w="1710" w:type="dxa"/>
          </w:tcPr>
          <w:p w14:paraId="5E403724" w14:textId="77777777" w:rsidR="00A12856" w:rsidRPr="00E74795" w:rsidRDefault="00A12856" w:rsidP="00A12856">
            <w:pPr>
              <w:tabs>
                <w:tab w:val="decimal" w:pos="1320"/>
              </w:tabs>
              <w:jc w:val="right"/>
              <w:rPr>
                <w:snapToGrid w:val="0"/>
                <w:color w:val="000000"/>
              </w:rPr>
            </w:pPr>
          </w:p>
        </w:tc>
        <w:tc>
          <w:tcPr>
            <w:tcW w:w="270" w:type="dxa"/>
          </w:tcPr>
          <w:p w14:paraId="60905B55" w14:textId="77777777" w:rsidR="00A12856" w:rsidRPr="00E74795" w:rsidRDefault="00A12856" w:rsidP="00A12856">
            <w:pPr>
              <w:jc w:val="right"/>
              <w:rPr>
                <w:snapToGrid w:val="0"/>
                <w:color w:val="000000"/>
              </w:rPr>
            </w:pPr>
          </w:p>
        </w:tc>
        <w:tc>
          <w:tcPr>
            <w:tcW w:w="1890" w:type="dxa"/>
          </w:tcPr>
          <w:p w14:paraId="1D0CC45E" w14:textId="77777777" w:rsidR="00A12856" w:rsidRPr="00E74795" w:rsidRDefault="00A12856" w:rsidP="00A12856">
            <w:pPr>
              <w:tabs>
                <w:tab w:val="decimal" w:pos="1500"/>
              </w:tabs>
              <w:jc w:val="right"/>
              <w:rPr>
                <w:snapToGrid w:val="0"/>
                <w:color w:val="000000"/>
              </w:rPr>
            </w:pPr>
          </w:p>
        </w:tc>
      </w:tr>
      <w:tr w:rsidR="00A12856" w:rsidRPr="00EB7BF0" w14:paraId="0AC22DF7" w14:textId="77777777" w:rsidTr="00A12856">
        <w:trPr>
          <w:trHeight w:hRule="exact" w:val="230"/>
        </w:trPr>
        <w:tc>
          <w:tcPr>
            <w:tcW w:w="305" w:type="dxa"/>
          </w:tcPr>
          <w:p w14:paraId="65E2AF9F" w14:textId="77777777" w:rsidR="00A12856" w:rsidRPr="00EB7BF0" w:rsidRDefault="00A12856" w:rsidP="00A12856">
            <w:pPr>
              <w:jc w:val="right"/>
              <w:rPr>
                <w:snapToGrid w:val="0"/>
                <w:color w:val="000000"/>
              </w:rPr>
            </w:pPr>
          </w:p>
        </w:tc>
        <w:tc>
          <w:tcPr>
            <w:tcW w:w="302" w:type="dxa"/>
          </w:tcPr>
          <w:p w14:paraId="44785B20" w14:textId="77777777" w:rsidR="00A12856" w:rsidRPr="00EB7BF0" w:rsidRDefault="00A12856" w:rsidP="00A12856">
            <w:pPr>
              <w:jc w:val="right"/>
              <w:rPr>
                <w:snapToGrid w:val="0"/>
                <w:color w:val="000000"/>
              </w:rPr>
            </w:pPr>
          </w:p>
        </w:tc>
        <w:tc>
          <w:tcPr>
            <w:tcW w:w="5513" w:type="dxa"/>
          </w:tcPr>
          <w:p w14:paraId="584CB7D6" w14:textId="7BA48E06" w:rsidR="00A12856" w:rsidRPr="00E74795" w:rsidRDefault="00A12856" w:rsidP="00A12856">
            <w:pPr>
              <w:tabs>
                <w:tab w:val="left" w:pos="203"/>
              </w:tabs>
              <w:rPr>
                <w:snapToGrid w:val="0"/>
                <w:color w:val="000000"/>
              </w:rPr>
            </w:pPr>
            <w:r w:rsidRPr="00374FE3">
              <w:rPr>
                <w:snapToGrid w:val="0"/>
                <w:color w:val="000000"/>
              </w:rPr>
              <w:t xml:space="preserve">Issued and outstanding shares – </w:t>
            </w:r>
            <w:r w:rsidR="001F4C15">
              <w:rPr>
                <w:snapToGrid w:val="0"/>
                <w:color w:val="000000"/>
              </w:rPr>
              <w:t>95,627,584</w:t>
            </w:r>
            <w:r w:rsidRPr="00374FE3">
              <w:rPr>
                <w:snapToGrid w:val="0"/>
                <w:color w:val="000000"/>
              </w:rPr>
              <w:t xml:space="preserve"> and </w:t>
            </w:r>
            <w:r>
              <w:rPr>
                <w:snapToGrid w:val="0"/>
                <w:color w:val="000000"/>
              </w:rPr>
              <w:t>437,807</w:t>
            </w:r>
            <w:r w:rsidRPr="00374FE3">
              <w:rPr>
                <w:snapToGrid w:val="0"/>
                <w:color w:val="000000"/>
              </w:rPr>
              <w:t xml:space="preserve"> at</w:t>
            </w:r>
          </w:p>
        </w:tc>
        <w:tc>
          <w:tcPr>
            <w:tcW w:w="90" w:type="dxa"/>
          </w:tcPr>
          <w:p w14:paraId="12356516" w14:textId="77777777" w:rsidR="00A12856" w:rsidRPr="00E74795" w:rsidRDefault="00A12856" w:rsidP="00A12856">
            <w:pPr>
              <w:jc w:val="right"/>
              <w:rPr>
                <w:snapToGrid w:val="0"/>
                <w:color w:val="000000"/>
              </w:rPr>
            </w:pPr>
          </w:p>
        </w:tc>
        <w:tc>
          <w:tcPr>
            <w:tcW w:w="1710" w:type="dxa"/>
          </w:tcPr>
          <w:p w14:paraId="2573B664" w14:textId="77777777" w:rsidR="00A12856" w:rsidRPr="00E74795" w:rsidRDefault="00A12856" w:rsidP="00A12856">
            <w:pPr>
              <w:tabs>
                <w:tab w:val="decimal" w:pos="1320"/>
              </w:tabs>
              <w:jc w:val="right"/>
              <w:rPr>
                <w:snapToGrid w:val="0"/>
                <w:color w:val="000000"/>
              </w:rPr>
            </w:pPr>
          </w:p>
        </w:tc>
        <w:tc>
          <w:tcPr>
            <w:tcW w:w="270" w:type="dxa"/>
          </w:tcPr>
          <w:p w14:paraId="6328D30C" w14:textId="77777777" w:rsidR="00A12856" w:rsidRPr="00E74795" w:rsidRDefault="00A12856" w:rsidP="00A12856">
            <w:pPr>
              <w:jc w:val="right"/>
              <w:rPr>
                <w:snapToGrid w:val="0"/>
                <w:color w:val="000000"/>
              </w:rPr>
            </w:pPr>
          </w:p>
        </w:tc>
        <w:tc>
          <w:tcPr>
            <w:tcW w:w="1890" w:type="dxa"/>
          </w:tcPr>
          <w:p w14:paraId="30356075" w14:textId="77777777" w:rsidR="00A12856" w:rsidRPr="00E74795" w:rsidRDefault="00A12856" w:rsidP="00A12856">
            <w:pPr>
              <w:tabs>
                <w:tab w:val="decimal" w:pos="1500"/>
              </w:tabs>
              <w:jc w:val="right"/>
              <w:rPr>
                <w:snapToGrid w:val="0"/>
                <w:color w:val="000000"/>
              </w:rPr>
            </w:pPr>
          </w:p>
        </w:tc>
      </w:tr>
      <w:tr w:rsidR="00A12856" w:rsidRPr="00EB7BF0" w14:paraId="701774A0" w14:textId="77777777" w:rsidTr="00A12856">
        <w:trPr>
          <w:trHeight w:hRule="exact" w:val="230"/>
        </w:trPr>
        <w:tc>
          <w:tcPr>
            <w:tcW w:w="305" w:type="dxa"/>
          </w:tcPr>
          <w:p w14:paraId="566A1ED1" w14:textId="77777777" w:rsidR="00A12856" w:rsidRPr="00EB7BF0" w:rsidRDefault="00A12856" w:rsidP="00A12856">
            <w:pPr>
              <w:jc w:val="right"/>
              <w:rPr>
                <w:snapToGrid w:val="0"/>
                <w:color w:val="000000"/>
              </w:rPr>
            </w:pPr>
          </w:p>
        </w:tc>
        <w:tc>
          <w:tcPr>
            <w:tcW w:w="302" w:type="dxa"/>
          </w:tcPr>
          <w:p w14:paraId="402D19B5" w14:textId="77777777" w:rsidR="00A12856" w:rsidRPr="00EB7BF0" w:rsidRDefault="00A12856" w:rsidP="00A12856">
            <w:pPr>
              <w:jc w:val="right"/>
              <w:rPr>
                <w:snapToGrid w:val="0"/>
                <w:color w:val="000000"/>
              </w:rPr>
            </w:pPr>
          </w:p>
        </w:tc>
        <w:tc>
          <w:tcPr>
            <w:tcW w:w="5513" w:type="dxa"/>
          </w:tcPr>
          <w:p w14:paraId="1D40102B" w14:textId="2DE27D88" w:rsidR="00A12856" w:rsidRPr="00E74795" w:rsidRDefault="00A12856" w:rsidP="00A12856">
            <w:pPr>
              <w:tabs>
                <w:tab w:val="left" w:pos="203"/>
              </w:tabs>
              <w:rPr>
                <w:snapToGrid w:val="0"/>
                <w:color w:val="000000"/>
              </w:rPr>
            </w:pPr>
            <w:r w:rsidRPr="00374FE3">
              <w:rPr>
                <w:snapToGrid w:val="0"/>
                <w:color w:val="000000"/>
              </w:rPr>
              <w:tab/>
            </w:r>
            <w:r w:rsidR="001F4C15">
              <w:rPr>
                <w:snapToGrid w:val="0"/>
                <w:color w:val="000000"/>
              </w:rPr>
              <w:t>September</w:t>
            </w:r>
            <w:r w:rsidRPr="00374FE3">
              <w:rPr>
                <w:snapToGrid w:val="0"/>
                <w:color w:val="000000"/>
              </w:rPr>
              <w:t xml:space="preserve"> 3</w:t>
            </w:r>
            <w:r w:rsidR="008E1B36">
              <w:rPr>
                <w:snapToGrid w:val="0"/>
                <w:color w:val="000000"/>
              </w:rPr>
              <w:t>0</w:t>
            </w:r>
            <w:r w:rsidRPr="00374FE3">
              <w:rPr>
                <w:snapToGrid w:val="0"/>
                <w:color w:val="000000"/>
              </w:rPr>
              <w:t>, 201</w:t>
            </w:r>
            <w:r>
              <w:rPr>
                <w:snapToGrid w:val="0"/>
                <w:color w:val="000000"/>
              </w:rPr>
              <w:t>9</w:t>
            </w:r>
            <w:r w:rsidRPr="00374FE3">
              <w:rPr>
                <w:snapToGrid w:val="0"/>
                <w:color w:val="000000"/>
              </w:rPr>
              <w:t xml:space="preserve"> and </w:t>
            </w:r>
            <w:r>
              <w:rPr>
                <w:snapToGrid w:val="0"/>
                <w:color w:val="000000"/>
              </w:rPr>
              <w:t xml:space="preserve">December 31, </w:t>
            </w:r>
            <w:r w:rsidRPr="00374FE3">
              <w:rPr>
                <w:snapToGrid w:val="0"/>
                <w:color w:val="000000"/>
              </w:rPr>
              <w:t>201</w:t>
            </w:r>
            <w:r>
              <w:rPr>
                <w:snapToGrid w:val="0"/>
                <w:color w:val="000000"/>
              </w:rPr>
              <w:t>8</w:t>
            </w:r>
            <w:r w:rsidRPr="00374FE3">
              <w:rPr>
                <w:snapToGrid w:val="0"/>
                <w:color w:val="000000"/>
              </w:rPr>
              <w:t>, respectively</w:t>
            </w:r>
          </w:p>
        </w:tc>
        <w:tc>
          <w:tcPr>
            <w:tcW w:w="90" w:type="dxa"/>
          </w:tcPr>
          <w:p w14:paraId="3DB90C2D" w14:textId="77777777" w:rsidR="00A12856" w:rsidRPr="00E74795" w:rsidRDefault="00A12856" w:rsidP="00A12856">
            <w:pPr>
              <w:jc w:val="right"/>
              <w:rPr>
                <w:snapToGrid w:val="0"/>
                <w:color w:val="000000"/>
              </w:rPr>
            </w:pPr>
          </w:p>
        </w:tc>
        <w:tc>
          <w:tcPr>
            <w:tcW w:w="1710" w:type="dxa"/>
          </w:tcPr>
          <w:p w14:paraId="7F14E9EB" w14:textId="1B52BF81" w:rsidR="00A12856" w:rsidRPr="00E74795" w:rsidRDefault="003725CC" w:rsidP="00A12856">
            <w:pPr>
              <w:tabs>
                <w:tab w:val="decimal" w:pos="1320"/>
              </w:tabs>
              <w:rPr>
                <w:snapToGrid w:val="0"/>
                <w:color w:val="000000"/>
              </w:rPr>
            </w:pPr>
            <w:r>
              <w:rPr>
                <w:snapToGrid w:val="0"/>
                <w:color w:val="000000"/>
              </w:rPr>
              <w:t>95,628</w:t>
            </w:r>
          </w:p>
        </w:tc>
        <w:tc>
          <w:tcPr>
            <w:tcW w:w="270" w:type="dxa"/>
          </w:tcPr>
          <w:p w14:paraId="605ED8D3" w14:textId="77777777" w:rsidR="00A12856" w:rsidRPr="00E74795" w:rsidRDefault="00A12856" w:rsidP="00A12856">
            <w:pPr>
              <w:jc w:val="right"/>
              <w:rPr>
                <w:snapToGrid w:val="0"/>
                <w:color w:val="000000"/>
              </w:rPr>
            </w:pPr>
          </w:p>
        </w:tc>
        <w:tc>
          <w:tcPr>
            <w:tcW w:w="1890" w:type="dxa"/>
          </w:tcPr>
          <w:p w14:paraId="31B10B9E" w14:textId="77777777" w:rsidR="00A12856" w:rsidRPr="00E74795" w:rsidRDefault="00A12856" w:rsidP="00A12856">
            <w:pPr>
              <w:tabs>
                <w:tab w:val="decimal" w:pos="1500"/>
              </w:tabs>
              <w:rPr>
                <w:snapToGrid w:val="0"/>
                <w:color w:val="000000"/>
              </w:rPr>
            </w:pPr>
            <w:r>
              <w:rPr>
                <w:snapToGrid w:val="0"/>
                <w:color w:val="000000"/>
              </w:rPr>
              <w:t>438</w:t>
            </w:r>
          </w:p>
        </w:tc>
      </w:tr>
      <w:bookmarkEnd w:id="5"/>
      <w:tr w:rsidR="00A12856" w:rsidRPr="00EB7BF0" w14:paraId="12CD8964" w14:textId="77777777" w:rsidTr="00A12856">
        <w:trPr>
          <w:trHeight w:hRule="exact" w:val="230"/>
        </w:trPr>
        <w:tc>
          <w:tcPr>
            <w:tcW w:w="305" w:type="dxa"/>
          </w:tcPr>
          <w:p w14:paraId="4EE22239" w14:textId="77777777" w:rsidR="00A12856" w:rsidRPr="00EB7BF0" w:rsidRDefault="00A12856" w:rsidP="00A12856">
            <w:pPr>
              <w:jc w:val="right"/>
              <w:rPr>
                <w:snapToGrid w:val="0"/>
                <w:color w:val="000000"/>
              </w:rPr>
            </w:pPr>
          </w:p>
        </w:tc>
        <w:tc>
          <w:tcPr>
            <w:tcW w:w="5815" w:type="dxa"/>
            <w:gridSpan w:val="2"/>
          </w:tcPr>
          <w:p w14:paraId="5447C789" w14:textId="77777777" w:rsidR="00A12856" w:rsidRPr="00E74795" w:rsidRDefault="00A12856" w:rsidP="00A12856">
            <w:pPr>
              <w:rPr>
                <w:snapToGrid w:val="0"/>
                <w:color w:val="000000"/>
              </w:rPr>
            </w:pPr>
            <w:r w:rsidRPr="00374FE3">
              <w:rPr>
                <w:snapToGrid w:val="0"/>
                <w:color w:val="000000"/>
              </w:rPr>
              <w:t>Additional paid-in capital</w:t>
            </w:r>
          </w:p>
        </w:tc>
        <w:tc>
          <w:tcPr>
            <w:tcW w:w="90" w:type="dxa"/>
          </w:tcPr>
          <w:p w14:paraId="60BEC303" w14:textId="77777777" w:rsidR="00A12856" w:rsidRPr="00E74795" w:rsidRDefault="00A12856" w:rsidP="00A12856">
            <w:pPr>
              <w:jc w:val="right"/>
              <w:rPr>
                <w:snapToGrid w:val="0"/>
                <w:color w:val="000000"/>
              </w:rPr>
            </w:pPr>
          </w:p>
        </w:tc>
        <w:tc>
          <w:tcPr>
            <w:tcW w:w="1710" w:type="dxa"/>
          </w:tcPr>
          <w:p w14:paraId="114C27AE" w14:textId="776AAC7D" w:rsidR="00A12856" w:rsidRPr="00E74795" w:rsidRDefault="003725CC" w:rsidP="00A12856">
            <w:pPr>
              <w:tabs>
                <w:tab w:val="decimal" w:pos="1320"/>
              </w:tabs>
              <w:rPr>
                <w:snapToGrid w:val="0"/>
                <w:color w:val="000000"/>
              </w:rPr>
            </w:pPr>
            <w:r>
              <w:rPr>
                <w:snapToGrid w:val="0"/>
                <w:color w:val="000000"/>
              </w:rPr>
              <w:t>38,818,750</w:t>
            </w:r>
          </w:p>
        </w:tc>
        <w:tc>
          <w:tcPr>
            <w:tcW w:w="270" w:type="dxa"/>
          </w:tcPr>
          <w:p w14:paraId="319AECAB" w14:textId="77777777" w:rsidR="00A12856" w:rsidRPr="00E74795" w:rsidRDefault="00A12856" w:rsidP="00A12856">
            <w:pPr>
              <w:jc w:val="right"/>
              <w:rPr>
                <w:snapToGrid w:val="0"/>
                <w:color w:val="000000"/>
              </w:rPr>
            </w:pPr>
          </w:p>
        </w:tc>
        <w:tc>
          <w:tcPr>
            <w:tcW w:w="1890" w:type="dxa"/>
          </w:tcPr>
          <w:p w14:paraId="1F762747" w14:textId="77777777" w:rsidR="00A12856" w:rsidRPr="00E74795" w:rsidRDefault="00A12856" w:rsidP="00A12856">
            <w:pPr>
              <w:tabs>
                <w:tab w:val="decimal" w:pos="1500"/>
              </w:tabs>
              <w:rPr>
                <w:snapToGrid w:val="0"/>
                <w:color w:val="000000"/>
              </w:rPr>
            </w:pPr>
            <w:r>
              <w:rPr>
                <w:snapToGrid w:val="0"/>
                <w:color w:val="000000"/>
              </w:rPr>
              <w:t>37,482,766</w:t>
            </w:r>
          </w:p>
        </w:tc>
      </w:tr>
      <w:tr w:rsidR="00A12856" w:rsidRPr="00EB7BF0" w14:paraId="5A506AC3" w14:textId="77777777" w:rsidTr="00A12856">
        <w:trPr>
          <w:trHeight w:hRule="exact" w:val="230"/>
        </w:trPr>
        <w:tc>
          <w:tcPr>
            <w:tcW w:w="305" w:type="dxa"/>
          </w:tcPr>
          <w:p w14:paraId="721C7673" w14:textId="77777777" w:rsidR="00A12856" w:rsidRPr="00EB7BF0" w:rsidRDefault="00A12856" w:rsidP="00A12856">
            <w:pPr>
              <w:jc w:val="right"/>
              <w:rPr>
                <w:snapToGrid w:val="0"/>
                <w:color w:val="000000"/>
              </w:rPr>
            </w:pPr>
          </w:p>
        </w:tc>
        <w:tc>
          <w:tcPr>
            <w:tcW w:w="5815" w:type="dxa"/>
            <w:gridSpan w:val="2"/>
          </w:tcPr>
          <w:p w14:paraId="48F911AA" w14:textId="77777777" w:rsidR="00A12856" w:rsidRPr="00E74795" w:rsidRDefault="00A12856" w:rsidP="00A12856">
            <w:pPr>
              <w:rPr>
                <w:snapToGrid w:val="0"/>
                <w:color w:val="000000"/>
              </w:rPr>
            </w:pPr>
            <w:r w:rsidRPr="00374FE3">
              <w:rPr>
                <w:snapToGrid w:val="0"/>
                <w:color w:val="000000"/>
              </w:rPr>
              <w:t>Accumulated deficit</w:t>
            </w:r>
          </w:p>
        </w:tc>
        <w:tc>
          <w:tcPr>
            <w:tcW w:w="90" w:type="dxa"/>
          </w:tcPr>
          <w:p w14:paraId="16277237" w14:textId="77777777" w:rsidR="00A12856" w:rsidRPr="00E74795" w:rsidRDefault="00A12856" w:rsidP="00A12856">
            <w:pPr>
              <w:jc w:val="right"/>
              <w:rPr>
                <w:snapToGrid w:val="0"/>
                <w:color w:val="000000"/>
              </w:rPr>
            </w:pPr>
          </w:p>
        </w:tc>
        <w:tc>
          <w:tcPr>
            <w:tcW w:w="1710" w:type="dxa"/>
            <w:tcBorders>
              <w:bottom w:val="single" w:sz="4" w:space="0" w:color="auto"/>
            </w:tcBorders>
          </w:tcPr>
          <w:p w14:paraId="02555817" w14:textId="56C8A1D8" w:rsidR="00A12856" w:rsidRPr="00E74795" w:rsidRDefault="00817BB3" w:rsidP="00A12856">
            <w:pPr>
              <w:tabs>
                <w:tab w:val="decimal" w:pos="1320"/>
              </w:tabs>
              <w:rPr>
                <w:snapToGrid w:val="0"/>
                <w:color w:val="000000"/>
              </w:rPr>
            </w:pPr>
            <w:r>
              <w:rPr>
                <w:snapToGrid w:val="0"/>
                <w:color w:val="000000"/>
              </w:rPr>
              <w:t>(</w:t>
            </w:r>
            <w:r w:rsidR="003725CC">
              <w:rPr>
                <w:snapToGrid w:val="0"/>
                <w:color w:val="000000"/>
              </w:rPr>
              <w:t>42,256,920</w:t>
            </w:r>
            <w:r>
              <w:rPr>
                <w:snapToGrid w:val="0"/>
                <w:color w:val="000000"/>
              </w:rPr>
              <w:t>)</w:t>
            </w:r>
          </w:p>
        </w:tc>
        <w:tc>
          <w:tcPr>
            <w:tcW w:w="270" w:type="dxa"/>
          </w:tcPr>
          <w:p w14:paraId="1F210EFF" w14:textId="77777777" w:rsidR="00A12856" w:rsidRPr="00E74795" w:rsidRDefault="00A12856" w:rsidP="00A12856">
            <w:pPr>
              <w:jc w:val="right"/>
              <w:rPr>
                <w:snapToGrid w:val="0"/>
                <w:color w:val="000000"/>
              </w:rPr>
            </w:pPr>
          </w:p>
        </w:tc>
        <w:tc>
          <w:tcPr>
            <w:tcW w:w="1890" w:type="dxa"/>
            <w:tcBorders>
              <w:bottom w:val="single" w:sz="4" w:space="0" w:color="auto"/>
            </w:tcBorders>
          </w:tcPr>
          <w:p w14:paraId="52491FA9" w14:textId="77777777" w:rsidR="00A12856" w:rsidRPr="00E74795" w:rsidRDefault="00A12856" w:rsidP="00A12856">
            <w:pPr>
              <w:tabs>
                <w:tab w:val="decimal" w:pos="1500"/>
              </w:tabs>
              <w:rPr>
                <w:snapToGrid w:val="0"/>
                <w:color w:val="000000"/>
              </w:rPr>
            </w:pPr>
            <w:r w:rsidRPr="00E74795">
              <w:rPr>
                <w:snapToGrid w:val="0"/>
                <w:color w:val="000000"/>
              </w:rPr>
              <w:t>(</w:t>
            </w:r>
            <w:r>
              <w:rPr>
                <w:snapToGrid w:val="0"/>
                <w:color w:val="000000"/>
              </w:rPr>
              <w:t>40,476,884</w:t>
            </w:r>
            <w:r w:rsidRPr="00E74795">
              <w:rPr>
                <w:snapToGrid w:val="0"/>
                <w:color w:val="000000"/>
              </w:rPr>
              <w:t>)</w:t>
            </w:r>
          </w:p>
        </w:tc>
      </w:tr>
      <w:tr w:rsidR="00A12856" w:rsidRPr="00EB7BF0" w14:paraId="5F1FF2D4" w14:textId="77777777" w:rsidTr="00A12856">
        <w:trPr>
          <w:trHeight w:hRule="exact" w:val="230"/>
        </w:trPr>
        <w:tc>
          <w:tcPr>
            <w:tcW w:w="6120" w:type="dxa"/>
            <w:gridSpan w:val="3"/>
          </w:tcPr>
          <w:p w14:paraId="5A1CA8E9" w14:textId="77777777" w:rsidR="00A12856" w:rsidRPr="00E74795" w:rsidRDefault="00A12856" w:rsidP="00A12856">
            <w:pPr>
              <w:rPr>
                <w:snapToGrid w:val="0"/>
                <w:color w:val="000000"/>
              </w:rPr>
            </w:pPr>
            <w:r w:rsidRPr="00374FE3">
              <w:rPr>
                <w:snapToGrid w:val="0"/>
                <w:color w:val="000000"/>
              </w:rPr>
              <w:t>Total stockholders’ equity (deficiency)</w:t>
            </w:r>
          </w:p>
        </w:tc>
        <w:tc>
          <w:tcPr>
            <w:tcW w:w="90" w:type="dxa"/>
          </w:tcPr>
          <w:p w14:paraId="1888C5F8" w14:textId="77777777" w:rsidR="00A12856" w:rsidRPr="00E74795" w:rsidRDefault="00A12856" w:rsidP="00A12856">
            <w:pPr>
              <w:jc w:val="right"/>
              <w:rPr>
                <w:snapToGrid w:val="0"/>
                <w:color w:val="000000"/>
              </w:rPr>
            </w:pPr>
          </w:p>
        </w:tc>
        <w:tc>
          <w:tcPr>
            <w:tcW w:w="1710" w:type="dxa"/>
            <w:tcBorders>
              <w:bottom w:val="single" w:sz="4" w:space="0" w:color="auto"/>
            </w:tcBorders>
          </w:tcPr>
          <w:p w14:paraId="521F6DF8" w14:textId="78F1A1B7" w:rsidR="00A12856" w:rsidRPr="00E74795" w:rsidRDefault="00817BB3" w:rsidP="00A12856">
            <w:pPr>
              <w:tabs>
                <w:tab w:val="decimal" w:pos="1320"/>
              </w:tabs>
              <w:rPr>
                <w:snapToGrid w:val="0"/>
                <w:color w:val="000000"/>
              </w:rPr>
            </w:pPr>
            <w:r>
              <w:rPr>
                <w:snapToGrid w:val="0"/>
                <w:color w:val="000000"/>
              </w:rPr>
              <w:t>(1,</w:t>
            </w:r>
            <w:r w:rsidR="003725CC">
              <w:rPr>
                <w:snapToGrid w:val="0"/>
                <w:color w:val="000000"/>
              </w:rPr>
              <w:t>020,719</w:t>
            </w:r>
            <w:r>
              <w:rPr>
                <w:snapToGrid w:val="0"/>
                <w:color w:val="000000"/>
              </w:rPr>
              <w:t>)</w:t>
            </w:r>
          </w:p>
        </w:tc>
        <w:tc>
          <w:tcPr>
            <w:tcW w:w="270" w:type="dxa"/>
          </w:tcPr>
          <w:p w14:paraId="1ACAA9C0" w14:textId="77777777" w:rsidR="00A12856" w:rsidRPr="00E74795" w:rsidRDefault="00A12856" w:rsidP="00A12856">
            <w:pPr>
              <w:jc w:val="right"/>
              <w:rPr>
                <w:snapToGrid w:val="0"/>
                <w:color w:val="000000"/>
              </w:rPr>
            </w:pPr>
          </w:p>
        </w:tc>
        <w:tc>
          <w:tcPr>
            <w:tcW w:w="1890" w:type="dxa"/>
            <w:tcBorders>
              <w:bottom w:val="single" w:sz="4" w:space="0" w:color="auto"/>
            </w:tcBorders>
          </w:tcPr>
          <w:p w14:paraId="6BDED861" w14:textId="77777777" w:rsidR="00A12856" w:rsidRPr="00E74795" w:rsidRDefault="00A12856" w:rsidP="00A12856">
            <w:pPr>
              <w:tabs>
                <w:tab w:val="decimal" w:pos="1500"/>
              </w:tabs>
              <w:rPr>
                <w:snapToGrid w:val="0"/>
                <w:color w:val="000000"/>
              </w:rPr>
            </w:pPr>
            <w:r w:rsidRPr="00374FE3">
              <w:rPr>
                <w:snapToGrid w:val="0"/>
                <w:color w:val="000000"/>
              </w:rPr>
              <w:t>(</w:t>
            </w:r>
            <w:r>
              <w:rPr>
                <w:snapToGrid w:val="0"/>
                <w:color w:val="000000"/>
              </w:rPr>
              <w:t>1,022,347</w:t>
            </w:r>
            <w:r w:rsidRPr="00374FE3">
              <w:rPr>
                <w:snapToGrid w:val="0"/>
                <w:color w:val="000000"/>
              </w:rPr>
              <w:t>)</w:t>
            </w:r>
          </w:p>
        </w:tc>
      </w:tr>
      <w:tr w:rsidR="00A12856" w:rsidRPr="00EB7BF0" w14:paraId="698CB13A" w14:textId="77777777" w:rsidTr="00A12856">
        <w:trPr>
          <w:trHeight w:hRule="exact" w:val="230"/>
        </w:trPr>
        <w:tc>
          <w:tcPr>
            <w:tcW w:w="305" w:type="dxa"/>
          </w:tcPr>
          <w:p w14:paraId="67B396F0" w14:textId="77777777" w:rsidR="00A12856" w:rsidRPr="00EB7BF0" w:rsidRDefault="00A12856" w:rsidP="00A12856">
            <w:pPr>
              <w:jc w:val="right"/>
              <w:rPr>
                <w:snapToGrid w:val="0"/>
                <w:color w:val="000000"/>
              </w:rPr>
            </w:pPr>
          </w:p>
        </w:tc>
        <w:tc>
          <w:tcPr>
            <w:tcW w:w="302" w:type="dxa"/>
          </w:tcPr>
          <w:p w14:paraId="6FB272EA" w14:textId="77777777" w:rsidR="00A12856" w:rsidRPr="00EB7BF0" w:rsidRDefault="00A12856" w:rsidP="00A12856">
            <w:pPr>
              <w:jc w:val="right"/>
              <w:rPr>
                <w:snapToGrid w:val="0"/>
                <w:color w:val="000000"/>
              </w:rPr>
            </w:pPr>
          </w:p>
        </w:tc>
        <w:tc>
          <w:tcPr>
            <w:tcW w:w="5513" w:type="dxa"/>
          </w:tcPr>
          <w:p w14:paraId="2BEF7345" w14:textId="77777777" w:rsidR="00A12856" w:rsidRPr="00E74795" w:rsidRDefault="00A12856" w:rsidP="00A12856">
            <w:pPr>
              <w:jc w:val="right"/>
              <w:rPr>
                <w:snapToGrid w:val="0"/>
                <w:color w:val="000000"/>
              </w:rPr>
            </w:pPr>
          </w:p>
        </w:tc>
        <w:tc>
          <w:tcPr>
            <w:tcW w:w="90" w:type="dxa"/>
          </w:tcPr>
          <w:p w14:paraId="1C25E613" w14:textId="77777777" w:rsidR="00A12856" w:rsidRPr="00E74795" w:rsidRDefault="00A12856" w:rsidP="00A12856">
            <w:pPr>
              <w:jc w:val="right"/>
              <w:rPr>
                <w:snapToGrid w:val="0"/>
                <w:color w:val="000000"/>
              </w:rPr>
            </w:pPr>
          </w:p>
        </w:tc>
        <w:tc>
          <w:tcPr>
            <w:tcW w:w="1710" w:type="dxa"/>
            <w:tcBorders>
              <w:top w:val="single" w:sz="4" w:space="0" w:color="auto"/>
            </w:tcBorders>
          </w:tcPr>
          <w:p w14:paraId="74F82FBB" w14:textId="77777777" w:rsidR="00A12856" w:rsidRPr="00E74795" w:rsidRDefault="00A12856" w:rsidP="00A12856">
            <w:pPr>
              <w:tabs>
                <w:tab w:val="decimal" w:pos="1320"/>
              </w:tabs>
              <w:rPr>
                <w:snapToGrid w:val="0"/>
                <w:color w:val="000000"/>
              </w:rPr>
            </w:pPr>
          </w:p>
        </w:tc>
        <w:tc>
          <w:tcPr>
            <w:tcW w:w="270" w:type="dxa"/>
          </w:tcPr>
          <w:p w14:paraId="704C080D" w14:textId="77777777" w:rsidR="00A12856" w:rsidRPr="00E74795" w:rsidRDefault="00A12856" w:rsidP="00A12856">
            <w:pPr>
              <w:jc w:val="right"/>
              <w:rPr>
                <w:snapToGrid w:val="0"/>
                <w:color w:val="000000"/>
              </w:rPr>
            </w:pPr>
          </w:p>
        </w:tc>
        <w:tc>
          <w:tcPr>
            <w:tcW w:w="1890" w:type="dxa"/>
            <w:tcBorders>
              <w:top w:val="single" w:sz="4" w:space="0" w:color="auto"/>
            </w:tcBorders>
          </w:tcPr>
          <w:p w14:paraId="2FDDC2F3" w14:textId="77777777" w:rsidR="00A12856" w:rsidRPr="00E74795" w:rsidRDefault="00A12856" w:rsidP="00A12856">
            <w:pPr>
              <w:tabs>
                <w:tab w:val="decimal" w:pos="1195"/>
              </w:tabs>
              <w:jc w:val="right"/>
              <w:rPr>
                <w:snapToGrid w:val="0"/>
                <w:color w:val="000000"/>
              </w:rPr>
            </w:pPr>
          </w:p>
        </w:tc>
      </w:tr>
      <w:tr w:rsidR="00A12856" w:rsidRPr="00EB7BF0" w14:paraId="50AEDE9C" w14:textId="77777777" w:rsidTr="00A12856">
        <w:trPr>
          <w:trHeight w:hRule="exact" w:val="230"/>
        </w:trPr>
        <w:tc>
          <w:tcPr>
            <w:tcW w:w="6120" w:type="dxa"/>
            <w:gridSpan w:val="3"/>
          </w:tcPr>
          <w:p w14:paraId="5577ECD0" w14:textId="77777777" w:rsidR="00A12856" w:rsidRPr="00E74795" w:rsidRDefault="00A12856" w:rsidP="00A12856">
            <w:pPr>
              <w:rPr>
                <w:snapToGrid w:val="0"/>
                <w:color w:val="000000"/>
              </w:rPr>
            </w:pPr>
            <w:r w:rsidRPr="00374FE3">
              <w:rPr>
                <w:snapToGrid w:val="0"/>
                <w:color w:val="000000"/>
              </w:rPr>
              <w:t>Total liabilities and stockholders’ equity (deficiency)</w:t>
            </w:r>
          </w:p>
        </w:tc>
        <w:tc>
          <w:tcPr>
            <w:tcW w:w="90" w:type="dxa"/>
          </w:tcPr>
          <w:p w14:paraId="74C4D33B" w14:textId="77777777" w:rsidR="00A12856" w:rsidRPr="00E74795" w:rsidRDefault="00A12856" w:rsidP="00A12856">
            <w:pPr>
              <w:jc w:val="right"/>
              <w:rPr>
                <w:snapToGrid w:val="0"/>
                <w:color w:val="000000"/>
              </w:rPr>
            </w:pPr>
          </w:p>
        </w:tc>
        <w:tc>
          <w:tcPr>
            <w:tcW w:w="1710" w:type="dxa"/>
          </w:tcPr>
          <w:p w14:paraId="3DE87F50" w14:textId="709AA2B3" w:rsidR="00A12856" w:rsidRPr="00E74795" w:rsidRDefault="00A12856" w:rsidP="00A12856">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3725CC">
              <w:rPr>
                <w:snapToGrid w:val="0"/>
                <w:color w:val="000000"/>
              </w:rPr>
              <w:t>816,529</w:t>
            </w:r>
          </w:p>
        </w:tc>
        <w:tc>
          <w:tcPr>
            <w:tcW w:w="270" w:type="dxa"/>
          </w:tcPr>
          <w:p w14:paraId="1B68E3BA" w14:textId="77777777" w:rsidR="00A12856" w:rsidRPr="00E74795" w:rsidRDefault="00A12856" w:rsidP="00A12856">
            <w:pPr>
              <w:jc w:val="right"/>
              <w:rPr>
                <w:snapToGrid w:val="0"/>
                <w:color w:val="000000"/>
              </w:rPr>
            </w:pPr>
          </w:p>
        </w:tc>
        <w:tc>
          <w:tcPr>
            <w:tcW w:w="1890" w:type="dxa"/>
          </w:tcPr>
          <w:p w14:paraId="21F50ADF" w14:textId="77777777" w:rsidR="00A12856" w:rsidRPr="00E74795" w:rsidRDefault="00A12856" w:rsidP="00A12856">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642,064</w:t>
            </w:r>
          </w:p>
        </w:tc>
      </w:tr>
      <w:tr w:rsidR="00A12856" w:rsidRPr="00EB7BF0" w14:paraId="7BF2D480" w14:textId="77777777" w:rsidTr="00A12856">
        <w:trPr>
          <w:trHeight w:hRule="exact" w:val="230"/>
        </w:trPr>
        <w:tc>
          <w:tcPr>
            <w:tcW w:w="305" w:type="dxa"/>
          </w:tcPr>
          <w:p w14:paraId="5F9ED917" w14:textId="77777777" w:rsidR="00A12856" w:rsidRPr="00EB7BF0" w:rsidRDefault="00A12856" w:rsidP="00A12856">
            <w:pPr>
              <w:jc w:val="right"/>
              <w:rPr>
                <w:snapToGrid w:val="0"/>
                <w:color w:val="000000"/>
              </w:rPr>
            </w:pPr>
          </w:p>
        </w:tc>
        <w:tc>
          <w:tcPr>
            <w:tcW w:w="302" w:type="dxa"/>
          </w:tcPr>
          <w:p w14:paraId="6BFB4010" w14:textId="77777777" w:rsidR="00A12856" w:rsidRPr="00EB7BF0" w:rsidRDefault="00A12856" w:rsidP="00A12856">
            <w:pPr>
              <w:jc w:val="right"/>
              <w:rPr>
                <w:snapToGrid w:val="0"/>
                <w:color w:val="000000"/>
              </w:rPr>
            </w:pPr>
          </w:p>
        </w:tc>
        <w:tc>
          <w:tcPr>
            <w:tcW w:w="5513" w:type="dxa"/>
          </w:tcPr>
          <w:p w14:paraId="20D5978E" w14:textId="77777777" w:rsidR="00A12856" w:rsidRPr="00EB7BF0" w:rsidRDefault="00A12856" w:rsidP="00A12856">
            <w:pPr>
              <w:jc w:val="right"/>
              <w:rPr>
                <w:snapToGrid w:val="0"/>
                <w:color w:val="000000"/>
              </w:rPr>
            </w:pPr>
          </w:p>
        </w:tc>
        <w:tc>
          <w:tcPr>
            <w:tcW w:w="90" w:type="dxa"/>
          </w:tcPr>
          <w:p w14:paraId="3D23F23C" w14:textId="77777777" w:rsidR="00A12856" w:rsidRPr="00EB7BF0" w:rsidRDefault="00A12856" w:rsidP="00A12856">
            <w:pPr>
              <w:jc w:val="right"/>
              <w:rPr>
                <w:snapToGrid w:val="0"/>
                <w:color w:val="000000"/>
              </w:rPr>
            </w:pPr>
          </w:p>
        </w:tc>
        <w:tc>
          <w:tcPr>
            <w:tcW w:w="1710" w:type="dxa"/>
            <w:tcBorders>
              <w:top w:val="double" w:sz="6" w:space="0" w:color="auto"/>
            </w:tcBorders>
          </w:tcPr>
          <w:p w14:paraId="2710C4DC" w14:textId="77777777" w:rsidR="00A12856" w:rsidRPr="00EB7BF0" w:rsidRDefault="00A12856" w:rsidP="00A12856">
            <w:pPr>
              <w:jc w:val="right"/>
              <w:rPr>
                <w:snapToGrid w:val="0"/>
                <w:color w:val="000000"/>
              </w:rPr>
            </w:pPr>
          </w:p>
        </w:tc>
        <w:tc>
          <w:tcPr>
            <w:tcW w:w="270" w:type="dxa"/>
          </w:tcPr>
          <w:p w14:paraId="495CF653" w14:textId="77777777" w:rsidR="00A12856" w:rsidRPr="00EB7BF0" w:rsidRDefault="00A12856" w:rsidP="00A12856">
            <w:pPr>
              <w:jc w:val="right"/>
              <w:rPr>
                <w:snapToGrid w:val="0"/>
                <w:color w:val="000000"/>
              </w:rPr>
            </w:pPr>
          </w:p>
        </w:tc>
        <w:tc>
          <w:tcPr>
            <w:tcW w:w="1890" w:type="dxa"/>
            <w:tcBorders>
              <w:top w:val="double" w:sz="6" w:space="0" w:color="auto"/>
            </w:tcBorders>
          </w:tcPr>
          <w:p w14:paraId="0E62B628" w14:textId="77777777" w:rsidR="00A12856" w:rsidRPr="00EB7BF0" w:rsidRDefault="00A12856" w:rsidP="00A12856">
            <w:pPr>
              <w:jc w:val="right"/>
              <w:rPr>
                <w:snapToGrid w:val="0"/>
                <w:color w:val="000000"/>
              </w:rPr>
            </w:pPr>
          </w:p>
        </w:tc>
      </w:tr>
    </w:tbl>
    <w:p w14:paraId="7F0A2A08" w14:textId="3DFAC4FC" w:rsidR="00A12856" w:rsidRPr="00A12856" w:rsidRDefault="00A12856" w:rsidP="00A12856">
      <w:pPr>
        <w:tabs>
          <w:tab w:val="left" w:pos="1080"/>
          <w:tab w:val="left" w:pos="1260"/>
          <w:tab w:val="left" w:pos="2340"/>
          <w:tab w:val="right" w:pos="9180"/>
        </w:tabs>
        <w:ind w:right="54"/>
        <w:jc w:val="center"/>
        <w:rPr>
          <w:snapToGrid w:val="0"/>
          <w:color w:val="000000"/>
        </w:rPr>
        <w:sectPr w:rsidR="00A12856" w:rsidRPr="00A12856">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6E3AEB">
        <w:rPr>
          <w:snapToGrid w:val="0"/>
          <w:color w:val="000000"/>
        </w:rPr>
        <w:t>.</w:t>
      </w:r>
    </w:p>
    <w:p w14:paraId="6738849E" w14:textId="77777777" w:rsidR="00216725" w:rsidRPr="00BA4187" w:rsidRDefault="00216725" w:rsidP="00216725">
      <w:pPr>
        <w:tabs>
          <w:tab w:val="left" w:pos="1080"/>
          <w:tab w:val="left" w:pos="1260"/>
          <w:tab w:val="left" w:pos="2340"/>
          <w:tab w:val="right" w:pos="9180"/>
        </w:tabs>
        <w:ind w:right="-360"/>
        <w:jc w:val="center"/>
        <w:rPr>
          <w:b/>
        </w:rPr>
      </w:pPr>
      <w:r w:rsidRPr="00BA4187">
        <w:rPr>
          <w:b/>
        </w:rPr>
        <w:lastRenderedPageBreak/>
        <w:t>GEOVAX LABS, INC.</w:t>
      </w:r>
    </w:p>
    <w:p w14:paraId="7E448A25" w14:textId="77777777" w:rsidR="00216725" w:rsidRPr="00BA4187" w:rsidRDefault="00216725" w:rsidP="00216725">
      <w:pPr>
        <w:tabs>
          <w:tab w:val="left" w:pos="1080"/>
          <w:tab w:val="left" w:pos="1260"/>
          <w:tab w:val="left" w:pos="2340"/>
          <w:tab w:val="right" w:pos="9180"/>
        </w:tabs>
        <w:ind w:right="-360"/>
        <w:jc w:val="center"/>
        <w:rPr>
          <w:b/>
        </w:rPr>
      </w:pPr>
      <w:r w:rsidRPr="00BA4187">
        <w:rPr>
          <w:b/>
        </w:rPr>
        <w:t>CONDENSED CONSOLIDATED STATEMENTS OF OPERATIONS</w:t>
      </w:r>
    </w:p>
    <w:p w14:paraId="2674AB19" w14:textId="77777777" w:rsidR="00216725" w:rsidRPr="00BA4187" w:rsidRDefault="00216725" w:rsidP="00216725">
      <w:pPr>
        <w:tabs>
          <w:tab w:val="left" w:pos="1080"/>
          <w:tab w:val="left" w:pos="1260"/>
          <w:tab w:val="left" w:pos="2340"/>
          <w:tab w:val="right" w:pos="9180"/>
        </w:tabs>
        <w:ind w:right="-360"/>
        <w:jc w:val="center"/>
        <w:rPr>
          <w:b/>
        </w:rPr>
      </w:pPr>
      <w:r w:rsidRPr="00BA4187">
        <w:rPr>
          <w:b/>
        </w:rPr>
        <w:t>(Unaudited)</w:t>
      </w:r>
    </w:p>
    <w:p w14:paraId="64D4A915" w14:textId="77777777" w:rsidR="00216725" w:rsidRDefault="00216725" w:rsidP="00216725">
      <w:pPr>
        <w:tabs>
          <w:tab w:val="left" w:pos="1080"/>
          <w:tab w:val="left" w:pos="1260"/>
          <w:tab w:val="left" w:pos="2340"/>
          <w:tab w:val="right" w:pos="9180"/>
        </w:tabs>
        <w:ind w:right="-360"/>
      </w:pPr>
    </w:p>
    <w:p w14:paraId="4D678403" w14:textId="77777777" w:rsidR="00216725" w:rsidRDefault="00216725" w:rsidP="00216725">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216725" w:rsidRPr="000D3DC5" w14:paraId="5F541CDA" w14:textId="77777777" w:rsidTr="00D46156">
        <w:tc>
          <w:tcPr>
            <w:tcW w:w="378" w:type="dxa"/>
          </w:tcPr>
          <w:p w14:paraId="17404AD2" w14:textId="77777777" w:rsidR="00216725" w:rsidRPr="000D3DC5" w:rsidRDefault="00216725" w:rsidP="00D46156">
            <w:pPr>
              <w:ind w:right="-360"/>
            </w:pPr>
          </w:p>
        </w:tc>
        <w:tc>
          <w:tcPr>
            <w:tcW w:w="450" w:type="dxa"/>
          </w:tcPr>
          <w:p w14:paraId="18832B11" w14:textId="77777777" w:rsidR="00216725" w:rsidRPr="000D3DC5" w:rsidRDefault="00216725" w:rsidP="00D46156">
            <w:pPr>
              <w:ind w:right="-360"/>
            </w:pPr>
          </w:p>
        </w:tc>
        <w:tc>
          <w:tcPr>
            <w:tcW w:w="450" w:type="dxa"/>
          </w:tcPr>
          <w:p w14:paraId="7B17D74E" w14:textId="77777777" w:rsidR="00216725" w:rsidRPr="000D3DC5" w:rsidRDefault="00216725" w:rsidP="00D46156">
            <w:pPr>
              <w:ind w:right="-360"/>
            </w:pPr>
          </w:p>
        </w:tc>
        <w:tc>
          <w:tcPr>
            <w:tcW w:w="2160" w:type="dxa"/>
          </w:tcPr>
          <w:p w14:paraId="5CABCB03" w14:textId="77777777" w:rsidR="00216725" w:rsidRPr="000D3DC5" w:rsidRDefault="00216725" w:rsidP="00D46156">
            <w:pPr>
              <w:tabs>
                <w:tab w:val="right" w:pos="9180"/>
              </w:tabs>
              <w:ind w:right="-360"/>
            </w:pPr>
          </w:p>
        </w:tc>
        <w:tc>
          <w:tcPr>
            <w:tcW w:w="3240" w:type="dxa"/>
            <w:gridSpan w:val="3"/>
            <w:tcBorders>
              <w:bottom w:val="single" w:sz="4" w:space="0" w:color="auto"/>
            </w:tcBorders>
          </w:tcPr>
          <w:p w14:paraId="45981FB6" w14:textId="5AAAB4C9" w:rsidR="00216725" w:rsidRDefault="00216725" w:rsidP="00D46156">
            <w:pPr>
              <w:tabs>
                <w:tab w:val="right" w:pos="9180"/>
              </w:tabs>
              <w:ind w:right="-46"/>
              <w:jc w:val="center"/>
            </w:pPr>
            <w:r>
              <w:t xml:space="preserve">Three Months Ended </w:t>
            </w:r>
            <w:r w:rsidR="00F061D8">
              <w:t>September</w:t>
            </w:r>
            <w:r>
              <w:t xml:space="preserve"> 30,</w:t>
            </w:r>
          </w:p>
        </w:tc>
        <w:tc>
          <w:tcPr>
            <w:tcW w:w="450" w:type="dxa"/>
          </w:tcPr>
          <w:p w14:paraId="780558FD" w14:textId="77777777" w:rsidR="00216725" w:rsidRPr="000D3DC5" w:rsidRDefault="00216725" w:rsidP="00D46156">
            <w:pPr>
              <w:tabs>
                <w:tab w:val="right" w:pos="9180"/>
              </w:tabs>
              <w:ind w:right="-360"/>
              <w:jc w:val="center"/>
            </w:pPr>
          </w:p>
        </w:tc>
        <w:tc>
          <w:tcPr>
            <w:tcW w:w="3240" w:type="dxa"/>
            <w:gridSpan w:val="3"/>
            <w:tcBorders>
              <w:bottom w:val="single" w:sz="4" w:space="0" w:color="auto"/>
            </w:tcBorders>
          </w:tcPr>
          <w:p w14:paraId="0033D3E1" w14:textId="5DB25136" w:rsidR="00216725" w:rsidRDefault="00F061D8" w:rsidP="00D46156">
            <w:pPr>
              <w:tabs>
                <w:tab w:val="right" w:pos="9180"/>
              </w:tabs>
              <w:ind w:right="-18"/>
              <w:jc w:val="center"/>
            </w:pPr>
            <w:r>
              <w:t>Nine</w:t>
            </w:r>
            <w:r w:rsidR="00216725">
              <w:t xml:space="preserve"> Months Ended </w:t>
            </w:r>
            <w:r>
              <w:t>September</w:t>
            </w:r>
            <w:r w:rsidR="00216725">
              <w:t xml:space="preserve"> 30,</w:t>
            </w:r>
          </w:p>
        </w:tc>
      </w:tr>
      <w:tr w:rsidR="00216725" w:rsidRPr="000D3DC5" w14:paraId="38952D43" w14:textId="77777777" w:rsidTr="00D46156">
        <w:tc>
          <w:tcPr>
            <w:tcW w:w="378" w:type="dxa"/>
          </w:tcPr>
          <w:p w14:paraId="38E3C74A" w14:textId="77777777" w:rsidR="00216725" w:rsidRPr="000D3DC5" w:rsidRDefault="00216725" w:rsidP="00D46156">
            <w:pPr>
              <w:ind w:right="-360"/>
            </w:pPr>
          </w:p>
        </w:tc>
        <w:tc>
          <w:tcPr>
            <w:tcW w:w="450" w:type="dxa"/>
          </w:tcPr>
          <w:p w14:paraId="15613FEC" w14:textId="77777777" w:rsidR="00216725" w:rsidRPr="000D3DC5" w:rsidRDefault="00216725" w:rsidP="00D46156">
            <w:pPr>
              <w:ind w:right="-360"/>
            </w:pPr>
          </w:p>
        </w:tc>
        <w:tc>
          <w:tcPr>
            <w:tcW w:w="450" w:type="dxa"/>
          </w:tcPr>
          <w:p w14:paraId="4EDDF2A3" w14:textId="77777777" w:rsidR="00216725" w:rsidRPr="000D3DC5" w:rsidRDefault="00216725" w:rsidP="00D46156">
            <w:pPr>
              <w:ind w:right="-360"/>
            </w:pPr>
          </w:p>
        </w:tc>
        <w:tc>
          <w:tcPr>
            <w:tcW w:w="2160" w:type="dxa"/>
          </w:tcPr>
          <w:p w14:paraId="33B23002" w14:textId="77777777" w:rsidR="00216725" w:rsidRPr="000D3DC5" w:rsidRDefault="00216725" w:rsidP="00D46156">
            <w:pPr>
              <w:tabs>
                <w:tab w:val="right" w:pos="9180"/>
              </w:tabs>
              <w:ind w:right="-360"/>
            </w:pPr>
          </w:p>
        </w:tc>
        <w:tc>
          <w:tcPr>
            <w:tcW w:w="1530" w:type="dxa"/>
            <w:tcBorders>
              <w:top w:val="single" w:sz="4" w:space="0" w:color="auto"/>
              <w:bottom w:val="single" w:sz="4" w:space="0" w:color="auto"/>
            </w:tcBorders>
          </w:tcPr>
          <w:p w14:paraId="55E87991" w14:textId="2484C60A" w:rsidR="00216725" w:rsidRPr="000D3DC5" w:rsidRDefault="00216725" w:rsidP="00D46156">
            <w:pPr>
              <w:tabs>
                <w:tab w:val="right" w:pos="9180"/>
              </w:tabs>
              <w:ind w:right="-18"/>
              <w:jc w:val="center"/>
            </w:pPr>
            <w:r>
              <w:t>2019</w:t>
            </w:r>
          </w:p>
        </w:tc>
        <w:tc>
          <w:tcPr>
            <w:tcW w:w="270" w:type="dxa"/>
            <w:tcBorders>
              <w:top w:val="single" w:sz="4" w:space="0" w:color="auto"/>
            </w:tcBorders>
          </w:tcPr>
          <w:p w14:paraId="528C9C65" w14:textId="77777777" w:rsidR="00216725" w:rsidRPr="000D3DC5" w:rsidRDefault="00216725" w:rsidP="00D46156">
            <w:pPr>
              <w:tabs>
                <w:tab w:val="right" w:pos="9180"/>
              </w:tabs>
              <w:ind w:right="-360"/>
              <w:jc w:val="center"/>
            </w:pPr>
          </w:p>
        </w:tc>
        <w:tc>
          <w:tcPr>
            <w:tcW w:w="1440" w:type="dxa"/>
            <w:tcBorders>
              <w:top w:val="single" w:sz="4" w:space="0" w:color="auto"/>
              <w:bottom w:val="single" w:sz="4" w:space="0" w:color="auto"/>
            </w:tcBorders>
          </w:tcPr>
          <w:p w14:paraId="7758BE08" w14:textId="0A4CDC49" w:rsidR="00216725" w:rsidRPr="000D3DC5" w:rsidRDefault="00216725" w:rsidP="00D46156">
            <w:pPr>
              <w:tabs>
                <w:tab w:val="right" w:pos="9180"/>
              </w:tabs>
              <w:ind w:right="-46"/>
              <w:jc w:val="center"/>
            </w:pPr>
            <w:r>
              <w:t>2018</w:t>
            </w:r>
          </w:p>
        </w:tc>
        <w:tc>
          <w:tcPr>
            <w:tcW w:w="450" w:type="dxa"/>
          </w:tcPr>
          <w:p w14:paraId="227F35F7" w14:textId="77777777" w:rsidR="00216725" w:rsidRPr="000D3DC5" w:rsidRDefault="00216725" w:rsidP="00D46156">
            <w:pPr>
              <w:tabs>
                <w:tab w:val="right" w:pos="9180"/>
              </w:tabs>
              <w:ind w:right="-360"/>
              <w:jc w:val="center"/>
            </w:pPr>
          </w:p>
        </w:tc>
        <w:tc>
          <w:tcPr>
            <w:tcW w:w="1440" w:type="dxa"/>
            <w:tcBorders>
              <w:bottom w:val="single" w:sz="4" w:space="0" w:color="auto"/>
            </w:tcBorders>
          </w:tcPr>
          <w:p w14:paraId="0545FE5B" w14:textId="51F56BA3" w:rsidR="00216725" w:rsidRPr="000D3DC5" w:rsidRDefault="00216725" w:rsidP="00D46156">
            <w:pPr>
              <w:tabs>
                <w:tab w:val="right" w:pos="9180"/>
              </w:tabs>
              <w:ind w:right="-18"/>
              <w:jc w:val="center"/>
            </w:pPr>
            <w:r>
              <w:t>2019</w:t>
            </w:r>
          </w:p>
        </w:tc>
        <w:tc>
          <w:tcPr>
            <w:tcW w:w="270" w:type="dxa"/>
          </w:tcPr>
          <w:p w14:paraId="693B9052" w14:textId="77777777" w:rsidR="00216725" w:rsidRPr="000D3DC5" w:rsidRDefault="00216725" w:rsidP="00D46156">
            <w:pPr>
              <w:tabs>
                <w:tab w:val="right" w:pos="9180"/>
              </w:tabs>
              <w:ind w:right="-360"/>
              <w:jc w:val="center"/>
            </w:pPr>
          </w:p>
        </w:tc>
        <w:tc>
          <w:tcPr>
            <w:tcW w:w="1530" w:type="dxa"/>
            <w:tcBorders>
              <w:bottom w:val="single" w:sz="4" w:space="0" w:color="auto"/>
            </w:tcBorders>
          </w:tcPr>
          <w:p w14:paraId="2D1C7A86" w14:textId="6FDC62FE" w:rsidR="00216725" w:rsidRPr="000D3DC5" w:rsidRDefault="00216725" w:rsidP="00D46156">
            <w:pPr>
              <w:tabs>
                <w:tab w:val="right" w:pos="9180"/>
              </w:tabs>
              <w:ind w:right="-18"/>
              <w:jc w:val="center"/>
            </w:pPr>
            <w:r>
              <w:t>2018</w:t>
            </w:r>
          </w:p>
        </w:tc>
      </w:tr>
      <w:tr w:rsidR="00216725" w:rsidRPr="000D3DC5" w14:paraId="3AF3C6C7" w14:textId="77777777" w:rsidTr="00D46156">
        <w:tc>
          <w:tcPr>
            <w:tcW w:w="3438" w:type="dxa"/>
            <w:gridSpan w:val="4"/>
          </w:tcPr>
          <w:p w14:paraId="4DF64139" w14:textId="77777777" w:rsidR="00216725" w:rsidRPr="000D3DC5" w:rsidRDefault="00216725" w:rsidP="00D46156">
            <w:pPr>
              <w:tabs>
                <w:tab w:val="right" w:pos="9180"/>
              </w:tabs>
              <w:ind w:right="-360"/>
            </w:pPr>
            <w:r w:rsidRPr="000D3DC5">
              <w:t>Grant</w:t>
            </w:r>
            <w:r>
              <w:t xml:space="preserve"> and collaboration</w:t>
            </w:r>
            <w:r w:rsidRPr="000D3DC5">
              <w:t xml:space="preserve"> revenue</w:t>
            </w:r>
          </w:p>
        </w:tc>
        <w:tc>
          <w:tcPr>
            <w:tcW w:w="1530" w:type="dxa"/>
          </w:tcPr>
          <w:p w14:paraId="7B311865" w14:textId="22965FF7" w:rsidR="00216725" w:rsidRPr="000D3DC5" w:rsidRDefault="00216725" w:rsidP="00D46156">
            <w:pPr>
              <w:tabs>
                <w:tab w:val="decimal" w:pos="1152"/>
                <w:tab w:val="right" w:pos="9180"/>
              </w:tabs>
              <w:ind w:right="-18"/>
            </w:pPr>
            <w:r>
              <w:t>$</w:t>
            </w:r>
            <w:r>
              <w:tab/>
            </w:r>
            <w:r w:rsidR="00B171BA">
              <w:t>333,209</w:t>
            </w:r>
          </w:p>
        </w:tc>
        <w:tc>
          <w:tcPr>
            <w:tcW w:w="270" w:type="dxa"/>
          </w:tcPr>
          <w:p w14:paraId="2581E217" w14:textId="77777777" w:rsidR="00216725" w:rsidRPr="000D3DC5" w:rsidRDefault="00216725" w:rsidP="00D46156">
            <w:pPr>
              <w:tabs>
                <w:tab w:val="right" w:pos="9180"/>
              </w:tabs>
              <w:ind w:right="-360"/>
            </w:pPr>
          </w:p>
        </w:tc>
        <w:tc>
          <w:tcPr>
            <w:tcW w:w="1440" w:type="dxa"/>
          </w:tcPr>
          <w:p w14:paraId="02CB4887" w14:textId="61648630" w:rsidR="00216725" w:rsidRPr="000D3DC5" w:rsidRDefault="00216725" w:rsidP="00D46156">
            <w:pPr>
              <w:tabs>
                <w:tab w:val="decimal" w:pos="1062"/>
                <w:tab w:val="right" w:pos="9180"/>
              </w:tabs>
              <w:ind w:right="-46"/>
            </w:pPr>
            <w:r>
              <w:t>$</w:t>
            </w:r>
            <w:r>
              <w:tab/>
            </w:r>
            <w:r w:rsidR="00B171BA">
              <w:t>349,344</w:t>
            </w:r>
          </w:p>
        </w:tc>
        <w:tc>
          <w:tcPr>
            <w:tcW w:w="450" w:type="dxa"/>
          </w:tcPr>
          <w:p w14:paraId="4BAA110C" w14:textId="77777777" w:rsidR="00216725" w:rsidRPr="000D3DC5" w:rsidRDefault="00216725" w:rsidP="00D46156">
            <w:pPr>
              <w:tabs>
                <w:tab w:val="right" w:pos="9180"/>
              </w:tabs>
              <w:ind w:right="-360"/>
            </w:pPr>
          </w:p>
        </w:tc>
        <w:tc>
          <w:tcPr>
            <w:tcW w:w="1440" w:type="dxa"/>
          </w:tcPr>
          <w:p w14:paraId="565CE76E" w14:textId="289FE3CD" w:rsidR="00216725" w:rsidRPr="000D3DC5" w:rsidRDefault="00216725" w:rsidP="00D46156">
            <w:pPr>
              <w:tabs>
                <w:tab w:val="decimal" w:pos="1062"/>
                <w:tab w:val="right" w:pos="9180"/>
              </w:tabs>
              <w:ind w:right="-18"/>
            </w:pPr>
            <w:r w:rsidRPr="000D3DC5">
              <w:t>$</w:t>
            </w:r>
            <w:r w:rsidRPr="000D3DC5">
              <w:tab/>
            </w:r>
            <w:r w:rsidR="00B171BA">
              <w:t>907,382</w:t>
            </w:r>
          </w:p>
        </w:tc>
        <w:tc>
          <w:tcPr>
            <w:tcW w:w="270" w:type="dxa"/>
          </w:tcPr>
          <w:p w14:paraId="45275149" w14:textId="77777777" w:rsidR="00216725" w:rsidRPr="000D3DC5" w:rsidRDefault="00216725" w:rsidP="00D46156">
            <w:pPr>
              <w:tabs>
                <w:tab w:val="right" w:pos="9180"/>
              </w:tabs>
              <w:ind w:right="-360"/>
            </w:pPr>
          </w:p>
        </w:tc>
        <w:tc>
          <w:tcPr>
            <w:tcW w:w="1530" w:type="dxa"/>
          </w:tcPr>
          <w:p w14:paraId="10662DB2" w14:textId="296580DA" w:rsidR="00216725" w:rsidRPr="000D3DC5" w:rsidRDefault="00216725" w:rsidP="00D46156">
            <w:pPr>
              <w:tabs>
                <w:tab w:val="decimal" w:pos="1152"/>
                <w:tab w:val="right" w:pos="9180"/>
              </w:tabs>
              <w:ind w:right="-18"/>
            </w:pPr>
            <w:r w:rsidRPr="000D3DC5">
              <w:t>$</w:t>
            </w:r>
            <w:r w:rsidRPr="000D3DC5">
              <w:tab/>
            </w:r>
            <w:r w:rsidR="00B171BA">
              <w:t>663,908</w:t>
            </w:r>
          </w:p>
        </w:tc>
      </w:tr>
      <w:tr w:rsidR="00216725" w:rsidRPr="000D3DC5" w14:paraId="14D78826" w14:textId="77777777" w:rsidTr="00D46156">
        <w:tc>
          <w:tcPr>
            <w:tcW w:w="378" w:type="dxa"/>
          </w:tcPr>
          <w:p w14:paraId="351D9437" w14:textId="77777777" w:rsidR="00216725" w:rsidRPr="000D3DC5" w:rsidRDefault="00216725" w:rsidP="00D46156">
            <w:pPr>
              <w:ind w:right="-360"/>
            </w:pPr>
          </w:p>
        </w:tc>
        <w:tc>
          <w:tcPr>
            <w:tcW w:w="450" w:type="dxa"/>
          </w:tcPr>
          <w:p w14:paraId="4ACBC63D" w14:textId="77777777" w:rsidR="00216725" w:rsidRPr="000D3DC5" w:rsidRDefault="00216725" w:rsidP="00D46156">
            <w:pPr>
              <w:ind w:right="-360"/>
            </w:pPr>
          </w:p>
        </w:tc>
        <w:tc>
          <w:tcPr>
            <w:tcW w:w="450" w:type="dxa"/>
          </w:tcPr>
          <w:p w14:paraId="0680FE36" w14:textId="77777777" w:rsidR="00216725" w:rsidRPr="000D3DC5" w:rsidRDefault="00216725" w:rsidP="00D46156">
            <w:pPr>
              <w:ind w:right="-360"/>
            </w:pPr>
          </w:p>
        </w:tc>
        <w:tc>
          <w:tcPr>
            <w:tcW w:w="2160" w:type="dxa"/>
          </w:tcPr>
          <w:p w14:paraId="1DA50E40" w14:textId="77777777" w:rsidR="00216725" w:rsidRPr="000D3DC5" w:rsidRDefault="00216725" w:rsidP="00D46156">
            <w:pPr>
              <w:tabs>
                <w:tab w:val="right" w:pos="9180"/>
              </w:tabs>
              <w:ind w:right="-360"/>
            </w:pPr>
          </w:p>
        </w:tc>
        <w:tc>
          <w:tcPr>
            <w:tcW w:w="1530" w:type="dxa"/>
          </w:tcPr>
          <w:p w14:paraId="60205C4E" w14:textId="77777777" w:rsidR="00216725" w:rsidRPr="000D3DC5" w:rsidRDefault="00216725" w:rsidP="00D46156">
            <w:pPr>
              <w:tabs>
                <w:tab w:val="right" w:pos="9180"/>
              </w:tabs>
              <w:ind w:right="-18"/>
            </w:pPr>
          </w:p>
        </w:tc>
        <w:tc>
          <w:tcPr>
            <w:tcW w:w="270" w:type="dxa"/>
          </w:tcPr>
          <w:p w14:paraId="5481F8DF" w14:textId="77777777" w:rsidR="00216725" w:rsidRPr="000D3DC5" w:rsidRDefault="00216725" w:rsidP="00D46156">
            <w:pPr>
              <w:tabs>
                <w:tab w:val="right" w:pos="9180"/>
              </w:tabs>
              <w:ind w:right="-360"/>
            </w:pPr>
          </w:p>
        </w:tc>
        <w:tc>
          <w:tcPr>
            <w:tcW w:w="1440" w:type="dxa"/>
          </w:tcPr>
          <w:p w14:paraId="1935695E" w14:textId="77777777" w:rsidR="00216725" w:rsidRPr="000D3DC5" w:rsidRDefault="00216725" w:rsidP="00D46156">
            <w:pPr>
              <w:tabs>
                <w:tab w:val="right" w:pos="9180"/>
              </w:tabs>
              <w:ind w:right="-46"/>
            </w:pPr>
          </w:p>
        </w:tc>
        <w:tc>
          <w:tcPr>
            <w:tcW w:w="450" w:type="dxa"/>
          </w:tcPr>
          <w:p w14:paraId="3117F345" w14:textId="77777777" w:rsidR="00216725" w:rsidRPr="000D3DC5" w:rsidRDefault="00216725" w:rsidP="00D46156">
            <w:pPr>
              <w:tabs>
                <w:tab w:val="right" w:pos="9180"/>
              </w:tabs>
              <w:ind w:right="-360"/>
            </w:pPr>
          </w:p>
        </w:tc>
        <w:tc>
          <w:tcPr>
            <w:tcW w:w="1440" w:type="dxa"/>
          </w:tcPr>
          <w:p w14:paraId="7EDC79C6" w14:textId="77777777" w:rsidR="00216725" w:rsidRPr="000D3DC5" w:rsidRDefault="00216725" w:rsidP="00D46156">
            <w:pPr>
              <w:tabs>
                <w:tab w:val="right" w:pos="9180"/>
              </w:tabs>
              <w:ind w:right="-18"/>
            </w:pPr>
          </w:p>
        </w:tc>
        <w:tc>
          <w:tcPr>
            <w:tcW w:w="270" w:type="dxa"/>
          </w:tcPr>
          <w:p w14:paraId="6B38ADB8" w14:textId="77777777" w:rsidR="00216725" w:rsidRPr="000D3DC5" w:rsidRDefault="00216725" w:rsidP="00D46156">
            <w:pPr>
              <w:tabs>
                <w:tab w:val="right" w:pos="9180"/>
              </w:tabs>
              <w:ind w:right="-360"/>
            </w:pPr>
          </w:p>
        </w:tc>
        <w:tc>
          <w:tcPr>
            <w:tcW w:w="1530" w:type="dxa"/>
          </w:tcPr>
          <w:p w14:paraId="786D515E" w14:textId="77777777" w:rsidR="00216725" w:rsidRPr="000D3DC5" w:rsidRDefault="00216725" w:rsidP="00D46156">
            <w:pPr>
              <w:tabs>
                <w:tab w:val="right" w:pos="9180"/>
              </w:tabs>
              <w:ind w:right="-18"/>
            </w:pPr>
          </w:p>
        </w:tc>
      </w:tr>
      <w:tr w:rsidR="00216725" w:rsidRPr="000D3DC5" w14:paraId="1304EBD9" w14:textId="77777777" w:rsidTr="00D46156">
        <w:tc>
          <w:tcPr>
            <w:tcW w:w="3438" w:type="dxa"/>
            <w:gridSpan w:val="4"/>
          </w:tcPr>
          <w:p w14:paraId="2B8EDD2B" w14:textId="77777777" w:rsidR="00216725" w:rsidRPr="000D3DC5" w:rsidRDefault="00216725" w:rsidP="00D46156">
            <w:pPr>
              <w:tabs>
                <w:tab w:val="right" w:pos="9180"/>
              </w:tabs>
              <w:ind w:right="-360"/>
            </w:pPr>
            <w:r w:rsidRPr="000D3DC5">
              <w:t>Operating expenses:</w:t>
            </w:r>
          </w:p>
        </w:tc>
        <w:tc>
          <w:tcPr>
            <w:tcW w:w="1530" w:type="dxa"/>
          </w:tcPr>
          <w:p w14:paraId="22C7796A" w14:textId="77777777" w:rsidR="00216725" w:rsidRPr="000D3DC5" w:rsidRDefault="00216725" w:rsidP="00D46156">
            <w:pPr>
              <w:tabs>
                <w:tab w:val="right" w:pos="9180"/>
              </w:tabs>
              <w:ind w:right="-18"/>
            </w:pPr>
          </w:p>
        </w:tc>
        <w:tc>
          <w:tcPr>
            <w:tcW w:w="270" w:type="dxa"/>
          </w:tcPr>
          <w:p w14:paraId="59899339" w14:textId="77777777" w:rsidR="00216725" w:rsidRPr="000D3DC5" w:rsidRDefault="00216725" w:rsidP="00D46156">
            <w:pPr>
              <w:tabs>
                <w:tab w:val="right" w:pos="9180"/>
              </w:tabs>
              <w:ind w:right="-360"/>
            </w:pPr>
          </w:p>
        </w:tc>
        <w:tc>
          <w:tcPr>
            <w:tcW w:w="1440" w:type="dxa"/>
          </w:tcPr>
          <w:p w14:paraId="0DE1E8FF" w14:textId="77777777" w:rsidR="00216725" w:rsidRPr="000D3DC5" w:rsidRDefault="00216725" w:rsidP="00D46156">
            <w:pPr>
              <w:tabs>
                <w:tab w:val="right" w:pos="9180"/>
              </w:tabs>
              <w:ind w:right="-46"/>
            </w:pPr>
          </w:p>
        </w:tc>
        <w:tc>
          <w:tcPr>
            <w:tcW w:w="450" w:type="dxa"/>
          </w:tcPr>
          <w:p w14:paraId="2EB438B5" w14:textId="77777777" w:rsidR="00216725" w:rsidRPr="000D3DC5" w:rsidRDefault="00216725" w:rsidP="00D46156">
            <w:pPr>
              <w:tabs>
                <w:tab w:val="right" w:pos="9180"/>
              </w:tabs>
              <w:ind w:right="-360"/>
            </w:pPr>
          </w:p>
        </w:tc>
        <w:tc>
          <w:tcPr>
            <w:tcW w:w="1440" w:type="dxa"/>
          </w:tcPr>
          <w:p w14:paraId="52F048D3" w14:textId="77777777" w:rsidR="00216725" w:rsidRPr="000D3DC5" w:rsidRDefault="00216725" w:rsidP="00D46156">
            <w:pPr>
              <w:tabs>
                <w:tab w:val="right" w:pos="9180"/>
              </w:tabs>
              <w:ind w:right="-18"/>
            </w:pPr>
          </w:p>
        </w:tc>
        <w:tc>
          <w:tcPr>
            <w:tcW w:w="270" w:type="dxa"/>
          </w:tcPr>
          <w:p w14:paraId="6726B505" w14:textId="77777777" w:rsidR="00216725" w:rsidRPr="000D3DC5" w:rsidRDefault="00216725" w:rsidP="00D46156">
            <w:pPr>
              <w:tabs>
                <w:tab w:val="right" w:pos="9180"/>
              </w:tabs>
              <w:ind w:right="-360"/>
            </w:pPr>
          </w:p>
        </w:tc>
        <w:tc>
          <w:tcPr>
            <w:tcW w:w="1530" w:type="dxa"/>
          </w:tcPr>
          <w:p w14:paraId="52FB7002" w14:textId="77777777" w:rsidR="00216725" w:rsidRPr="000D3DC5" w:rsidRDefault="00216725" w:rsidP="00D46156">
            <w:pPr>
              <w:tabs>
                <w:tab w:val="right" w:pos="9180"/>
              </w:tabs>
              <w:ind w:right="-18"/>
            </w:pPr>
          </w:p>
        </w:tc>
      </w:tr>
      <w:tr w:rsidR="00216725" w:rsidRPr="000D3DC5" w14:paraId="4EA5FD41" w14:textId="77777777" w:rsidTr="00D46156">
        <w:tc>
          <w:tcPr>
            <w:tcW w:w="378" w:type="dxa"/>
          </w:tcPr>
          <w:p w14:paraId="3ED8A59F" w14:textId="77777777" w:rsidR="00216725" w:rsidRPr="000D3DC5" w:rsidRDefault="00216725" w:rsidP="00D46156">
            <w:pPr>
              <w:ind w:right="-360"/>
            </w:pPr>
          </w:p>
        </w:tc>
        <w:tc>
          <w:tcPr>
            <w:tcW w:w="3060" w:type="dxa"/>
            <w:gridSpan w:val="3"/>
          </w:tcPr>
          <w:p w14:paraId="18568AAC" w14:textId="77777777" w:rsidR="00216725" w:rsidRPr="000D3DC5" w:rsidRDefault="00216725" w:rsidP="00D46156">
            <w:pPr>
              <w:tabs>
                <w:tab w:val="right" w:pos="9180"/>
              </w:tabs>
              <w:ind w:right="-360"/>
            </w:pPr>
            <w:r w:rsidRPr="000D3DC5">
              <w:t>Research and development</w:t>
            </w:r>
          </w:p>
        </w:tc>
        <w:tc>
          <w:tcPr>
            <w:tcW w:w="1530" w:type="dxa"/>
          </w:tcPr>
          <w:p w14:paraId="4B12AE04" w14:textId="4A26785C" w:rsidR="00216725" w:rsidRPr="000D3DC5" w:rsidRDefault="00216725" w:rsidP="00D46156">
            <w:pPr>
              <w:tabs>
                <w:tab w:val="decimal" w:pos="1152"/>
                <w:tab w:val="right" w:pos="9180"/>
              </w:tabs>
              <w:ind w:right="-18"/>
            </w:pPr>
            <w:r w:rsidRPr="000D3DC5">
              <w:tab/>
            </w:r>
            <w:r w:rsidR="00B171BA">
              <w:t>467,674</w:t>
            </w:r>
          </w:p>
        </w:tc>
        <w:tc>
          <w:tcPr>
            <w:tcW w:w="270" w:type="dxa"/>
          </w:tcPr>
          <w:p w14:paraId="26AABEE0" w14:textId="77777777" w:rsidR="00216725" w:rsidRPr="000D3DC5" w:rsidRDefault="00216725" w:rsidP="00D46156">
            <w:pPr>
              <w:tabs>
                <w:tab w:val="right" w:pos="9180"/>
              </w:tabs>
              <w:ind w:right="-360"/>
            </w:pPr>
          </w:p>
        </w:tc>
        <w:tc>
          <w:tcPr>
            <w:tcW w:w="1440" w:type="dxa"/>
          </w:tcPr>
          <w:p w14:paraId="7F694EAB" w14:textId="658EB8F9" w:rsidR="00216725" w:rsidRPr="000D3DC5" w:rsidRDefault="00216725" w:rsidP="00D46156">
            <w:pPr>
              <w:tabs>
                <w:tab w:val="decimal" w:pos="1062"/>
                <w:tab w:val="right" w:pos="9180"/>
              </w:tabs>
              <w:ind w:right="-46"/>
            </w:pPr>
            <w:r>
              <w:tab/>
            </w:r>
            <w:r w:rsidR="00B171BA">
              <w:t>557,696</w:t>
            </w:r>
          </w:p>
        </w:tc>
        <w:tc>
          <w:tcPr>
            <w:tcW w:w="450" w:type="dxa"/>
          </w:tcPr>
          <w:p w14:paraId="05FBF847" w14:textId="77777777" w:rsidR="00216725" w:rsidRPr="000D3DC5" w:rsidRDefault="00216725" w:rsidP="00D46156">
            <w:pPr>
              <w:tabs>
                <w:tab w:val="right" w:pos="9180"/>
              </w:tabs>
              <w:ind w:right="-360"/>
            </w:pPr>
          </w:p>
        </w:tc>
        <w:tc>
          <w:tcPr>
            <w:tcW w:w="1440" w:type="dxa"/>
          </w:tcPr>
          <w:p w14:paraId="2E705C8A" w14:textId="3310A59A" w:rsidR="00216725" w:rsidRPr="000D3DC5" w:rsidRDefault="00216725" w:rsidP="00D46156">
            <w:pPr>
              <w:tabs>
                <w:tab w:val="decimal" w:pos="1062"/>
                <w:tab w:val="right" w:pos="9180"/>
              </w:tabs>
              <w:ind w:right="-18"/>
            </w:pPr>
            <w:r>
              <w:tab/>
            </w:r>
            <w:r w:rsidR="00B171BA">
              <w:t>1,474,619</w:t>
            </w:r>
          </w:p>
        </w:tc>
        <w:tc>
          <w:tcPr>
            <w:tcW w:w="270" w:type="dxa"/>
          </w:tcPr>
          <w:p w14:paraId="279ADC12" w14:textId="77777777" w:rsidR="00216725" w:rsidRPr="000D3DC5" w:rsidRDefault="00216725" w:rsidP="00D46156">
            <w:pPr>
              <w:tabs>
                <w:tab w:val="right" w:pos="9180"/>
              </w:tabs>
              <w:ind w:right="-360"/>
            </w:pPr>
          </w:p>
        </w:tc>
        <w:tc>
          <w:tcPr>
            <w:tcW w:w="1530" w:type="dxa"/>
          </w:tcPr>
          <w:p w14:paraId="7AF97261" w14:textId="09C64307" w:rsidR="00216725" w:rsidRPr="000D3DC5" w:rsidRDefault="00216725" w:rsidP="00D46156">
            <w:pPr>
              <w:tabs>
                <w:tab w:val="decimal" w:pos="1152"/>
                <w:tab w:val="right" w:pos="9180"/>
              </w:tabs>
              <w:ind w:right="-18"/>
            </w:pPr>
            <w:r>
              <w:tab/>
            </w:r>
            <w:r w:rsidR="00B171BA">
              <w:t>1,416,892</w:t>
            </w:r>
          </w:p>
        </w:tc>
      </w:tr>
      <w:tr w:rsidR="00216725" w:rsidRPr="000D3DC5" w14:paraId="4DDE8BF0" w14:textId="77777777" w:rsidTr="00D46156">
        <w:tc>
          <w:tcPr>
            <w:tcW w:w="378" w:type="dxa"/>
          </w:tcPr>
          <w:p w14:paraId="50F196EE" w14:textId="77777777" w:rsidR="00216725" w:rsidRPr="000D3DC5" w:rsidRDefault="00216725" w:rsidP="00D46156">
            <w:pPr>
              <w:ind w:right="-360"/>
            </w:pPr>
          </w:p>
        </w:tc>
        <w:tc>
          <w:tcPr>
            <w:tcW w:w="3060" w:type="dxa"/>
            <w:gridSpan w:val="3"/>
          </w:tcPr>
          <w:p w14:paraId="5F380D03" w14:textId="77777777" w:rsidR="00216725" w:rsidRPr="000D3DC5" w:rsidRDefault="00216725" w:rsidP="00D46156">
            <w:pPr>
              <w:tabs>
                <w:tab w:val="right" w:pos="9180"/>
              </w:tabs>
              <w:ind w:right="-360"/>
            </w:pPr>
            <w:r w:rsidRPr="000D3DC5">
              <w:t>General and administrative</w:t>
            </w:r>
          </w:p>
        </w:tc>
        <w:tc>
          <w:tcPr>
            <w:tcW w:w="1530" w:type="dxa"/>
          </w:tcPr>
          <w:p w14:paraId="04582328" w14:textId="02FCD2C8" w:rsidR="00216725" w:rsidRPr="000D3DC5" w:rsidRDefault="00216725" w:rsidP="00D46156">
            <w:pPr>
              <w:tabs>
                <w:tab w:val="decimal" w:pos="1152"/>
                <w:tab w:val="right" w:pos="9180"/>
              </w:tabs>
              <w:ind w:right="-18"/>
            </w:pPr>
            <w:r w:rsidRPr="000D3DC5">
              <w:tab/>
            </w:r>
            <w:r w:rsidR="00B171BA">
              <w:t>291,475</w:t>
            </w:r>
          </w:p>
        </w:tc>
        <w:tc>
          <w:tcPr>
            <w:tcW w:w="270" w:type="dxa"/>
          </w:tcPr>
          <w:p w14:paraId="44495AB2" w14:textId="77777777" w:rsidR="00216725" w:rsidRPr="000D3DC5" w:rsidRDefault="00216725" w:rsidP="00D46156">
            <w:pPr>
              <w:tabs>
                <w:tab w:val="right" w:pos="9180"/>
              </w:tabs>
              <w:ind w:right="-360"/>
            </w:pPr>
          </w:p>
        </w:tc>
        <w:tc>
          <w:tcPr>
            <w:tcW w:w="1440" w:type="dxa"/>
          </w:tcPr>
          <w:p w14:paraId="4D293C19" w14:textId="751D84B6" w:rsidR="00216725" w:rsidRPr="000D3DC5" w:rsidRDefault="00216725" w:rsidP="00D46156">
            <w:pPr>
              <w:tabs>
                <w:tab w:val="decimal" w:pos="1062"/>
                <w:tab w:val="right" w:pos="9180"/>
              </w:tabs>
              <w:ind w:right="-46"/>
            </w:pPr>
            <w:r>
              <w:tab/>
            </w:r>
            <w:r w:rsidR="00B171BA">
              <w:t>458,974</w:t>
            </w:r>
          </w:p>
        </w:tc>
        <w:tc>
          <w:tcPr>
            <w:tcW w:w="450" w:type="dxa"/>
          </w:tcPr>
          <w:p w14:paraId="41F37854" w14:textId="77777777" w:rsidR="00216725" w:rsidRPr="000D3DC5" w:rsidRDefault="00216725" w:rsidP="00D46156">
            <w:pPr>
              <w:tabs>
                <w:tab w:val="right" w:pos="9180"/>
              </w:tabs>
              <w:ind w:right="-360"/>
            </w:pPr>
          </w:p>
        </w:tc>
        <w:tc>
          <w:tcPr>
            <w:tcW w:w="1440" w:type="dxa"/>
          </w:tcPr>
          <w:p w14:paraId="345C01E9" w14:textId="1F6F253C" w:rsidR="00216725" w:rsidRPr="000D3DC5" w:rsidRDefault="00216725" w:rsidP="00D46156">
            <w:pPr>
              <w:tabs>
                <w:tab w:val="decimal" w:pos="1062"/>
                <w:tab w:val="right" w:pos="9180"/>
              </w:tabs>
              <w:ind w:right="-18"/>
            </w:pPr>
            <w:r w:rsidRPr="000D3DC5">
              <w:tab/>
            </w:r>
            <w:r w:rsidR="00B171BA">
              <w:t>1,214,189</w:t>
            </w:r>
          </w:p>
        </w:tc>
        <w:tc>
          <w:tcPr>
            <w:tcW w:w="270" w:type="dxa"/>
          </w:tcPr>
          <w:p w14:paraId="48C227DA" w14:textId="77777777" w:rsidR="00216725" w:rsidRPr="000D3DC5" w:rsidRDefault="00216725" w:rsidP="00D46156">
            <w:pPr>
              <w:tabs>
                <w:tab w:val="right" w:pos="9180"/>
              </w:tabs>
              <w:ind w:right="-360"/>
            </w:pPr>
          </w:p>
        </w:tc>
        <w:tc>
          <w:tcPr>
            <w:tcW w:w="1530" w:type="dxa"/>
          </w:tcPr>
          <w:p w14:paraId="5B7FB8BA" w14:textId="3FDA124F" w:rsidR="00216725" w:rsidRPr="000D3DC5" w:rsidRDefault="00216725" w:rsidP="00D46156">
            <w:pPr>
              <w:tabs>
                <w:tab w:val="decimal" w:pos="1152"/>
                <w:tab w:val="right" w:pos="9180"/>
              </w:tabs>
              <w:ind w:right="-18"/>
            </w:pPr>
            <w:r>
              <w:tab/>
            </w:r>
            <w:r w:rsidR="00B171BA">
              <w:t>1,175,399</w:t>
            </w:r>
          </w:p>
        </w:tc>
      </w:tr>
      <w:tr w:rsidR="00216725" w:rsidRPr="000D3DC5" w14:paraId="4FB75E3D" w14:textId="77777777" w:rsidTr="00D46156">
        <w:tc>
          <w:tcPr>
            <w:tcW w:w="3438" w:type="dxa"/>
            <w:gridSpan w:val="4"/>
          </w:tcPr>
          <w:p w14:paraId="6DAB6441" w14:textId="77777777" w:rsidR="00216725" w:rsidRPr="000D3DC5" w:rsidRDefault="00216725" w:rsidP="00D46156">
            <w:pPr>
              <w:tabs>
                <w:tab w:val="right" w:pos="9180"/>
              </w:tabs>
              <w:ind w:right="-360"/>
            </w:pPr>
            <w:r>
              <w:t>Total operating expenses</w:t>
            </w:r>
          </w:p>
        </w:tc>
        <w:tc>
          <w:tcPr>
            <w:tcW w:w="1530" w:type="dxa"/>
            <w:tcBorders>
              <w:top w:val="single" w:sz="4" w:space="0" w:color="auto"/>
              <w:bottom w:val="single" w:sz="4" w:space="0" w:color="auto"/>
            </w:tcBorders>
          </w:tcPr>
          <w:p w14:paraId="63320B4C" w14:textId="0A811582" w:rsidR="00216725" w:rsidRPr="000D3DC5" w:rsidRDefault="00216725" w:rsidP="00D46156">
            <w:pPr>
              <w:tabs>
                <w:tab w:val="decimal" w:pos="1152"/>
                <w:tab w:val="right" w:pos="9180"/>
              </w:tabs>
              <w:ind w:right="-18"/>
            </w:pPr>
            <w:r w:rsidRPr="000D3DC5">
              <w:tab/>
            </w:r>
            <w:r w:rsidR="00B171BA">
              <w:t>759,149</w:t>
            </w:r>
          </w:p>
        </w:tc>
        <w:tc>
          <w:tcPr>
            <w:tcW w:w="270" w:type="dxa"/>
          </w:tcPr>
          <w:p w14:paraId="11E83BDA" w14:textId="77777777" w:rsidR="00216725" w:rsidRPr="000D3DC5" w:rsidRDefault="00216725" w:rsidP="00D46156">
            <w:pPr>
              <w:tabs>
                <w:tab w:val="right" w:pos="9180"/>
              </w:tabs>
              <w:ind w:right="-360"/>
            </w:pPr>
          </w:p>
        </w:tc>
        <w:tc>
          <w:tcPr>
            <w:tcW w:w="1440" w:type="dxa"/>
            <w:tcBorders>
              <w:top w:val="single" w:sz="4" w:space="0" w:color="auto"/>
              <w:bottom w:val="single" w:sz="4" w:space="0" w:color="auto"/>
            </w:tcBorders>
          </w:tcPr>
          <w:p w14:paraId="154CDA7D" w14:textId="19FD3E8C" w:rsidR="00216725" w:rsidRPr="000D3DC5" w:rsidRDefault="00216725" w:rsidP="00D46156">
            <w:pPr>
              <w:tabs>
                <w:tab w:val="decimal" w:pos="1062"/>
                <w:tab w:val="right" w:pos="9180"/>
              </w:tabs>
              <w:ind w:right="-46"/>
            </w:pPr>
            <w:r>
              <w:tab/>
            </w:r>
            <w:r w:rsidR="00B171BA">
              <w:t>1,016,670</w:t>
            </w:r>
          </w:p>
        </w:tc>
        <w:tc>
          <w:tcPr>
            <w:tcW w:w="450" w:type="dxa"/>
          </w:tcPr>
          <w:p w14:paraId="40669B0B" w14:textId="77777777" w:rsidR="00216725" w:rsidRPr="000D3DC5" w:rsidRDefault="00216725" w:rsidP="00D46156">
            <w:pPr>
              <w:tabs>
                <w:tab w:val="right" w:pos="9180"/>
              </w:tabs>
              <w:ind w:right="-360"/>
            </w:pPr>
          </w:p>
        </w:tc>
        <w:tc>
          <w:tcPr>
            <w:tcW w:w="1440" w:type="dxa"/>
            <w:tcBorders>
              <w:top w:val="single" w:sz="4" w:space="0" w:color="auto"/>
              <w:bottom w:val="single" w:sz="4" w:space="0" w:color="auto"/>
            </w:tcBorders>
          </w:tcPr>
          <w:p w14:paraId="3B56C03A" w14:textId="039A554E" w:rsidR="00216725" w:rsidRPr="000D3DC5" w:rsidRDefault="00216725" w:rsidP="00D46156">
            <w:pPr>
              <w:tabs>
                <w:tab w:val="decimal" w:pos="1062"/>
                <w:tab w:val="right" w:pos="9180"/>
              </w:tabs>
              <w:ind w:right="-18"/>
            </w:pPr>
            <w:r w:rsidRPr="000D3DC5">
              <w:tab/>
            </w:r>
            <w:r w:rsidR="00B171BA">
              <w:t>2,688,808</w:t>
            </w:r>
          </w:p>
        </w:tc>
        <w:tc>
          <w:tcPr>
            <w:tcW w:w="270" w:type="dxa"/>
          </w:tcPr>
          <w:p w14:paraId="0A1932A3" w14:textId="77777777" w:rsidR="00216725" w:rsidRPr="000D3DC5" w:rsidRDefault="00216725" w:rsidP="00D46156">
            <w:pPr>
              <w:tabs>
                <w:tab w:val="right" w:pos="9180"/>
              </w:tabs>
              <w:ind w:right="-360"/>
            </w:pPr>
          </w:p>
        </w:tc>
        <w:tc>
          <w:tcPr>
            <w:tcW w:w="1530" w:type="dxa"/>
            <w:tcBorders>
              <w:top w:val="single" w:sz="4" w:space="0" w:color="auto"/>
              <w:bottom w:val="single" w:sz="4" w:space="0" w:color="auto"/>
            </w:tcBorders>
          </w:tcPr>
          <w:p w14:paraId="03B84839" w14:textId="67636BA1" w:rsidR="00216725" w:rsidRPr="000D3DC5" w:rsidRDefault="00216725" w:rsidP="00D46156">
            <w:pPr>
              <w:tabs>
                <w:tab w:val="decimal" w:pos="1152"/>
                <w:tab w:val="right" w:pos="9180"/>
              </w:tabs>
              <w:ind w:right="-18"/>
            </w:pPr>
            <w:r>
              <w:tab/>
            </w:r>
            <w:r w:rsidR="00B171BA">
              <w:t>2,592,291</w:t>
            </w:r>
          </w:p>
        </w:tc>
      </w:tr>
      <w:tr w:rsidR="00216725" w:rsidRPr="000D3DC5" w14:paraId="0556FEF8" w14:textId="77777777" w:rsidTr="00D46156">
        <w:tc>
          <w:tcPr>
            <w:tcW w:w="378" w:type="dxa"/>
          </w:tcPr>
          <w:p w14:paraId="48A73874" w14:textId="77777777" w:rsidR="00216725" w:rsidRPr="000D3DC5" w:rsidRDefault="00216725" w:rsidP="00D46156">
            <w:pPr>
              <w:ind w:right="-360"/>
            </w:pPr>
          </w:p>
        </w:tc>
        <w:tc>
          <w:tcPr>
            <w:tcW w:w="450" w:type="dxa"/>
          </w:tcPr>
          <w:p w14:paraId="522DA25D" w14:textId="77777777" w:rsidR="00216725" w:rsidRPr="000D3DC5" w:rsidRDefault="00216725" w:rsidP="00D46156">
            <w:pPr>
              <w:ind w:right="-360"/>
            </w:pPr>
          </w:p>
        </w:tc>
        <w:tc>
          <w:tcPr>
            <w:tcW w:w="450" w:type="dxa"/>
          </w:tcPr>
          <w:p w14:paraId="3BBABD07" w14:textId="77777777" w:rsidR="00216725" w:rsidRPr="000D3DC5" w:rsidRDefault="00216725" w:rsidP="00D46156">
            <w:pPr>
              <w:ind w:right="-360"/>
            </w:pPr>
          </w:p>
        </w:tc>
        <w:tc>
          <w:tcPr>
            <w:tcW w:w="2160" w:type="dxa"/>
          </w:tcPr>
          <w:p w14:paraId="05F276F6" w14:textId="77777777" w:rsidR="00216725" w:rsidRPr="000D3DC5" w:rsidRDefault="00216725" w:rsidP="00D46156">
            <w:pPr>
              <w:tabs>
                <w:tab w:val="right" w:pos="9180"/>
              </w:tabs>
              <w:ind w:right="-360"/>
            </w:pPr>
          </w:p>
        </w:tc>
        <w:tc>
          <w:tcPr>
            <w:tcW w:w="1530" w:type="dxa"/>
            <w:tcBorders>
              <w:top w:val="single" w:sz="4" w:space="0" w:color="auto"/>
            </w:tcBorders>
          </w:tcPr>
          <w:p w14:paraId="41CA5E6F" w14:textId="77777777" w:rsidR="00216725" w:rsidRPr="000D3DC5" w:rsidRDefault="00216725" w:rsidP="00D46156">
            <w:pPr>
              <w:tabs>
                <w:tab w:val="right" w:pos="9180"/>
              </w:tabs>
              <w:ind w:right="-18"/>
            </w:pPr>
          </w:p>
        </w:tc>
        <w:tc>
          <w:tcPr>
            <w:tcW w:w="270" w:type="dxa"/>
          </w:tcPr>
          <w:p w14:paraId="0B95A277" w14:textId="77777777" w:rsidR="00216725" w:rsidRPr="000D3DC5" w:rsidRDefault="00216725" w:rsidP="00D46156">
            <w:pPr>
              <w:tabs>
                <w:tab w:val="right" w:pos="9180"/>
              </w:tabs>
              <w:ind w:right="-360"/>
            </w:pPr>
          </w:p>
        </w:tc>
        <w:tc>
          <w:tcPr>
            <w:tcW w:w="1440" w:type="dxa"/>
            <w:tcBorders>
              <w:top w:val="single" w:sz="4" w:space="0" w:color="auto"/>
            </w:tcBorders>
          </w:tcPr>
          <w:p w14:paraId="0686766B" w14:textId="77777777" w:rsidR="00216725" w:rsidRPr="000D3DC5" w:rsidRDefault="00216725" w:rsidP="00D46156">
            <w:pPr>
              <w:tabs>
                <w:tab w:val="right" w:pos="9180"/>
              </w:tabs>
              <w:ind w:right="-46"/>
            </w:pPr>
          </w:p>
        </w:tc>
        <w:tc>
          <w:tcPr>
            <w:tcW w:w="450" w:type="dxa"/>
          </w:tcPr>
          <w:p w14:paraId="6F798969" w14:textId="77777777" w:rsidR="00216725" w:rsidRPr="000D3DC5" w:rsidRDefault="00216725" w:rsidP="00D46156">
            <w:pPr>
              <w:tabs>
                <w:tab w:val="right" w:pos="9180"/>
              </w:tabs>
              <w:ind w:right="-360"/>
            </w:pPr>
          </w:p>
        </w:tc>
        <w:tc>
          <w:tcPr>
            <w:tcW w:w="1440" w:type="dxa"/>
            <w:tcBorders>
              <w:top w:val="single" w:sz="4" w:space="0" w:color="auto"/>
            </w:tcBorders>
          </w:tcPr>
          <w:p w14:paraId="2499773C" w14:textId="77777777" w:rsidR="00216725" w:rsidRPr="000D3DC5" w:rsidRDefault="00216725" w:rsidP="00D46156">
            <w:pPr>
              <w:tabs>
                <w:tab w:val="right" w:pos="9180"/>
              </w:tabs>
              <w:ind w:right="-18"/>
            </w:pPr>
          </w:p>
        </w:tc>
        <w:tc>
          <w:tcPr>
            <w:tcW w:w="270" w:type="dxa"/>
          </w:tcPr>
          <w:p w14:paraId="2E7FF677" w14:textId="77777777" w:rsidR="00216725" w:rsidRPr="000D3DC5" w:rsidRDefault="00216725" w:rsidP="00D46156">
            <w:pPr>
              <w:tabs>
                <w:tab w:val="right" w:pos="9180"/>
              </w:tabs>
              <w:ind w:right="-360"/>
            </w:pPr>
          </w:p>
        </w:tc>
        <w:tc>
          <w:tcPr>
            <w:tcW w:w="1530" w:type="dxa"/>
            <w:tcBorders>
              <w:top w:val="single" w:sz="4" w:space="0" w:color="auto"/>
            </w:tcBorders>
          </w:tcPr>
          <w:p w14:paraId="7E1EF982" w14:textId="77777777" w:rsidR="00216725" w:rsidRPr="000D3DC5" w:rsidRDefault="00216725" w:rsidP="00D46156">
            <w:pPr>
              <w:tabs>
                <w:tab w:val="right" w:pos="9180"/>
              </w:tabs>
              <w:ind w:right="-18"/>
            </w:pPr>
          </w:p>
        </w:tc>
      </w:tr>
      <w:tr w:rsidR="00216725" w:rsidRPr="000D3DC5" w14:paraId="527DC449" w14:textId="77777777" w:rsidTr="00D46156">
        <w:tc>
          <w:tcPr>
            <w:tcW w:w="3438" w:type="dxa"/>
            <w:gridSpan w:val="4"/>
          </w:tcPr>
          <w:p w14:paraId="7580249E" w14:textId="77777777" w:rsidR="00216725" w:rsidRPr="000D3DC5" w:rsidRDefault="00216725" w:rsidP="00D46156">
            <w:pPr>
              <w:tabs>
                <w:tab w:val="right" w:pos="9180"/>
              </w:tabs>
              <w:ind w:right="-360"/>
            </w:pPr>
            <w:r>
              <w:t>L</w:t>
            </w:r>
            <w:r w:rsidRPr="000D3DC5">
              <w:t>oss from operations</w:t>
            </w:r>
          </w:p>
        </w:tc>
        <w:tc>
          <w:tcPr>
            <w:tcW w:w="1530" w:type="dxa"/>
          </w:tcPr>
          <w:p w14:paraId="5009A7E6" w14:textId="78DB350B" w:rsidR="00216725" w:rsidRPr="000D3DC5" w:rsidRDefault="00216725" w:rsidP="00D46156">
            <w:pPr>
              <w:tabs>
                <w:tab w:val="decimal" w:pos="1152"/>
                <w:tab w:val="right" w:pos="9180"/>
              </w:tabs>
              <w:ind w:right="-18"/>
            </w:pPr>
            <w:r>
              <w:tab/>
            </w:r>
            <w:r w:rsidR="00176E63">
              <w:t>(</w:t>
            </w:r>
            <w:r w:rsidR="00B171BA">
              <w:t>425,940</w:t>
            </w:r>
            <w:r w:rsidR="00176E63">
              <w:t>)</w:t>
            </w:r>
          </w:p>
        </w:tc>
        <w:tc>
          <w:tcPr>
            <w:tcW w:w="270" w:type="dxa"/>
          </w:tcPr>
          <w:p w14:paraId="1D7B0EFA" w14:textId="77777777" w:rsidR="00216725" w:rsidRPr="000D3DC5" w:rsidRDefault="00216725" w:rsidP="00D46156">
            <w:pPr>
              <w:tabs>
                <w:tab w:val="right" w:pos="9180"/>
              </w:tabs>
              <w:ind w:right="-360"/>
            </w:pPr>
          </w:p>
        </w:tc>
        <w:tc>
          <w:tcPr>
            <w:tcW w:w="1440" w:type="dxa"/>
          </w:tcPr>
          <w:p w14:paraId="14FA604B" w14:textId="1E09B3A6" w:rsidR="00216725" w:rsidRPr="000D3DC5" w:rsidRDefault="00216725" w:rsidP="00D46156">
            <w:pPr>
              <w:tabs>
                <w:tab w:val="decimal" w:pos="1062"/>
                <w:tab w:val="right" w:pos="9180"/>
              </w:tabs>
              <w:ind w:right="-46"/>
            </w:pPr>
            <w:r>
              <w:tab/>
              <w:t>(</w:t>
            </w:r>
            <w:r w:rsidR="00B171BA">
              <w:t>667,326</w:t>
            </w:r>
            <w:r>
              <w:t>)</w:t>
            </w:r>
          </w:p>
        </w:tc>
        <w:tc>
          <w:tcPr>
            <w:tcW w:w="450" w:type="dxa"/>
          </w:tcPr>
          <w:p w14:paraId="644CDE0F" w14:textId="77777777" w:rsidR="00216725" w:rsidRPr="000D3DC5" w:rsidRDefault="00216725" w:rsidP="00D46156">
            <w:pPr>
              <w:tabs>
                <w:tab w:val="right" w:pos="9180"/>
              </w:tabs>
              <w:ind w:right="-360"/>
            </w:pPr>
          </w:p>
        </w:tc>
        <w:tc>
          <w:tcPr>
            <w:tcW w:w="1440" w:type="dxa"/>
          </w:tcPr>
          <w:p w14:paraId="73EFC3DB" w14:textId="105B9742" w:rsidR="00216725" w:rsidRPr="000D3DC5" w:rsidRDefault="00216725" w:rsidP="00D46156">
            <w:pPr>
              <w:tabs>
                <w:tab w:val="decimal" w:pos="1044"/>
                <w:tab w:val="right" w:pos="9180"/>
              </w:tabs>
              <w:ind w:right="-18"/>
            </w:pPr>
            <w:r w:rsidRPr="000D3DC5">
              <w:tab/>
            </w:r>
            <w:r w:rsidR="00176E63">
              <w:t>(</w:t>
            </w:r>
            <w:r w:rsidR="00B171BA">
              <w:t>1,781,426</w:t>
            </w:r>
            <w:r w:rsidR="00176E63">
              <w:t>)</w:t>
            </w:r>
          </w:p>
        </w:tc>
        <w:tc>
          <w:tcPr>
            <w:tcW w:w="270" w:type="dxa"/>
          </w:tcPr>
          <w:p w14:paraId="5039A3AA" w14:textId="77777777" w:rsidR="00216725" w:rsidRPr="000D3DC5" w:rsidRDefault="00216725" w:rsidP="00D46156">
            <w:pPr>
              <w:tabs>
                <w:tab w:val="right" w:pos="9180"/>
              </w:tabs>
              <w:ind w:right="-360"/>
            </w:pPr>
          </w:p>
        </w:tc>
        <w:tc>
          <w:tcPr>
            <w:tcW w:w="1530" w:type="dxa"/>
          </w:tcPr>
          <w:p w14:paraId="4E489B61" w14:textId="177A5DBC" w:rsidR="00216725" w:rsidRPr="000D3DC5" w:rsidRDefault="00216725" w:rsidP="00D46156">
            <w:pPr>
              <w:tabs>
                <w:tab w:val="decimal" w:pos="1152"/>
                <w:tab w:val="right" w:pos="9180"/>
              </w:tabs>
              <w:ind w:right="-18"/>
            </w:pPr>
            <w:r>
              <w:tab/>
              <w:t>(</w:t>
            </w:r>
            <w:r w:rsidR="00B171BA">
              <w:t>1,928,383</w:t>
            </w:r>
            <w:r>
              <w:t>)</w:t>
            </w:r>
          </w:p>
        </w:tc>
      </w:tr>
      <w:tr w:rsidR="00216725" w:rsidRPr="000D3DC5" w14:paraId="34ABAEB7" w14:textId="77777777" w:rsidTr="00D46156">
        <w:tc>
          <w:tcPr>
            <w:tcW w:w="378" w:type="dxa"/>
          </w:tcPr>
          <w:p w14:paraId="3DDFFB83" w14:textId="77777777" w:rsidR="00216725" w:rsidRPr="000D3DC5" w:rsidRDefault="00216725" w:rsidP="00D46156">
            <w:pPr>
              <w:ind w:right="-360"/>
            </w:pPr>
          </w:p>
        </w:tc>
        <w:tc>
          <w:tcPr>
            <w:tcW w:w="450" w:type="dxa"/>
          </w:tcPr>
          <w:p w14:paraId="54C0A602" w14:textId="77777777" w:rsidR="00216725" w:rsidRPr="000D3DC5" w:rsidRDefault="00216725" w:rsidP="00D46156">
            <w:pPr>
              <w:ind w:right="-360"/>
            </w:pPr>
          </w:p>
        </w:tc>
        <w:tc>
          <w:tcPr>
            <w:tcW w:w="450" w:type="dxa"/>
          </w:tcPr>
          <w:p w14:paraId="7DAD7742" w14:textId="77777777" w:rsidR="00216725" w:rsidRPr="000D3DC5" w:rsidRDefault="00216725" w:rsidP="00D46156">
            <w:pPr>
              <w:ind w:right="-360"/>
            </w:pPr>
          </w:p>
        </w:tc>
        <w:tc>
          <w:tcPr>
            <w:tcW w:w="2160" w:type="dxa"/>
          </w:tcPr>
          <w:p w14:paraId="02C52BB2" w14:textId="77777777" w:rsidR="00216725" w:rsidRPr="000D3DC5" w:rsidRDefault="00216725" w:rsidP="00D46156">
            <w:pPr>
              <w:tabs>
                <w:tab w:val="right" w:pos="9180"/>
              </w:tabs>
              <w:ind w:right="-360"/>
            </w:pPr>
          </w:p>
        </w:tc>
        <w:tc>
          <w:tcPr>
            <w:tcW w:w="1530" w:type="dxa"/>
          </w:tcPr>
          <w:p w14:paraId="612A03EF" w14:textId="77777777" w:rsidR="00216725" w:rsidRPr="000D3DC5" w:rsidRDefault="00216725" w:rsidP="00D46156">
            <w:pPr>
              <w:tabs>
                <w:tab w:val="right" w:pos="9180"/>
              </w:tabs>
              <w:ind w:right="-18"/>
            </w:pPr>
          </w:p>
        </w:tc>
        <w:tc>
          <w:tcPr>
            <w:tcW w:w="270" w:type="dxa"/>
          </w:tcPr>
          <w:p w14:paraId="23E5D17A" w14:textId="77777777" w:rsidR="00216725" w:rsidRPr="000D3DC5" w:rsidRDefault="00216725" w:rsidP="00D46156">
            <w:pPr>
              <w:tabs>
                <w:tab w:val="right" w:pos="9180"/>
              </w:tabs>
              <w:ind w:right="-360"/>
            </w:pPr>
          </w:p>
        </w:tc>
        <w:tc>
          <w:tcPr>
            <w:tcW w:w="1440" w:type="dxa"/>
          </w:tcPr>
          <w:p w14:paraId="42A20425" w14:textId="77777777" w:rsidR="00216725" w:rsidRPr="000D3DC5" w:rsidRDefault="00216725" w:rsidP="00D46156">
            <w:pPr>
              <w:tabs>
                <w:tab w:val="right" w:pos="9180"/>
              </w:tabs>
              <w:ind w:right="-46"/>
            </w:pPr>
          </w:p>
        </w:tc>
        <w:tc>
          <w:tcPr>
            <w:tcW w:w="450" w:type="dxa"/>
          </w:tcPr>
          <w:p w14:paraId="5C85DC93" w14:textId="77777777" w:rsidR="00216725" w:rsidRPr="000D3DC5" w:rsidRDefault="00216725" w:rsidP="00D46156">
            <w:pPr>
              <w:tabs>
                <w:tab w:val="right" w:pos="9180"/>
              </w:tabs>
              <w:ind w:right="-360"/>
            </w:pPr>
          </w:p>
        </w:tc>
        <w:tc>
          <w:tcPr>
            <w:tcW w:w="1440" w:type="dxa"/>
          </w:tcPr>
          <w:p w14:paraId="166BEB24" w14:textId="77777777" w:rsidR="00216725" w:rsidRPr="000D3DC5" w:rsidRDefault="00216725" w:rsidP="00D46156">
            <w:pPr>
              <w:tabs>
                <w:tab w:val="right" w:pos="9180"/>
              </w:tabs>
              <w:ind w:right="-18"/>
            </w:pPr>
          </w:p>
        </w:tc>
        <w:tc>
          <w:tcPr>
            <w:tcW w:w="270" w:type="dxa"/>
          </w:tcPr>
          <w:p w14:paraId="45288198" w14:textId="77777777" w:rsidR="00216725" w:rsidRPr="000D3DC5" w:rsidRDefault="00216725" w:rsidP="00D46156">
            <w:pPr>
              <w:tabs>
                <w:tab w:val="right" w:pos="9180"/>
              </w:tabs>
              <w:ind w:right="-360"/>
            </w:pPr>
          </w:p>
        </w:tc>
        <w:tc>
          <w:tcPr>
            <w:tcW w:w="1530" w:type="dxa"/>
          </w:tcPr>
          <w:p w14:paraId="3E0082EE" w14:textId="77777777" w:rsidR="00216725" w:rsidRPr="000D3DC5" w:rsidRDefault="00216725" w:rsidP="00D46156">
            <w:pPr>
              <w:tabs>
                <w:tab w:val="right" w:pos="9180"/>
              </w:tabs>
              <w:ind w:right="-18"/>
            </w:pPr>
          </w:p>
        </w:tc>
      </w:tr>
      <w:tr w:rsidR="00216725" w:rsidRPr="000D3DC5" w14:paraId="4F0975CB" w14:textId="77777777" w:rsidTr="00D46156">
        <w:tc>
          <w:tcPr>
            <w:tcW w:w="3438" w:type="dxa"/>
            <w:gridSpan w:val="4"/>
          </w:tcPr>
          <w:p w14:paraId="395A7C8C" w14:textId="77777777" w:rsidR="00216725" w:rsidRPr="000D3DC5" w:rsidRDefault="00216725" w:rsidP="00D46156">
            <w:pPr>
              <w:tabs>
                <w:tab w:val="right" w:pos="9180"/>
              </w:tabs>
              <w:ind w:right="-360"/>
            </w:pPr>
            <w:r>
              <w:t>Other income (expense):</w:t>
            </w:r>
          </w:p>
        </w:tc>
        <w:tc>
          <w:tcPr>
            <w:tcW w:w="1530" w:type="dxa"/>
          </w:tcPr>
          <w:p w14:paraId="5F68C712" w14:textId="77777777" w:rsidR="00216725" w:rsidRPr="000D3DC5" w:rsidRDefault="00216725" w:rsidP="00D46156">
            <w:pPr>
              <w:tabs>
                <w:tab w:val="decimal" w:pos="1062"/>
                <w:tab w:val="right" w:pos="9180"/>
              </w:tabs>
              <w:ind w:right="-18"/>
            </w:pPr>
          </w:p>
        </w:tc>
        <w:tc>
          <w:tcPr>
            <w:tcW w:w="270" w:type="dxa"/>
          </w:tcPr>
          <w:p w14:paraId="51A9F0EE" w14:textId="77777777" w:rsidR="00216725" w:rsidRPr="000D3DC5" w:rsidRDefault="00216725" w:rsidP="00D46156">
            <w:pPr>
              <w:tabs>
                <w:tab w:val="right" w:pos="9180"/>
              </w:tabs>
              <w:ind w:right="-360"/>
            </w:pPr>
          </w:p>
        </w:tc>
        <w:tc>
          <w:tcPr>
            <w:tcW w:w="1440" w:type="dxa"/>
          </w:tcPr>
          <w:p w14:paraId="7F8CA9CE" w14:textId="77777777" w:rsidR="00216725" w:rsidRPr="000D3DC5" w:rsidRDefault="00216725" w:rsidP="00D46156">
            <w:pPr>
              <w:tabs>
                <w:tab w:val="decimal" w:pos="864"/>
                <w:tab w:val="right" w:pos="9180"/>
              </w:tabs>
              <w:ind w:right="-46"/>
            </w:pPr>
          </w:p>
        </w:tc>
        <w:tc>
          <w:tcPr>
            <w:tcW w:w="450" w:type="dxa"/>
          </w:tcPr>
          <w:p w14:paraId="525B51C0" w14:textId="77777777" w:rsidR="00216725" w:rsidRPr="000D3DC5" w:rsidRDefault="00216725" w:rsidP="00D46156">
            <w:pPr>
              <w:tabs>
                <w:tab w:val="right" w:pos="9180"/>
              </w:tabs>
              <w:ind w:right="-360"/>
            </w:pPr>
          </w:p>
        </w:tc>
        <w:tc>
          <w:tcPr>
            <w:tcW w:w="1440" w:type="dxa"/>
          </w:tcPr>
          <w:p w14:paraId="145C0DCA" w14:textId="77777777" w:rsidR="00216725" w:rsidRPr="000D3DC5" w:rsidRDefault="00216725" w:rsidP="00D46156">
            <w:pPr>
              <w:tabs>
                <w:tab w:val="decimal" w:pos="864"/>
                <w:tab w:val="right" w:pos="9180"/>
              </w:tabs>
              <w:ind w:right="-18"/>
            </w:pPr>
          </w:p>
        </w:tc>
        <w:tc>
          <w:tcPr>
            <w:tcW w:w="270" w:type="dxa"/>
          </w:tcPr>
          <w:p w14:paraId="2A89CC76" w14:textId="77777777" w:rsidR="00216725" w:rsidRPr="000D3DC5" w:rsidRDefault="00216725" w:rsidP="00D46156">
            <w:pPr>
              <w:tabs>
                <w:tab w:val="right" w:pos="9180"/>
              </w:tabs>
              <w:ind w:right="-360"/>
            </w:pPr>
          </w:p>
        </w:tc>
        <w:tc>
          <w:tcPr>
            <w:tcW w:w="1530" w:type="dxa"/>
          </w:tcPr>
          <w:p w14:paraId="037588B0" w14:textId="77777777" w:rsidR="00216725" w:rsidRPr="000D3DC5" w:rsidRDefault="00216725" w:rsidP="00D46156">
            <w:pPr>
              <w:tabs>
                <w:tab w:val="decimal" w:pos="864"/>
                <w:tab w:val="right" w:pos="9180"/>
              </w:tabs>
              <w:ind w:right="-18"/>
            </w:pPr>
          </w:p>
        </w:tc>
      </w:tr>
      <w:tr w:rsidR="00216725" w:rsidRPr="000D3DC5" w14:paraId="4B769A14" w14:textId="77777777" w:rsidTr="00D46156">
        <w:tc>
          <w:tcPr>
            <w:tcW w:w="378" w:type="dxa"/>
          </w:tcPr>
          <w:p w14:paraId="38F8CCE1" w14:textId="77777777" w:rsidR="00216725" w:rsidRPr="000D3DC5" w:rsidRDefault="00216725" w:rsidP="00D46156">
            <w:pPr>
              <w:ind w:right="-360"/>
            </w:pPr>
          </w:p>
        </w:tc>
        <w:tc>
          <w:tcPr>
            <w:tcW w:w="3060" w:type="dxa"/>
            <w:gridSpan w:val="3"/>
          </w:tcPr>
          <w:p w14:paraId="3BD8AF4D" w14:textId="77777777" w:rsidR="00216725" w:rsidRPr="000D3DC5" w:rsidRDefault="00216725" w:rsidP="00D46156">
            <w:pPr>
              <w:tabs>
                <w:tab w:val="right" w:pos="9180"/>
              </w:tabs>
              <w:ind w:right="-360"/>
            </w:pPr>
            <w:r w:rsidRPr="000D3DC5">
              <w:t>Interest income</w:t>
            </w:r>
          </w:p>
        </w:tc>
        <w:tc>
          <w:tcPr>
            <w:tcW w:w="1530" w:type="dxa"/>
          </w:tcPr>
          <w:p w14:paraId="02C9F578" w14:textId="00CFA148" w:rsidR="00216725" w:rsidRPr="000D3DC5" w:rsidRDefault="00216725" w:rsidP="00D46156">
            <w:pPr>
              <w:tabs>
                <w:tab w:val="decimal" w:pos="1152"/>
                <w:tab w:val="right" w:pos="9180"/>
              </w:tabs>
              <w:ind w:right="-18"/>
            </w:pPr>
            <w:r w:rsidRPr="000D3DC5">
              <w:tab/>
            </w:r>
            <w:r w:rsidR="00B171BA">
              <w:t>2,560</w:t>
            </w:r>
          </w:p>
        </w:tc>
        <w:tc>
          <w:tcPr>
            <w:tcW w:w="270" w:type="dxa"/>
          </w:tcPr>
          <w:p w14:paraId="18DA9D91" w14:textId="77777777" w:rsidR="00216725" w:rsidRPr="000D3DC5" w:rsidRDefault="00216725" w:rsidP="00D46156">
            <w:pPr>
              <w:tabs>
                <w:tab w:val="right" w:pos="9180"/>
              </w:tabs>
              <w:ind w:right="-360"/>
            </w:pPr>
          </w:p>
        </w:tc>
        <w:tc>
          <w:tcPr>
            <w:tcW w:w="1440" w:type="dxa"/>
          </w:tcPr>
          <w:p w14:paraId="15DB7429" w14:textId="39795B6D" w:rsidR="00216725" w:rsidRPr="000D3DC5" w:rsidRDefault="00216725" w:rsidP="00D46156">
            <w:pPr>
              <w:tabs>
                <w:tab w:val="decimal" w:pos="1062"/>
                <w:tab w:val="right" w:pos="9180"/>
              </w:tabs>
              <w:ind w:right="-46"/>
            </w:pPr>
            <w:r w:rsidRPr="000D3DC5">
              <w:tab/>
            </w:r>
            <w:r w:rsidR="00B171BA">
              <w:t>1,058</w:t>
            </w:r>
          </w:p>
        </w:tc>
        <w:tc>
          <w:tcPr>
            <w:tcW w:w="450" w:type="dxa"/>
          </w:tcPr>
          <w:p w14:paraId="1F040105" w14:textId="77777777" w:rsidR="00216725" w:rsidRPr="000D3DC5" w:rsidRDefault="00216725" w:rsidP="00D46156">
            <w:pPr>
              <w:tabs>
                <w:tab w:val="right" w:pos="9180"/>
              </w:tabs>
              <w:ind w:right="-360"/>
            </w:pPr>
          </w:p>
        </w:tc>
        <w:tc>
          <w:tcPr>
            <w:tcW w:w="1440" w:type="dxa"/>
          </w:tcPr>
          <w:p w14:paraId="77A7D22A" w14:textId="01955E52" w:rsidR="00216725" w:rsidRPr="000D3DC5" w:rsidRDefault="00216725" w:rsidP="00D46156">
            <w:pPr>
              <w:tabs>
                <w:tab w:val="decimal" w:pos="1062"/>
                <w:tab w:val="right" w:pos="9180"/>
              </w:tabs>
              <w:ind w:right="-18"/>
            </w:pPr>
            <w:r w:rsidRPr="000D3DC5">
              <w:tab/>
            </w:r>
            <w:r w:rsidR="00B171BA">
              <w:t>4,665</w:t>
            </w:r>
          </w:p>
        </w:tc>
        <w:tc>
          <w:tcPr>
            <w:tcW w:w="270" w:type="dxa"/>
          </w:tcPr>
          <w:p w14:paraId="7C367BAE" w14:textId="77777777" w:rsidR="00216725" w:rsidRPr="000D3DC5" w:rsidRDefault="00216725" w:rsidP="00D46156">
            <w:pPr>
              <w:tabs>
                <w:tab w:val="right" w:pos="9180"/>
              </w:tabs>
              <w:ind w:right="-360"/>
            </w:pPr>
          </w:p>
        </w:tc>
        <w:tc>
          <w:tcPr>
            <w:tcW w:w="1530" w:type="dxa"/>
          </w:tcPr>
          <w:p w14:paraId="5133CE1A" w14:textId="3C7C5DA9" w:rsidR="00216725" w:rsidRPr="000D3DC5" w:rsidRDefault="00216725" w:rsidP="00D46156">
            <w:pPr>
              <w:tabs>
                <w:tab w:val="decimal" w:pos="1152"/>
                <w:tab w:val="right" w:pos="9180"/>
              </w:tabs>
              <w:ind w:right="-18"/>
            </w:pPr>
            <w:r w:rsidRPr="000D3DC5">
              <w:tab/>
            </w:r>
            <w:r w:rsidR="00B171BA">
              <w:t>4,092</w:t>
            </w:r>
          </w:p>
        </w:tc>
      </w:tr>
      <w:tr w:rsidR="00216725" w:rsidRPr="000D3DC5" w14:paraId="51D10D30" w14:textId="77777777" w:rsidTr="00D46156">
        <w:tc>
          <w:tcPr>
            <w:tcW w:w="378" w:type="dxa"/>
          </w:tcPr>
          <w:p w14:paraId="2001DAEB" w14:textId="77777777" w:rsidR="00216725" w:rsidRPr="000D3DC5" w:rsidRDefault="00216725" w:rsidP="00D46156">
            <w:pPr>
              <w:ind w:right="-360"/>
            </w:pPr>
          </w:p>
        </w:tc>
        <w:tc>
          <w:tcPr>
            <w:tcW w:w="3060" w:type="dxa"/>
            <w:gridSpan w:val="3"/>
          </w:tcPr>
          <w:p w14:paraId="02382132" w14:textId="77777777" w:rsidR="00216725" w:rsidRPr="000D3DC5" w:rsidRDefault="00216725" w:rsidP="00D46156">
            <w:pPr>
              <w:tabs>
                <w:tab w:val="right" w:pos="9180"/>
              </w:tabs>
              <w:ind w:right="-360"/>
            </w:pPr>
            <w:r>
              <w:t>Interest expense</w:t>
            </w:r>
          </w:p>
        </w:tc>
        <w:tc>
          <w:tcPr>
            <w:tcW w:w="1530" w:type="dxa"/>
          </w:tcPr>
          <w:p w14:paraId="3E5E3B01" w14:textId="7C604111" w:rsidR="00216725" w:rsidRPr="000D3DC5" w:rsidRDefault="00216725" w:rsidP="00D46156">
            <w:pPr>
              <w:tabs>
                <w:tab w:val="decimal" w:pos="1152"/>
                <w:tab w:val="right" w:pos="9180"/>
              </w:tabs>
              <w:ind w:right="-18"/>
            </w:pPr>
            <w:r>
              <w:tab/>
            </w:r>
            <w:r w:rsidR="00176E63">
              <w:t>(1,0</w:t>
            </w:r>
            <w:r w:rsidR="00B171BA">
              <w:t>54</w:t>
            </w:r>
            <w:r w:rsidR="00176E63">
              <w:t>)</w:t>
            </w:r>
          </w:p>
        </w:tc>
        <w:tc>
          <w:tcPr>
            <w:tcW w:w="270" w:type="dxa"/>
          </w:tcPr>
          <w:p w14:paraId="400A65EA" w14:textId="77777777" w:rsidR="00216725" w:rsidRPr="000D3DC5" w:rsidRDefault="00216725" w:rsidP="00D46156">
            <w:pPr>
              <w:tabs>
                <w:tab w:val="right" w:pos="9180"/>
              </w:tabs>
              <w:ind w:right="-360"/>
            </w:pPr>
          </w:p>
        </w:tc>
        <w:tc>
          <w:tcPr>
            <w:tcW w:w="1440" w:type="dxa"/>
          </w:tcPr>
          <w:p w14:paraId="69F4969A" w14:textId="7ECF8263" w:rsidR="00216725" w:rsidRPr="000D3DC5" w:rsidRDefault="00216725" w:rsidP="00D46156">
            <w:pPr>
              <w:tabs>
                <w:tab w:val="decimal" w:pos="1062"/>
                <w:tab w:val="right" w:pos="9180"/>
              </w:tabs>
              <w:ind w:right="-46"/>
            </w:pPr>
            <w:r>
              <w:tab/>
              <w:t>(</w:t>
            </w:r>
            <w:r w:rsidR="00B171BA">
              <w:t>625</w:t>
            </w:r>
            <w:r>
              <w:t>)</w:t>
            </w:r>
          </w:p>
        </w:tc>
        <w:tc>
          <w:tcPr>
            <w:tcW w:w="450" w:type="dxa"/>
          </w:tcPr>
          <w:p w14:paraId="67426E8E" w14:textId="77777777" w:rsidR="00216725" w:rsidRPr="000D3DC5" w:rsidRDefault="00216725" w:rsidP="00D46156">
            <w:pPr>
              <w:tabs>
                <w:tab w:val="right" w:pos="9180"/>
              </w:tabs>
              <w:ind w:right="-360"/>
            </w:pPr>
          </w:p>
        </w:tc>
        <w:tc>
          <w:tcPr>
            <w:tcW w:w="1440" w:type="dxa"/>
          </w:tcPr>
          <w:p w14:paraId="7A982AE7" w14:textId="6E87B80E" w:rsidR="00216725" w:rsidRPr="000D3DC5" w:rsidRDefault="00216725" w:rsidP="00D46156">
            <w:pPr>
              <w:tabs>
                <w:tab w:val="decimal" w:pos="1062"/>
                <w:tab w:val="right" w:pos="9180"/>
              </w:tabs>
              <w:ind w:right="-18"/>
            </w:pPr>
            <w:r>
              <w:tab/>
            </w:r>
            <w:r w:rsidR="00176E63">
              <w:t>(</w:t>
            </w:r>
            <w:r w:rsidR="00B171BA">
              <w:t>3,275</w:t>
            </w:r>
            <w:r w:rsidR="00176E63">
              <w:t>)</w:t>
            </w:r>
          </w:p>
        </w:tc>
        <w:tc>
          <w:tcPr>
            <w:tcW w:w="270" w:type="dxa"/>
          </w:tcPr>
          <w:p w14:paraId="3AB2E0A5" w14:textId="77777777" w:rsidR="00216725" w:rsidRPr="000D3DC5" w:rsidRDefault="00216725" w:rsidP="00D46156">
            <w:pPr>
              <w:tabs>
                <w:tab w:val="right" w:pos="9180"/>
              </w:tabs>
              <w:ind w:right="-360"/>
            </w:pPr>
          </w:p>
        </w:tc>
        <w:tc>
          <w:tcPr>
            <w:tcW w:w="1530" w:type="dxa"/>
          </w:tcPr>
          <w:p w14:paraId="7B60F62D" w14:textId="20914005" w:rsidR="00216725" w:rsidRPr="000D3DC5" w:rsidRDefault="00216725" w:rsidP="00D46156">
            <w:pPr>
              <w:tabs>
                <w:tab w:val="decimal" w:pos="1152"/>
                <w:tab w:val="right" w:pos="9180"/>
              </w:tabs>
              <w:ind w:right="-18"/>
            </w:pPr>
            <w:r>
              <w:tab/>
              <w:t>(</w:t>
            </w:r>
            <w:r w:rsidR="00B171BA">
              <w:t>1,458</w:t>
            </w:r>
            <w:r>
              <w:t>)</w:t>
            </w:r>
          </w:p>
        </w:tc>
      </w:tr>
      <w:tr w:rsidR="00216725" w:rsidRPr="000D3DC5" w14:paraId="293FDF71" w14:textId="77777777" w:rsidTr="00D46156">
        <w:tc>
          <w:tcPr>
            <w:tcW w:w="3438" w:type="dxa"/>
            <w:gridSpan w:val="4"/>
          </w:tcPr>
          <w:p w14:paraId="5BF3D98E" w14:textId="77777777" w:rsidR="00216725" w:rsidRPr="000D3DC5" w:rsidRDefault="00216725" w:rsidP="00D46156">
            <w:pPr>
              <w:tabs>
                <w:tab w:val="right" w:pos="9180"/>
              </w:tabs>
              <w:ind w:right="-360"/>
            </w:pPr>
            <w:r>
              <w:t>Total other income (expense)</w:t>
            </w:r>
          </w:p>
        </w:tc>
        <w:tc>
          <w:tcPr>
            <w:tcW w:w="1530" w:type="dxa"/>
            <w:tcBorders>
              <w:top w:val="single" w:sz="4" w:space="0" w:color="auto"/>
            </w:tcBorders>
          </w:tcPr>
          <w:p w14:paraId="34EE04BD" w14:textId="7F29551E" w:rsidR="00216725" w:rsidRPr="000D3DC5" w:rsidRDefault="00216725" w:rsidP="00D46156">
            <w:pPr>
              <w:tabs>
                <w:tab w:val="decimal" w:pos="1137"/>
                <w:tab w:val="right" w:pos="9180"/>
              </w:tabs>
              <w:ind w:right="-18"/>
            </w:pPr>
            <w:r>
              <w:tab/>
            </w:r>
            <w:r w:rsidR="00B171BA">
              <w:t>1,506</w:t>
            </w:r>
          </w:p>
        </w:tc>
        <w:tc>
          <w:tcPr>
            <w:tcW w:w="270" w:type="dxa"/>
          </w:tcPr>
          <w:p w14:paraId="2A388C92" w14:textId="77777777" w:rsidR="00216725" w:rsidRPr="000D3DC5" w:rsidRDefault="00216725" w:rsidP="00D46156">
            <w:pPr>
              <w:tabs>
                <w:tab w:val="right" w:pos="9180"/>
              </w:tabs>
              <w:ind w:right="-360"/>
            </w:pPr>
          </w:p>
        </w:tc>
        <w:tc>
          <w:tcPr>
            <w:tcW w:w="1440" w:type="dxa"/>
            <w:tcBorders>
              <w:top w:val="single" w:sz="4" w:space="0" w:color="auto"/>
            </w:tcBorders>
          </w:tcPr>
          <w:p w14:paraId="56758292" w14:textId="45577062" w:rsidR="00216725" w:rsidRPr="000D3DC5" w:rsidRDefault="00216725" w:rsidP="00D46156">
            <w:pPr>
              <w:tabs>
                <w:tab w:val="decimal" w:pos="1043"/>
                <w:tab w:val="right" w:pos="9180"/>
              </w:tabs>
              <w:ind w:right="-46"/>
            </w:pPr>
            <w:r>
              <w:tab/>
            </w:r>
            <w:r w:rsidR="00B171BA">
              <w:t>433</w:t>
            </w:r>
          </w:p>
        </w:tc>
        <w:tc>
          <w:tcPr>
            <w:tcW w:w="450" w:type="dxa"/>
          </w:tcPr>
          <w:p w14:paraId="751F0A74" w14:textId="77777777" w:rsidR="00216725" w:rsidRPr="000D3DC5" w:rsidRDefault="00216725" w:rsidP="00D46156">
            <w:pPr>
              <w:tabs>
                <w:tab w:val="right" w:pos="9180"/>
              </w:tabs>
              <w:ind w:right="-360"/>
            </w:pPr>
          </w:p>
        </w:tc>
        <w:tc>
          <w:tcPr>
            <w:tcW w:w="1440" w:type="dxa"/>
            <w:tcBorders>
              <w:top w:val="single" w:sz="4" w:space="0" w:color="auto"/>
            </w:tcBorders>
          </w:tcPr>
          <w:p w14:paraId="42E1082A" w14:textId="0C8DD2B2" w:rsidR="00216725" w:rsidRPr="000D3DC5" w:rsidRDefault="00216725" w:rsidP="00D46156">
            <w:pPr>
              <w:tabs>
                <w:tab w:val="decimal" w:pos="1042"/>
                <w:tab w:val="right" w:pos="9180"/>
              </w:tabs>
              <w:ind w:right="-18"/>
            </w:pPr>
            <w:r>
              <w:tab/>
            </w:r>
            <w:r w:rsidR="00B171BA">
              <w:t>1,390</w:t>
            </w:r>
          </w:p>
        </w:tc>
        <w:tc>
          <w:tcPr>
            <w:tcW w:w="270" w:type="dxa"/>
          </w:tcPr>
          <w:p w14:paraId="4E030F32" w14:textId="77777777" w:rsidR="00216725" w:rsidRPr="000D3DC5" w:rsidRDefault="00216725" w:rsidP="00D46156">
            <w:pPr>
              <w:tabs>
                <w:tab w:val="right" w:pos="9180"/>
              </w:tabs>
              <w:ind w:right="-360"/>
            </w:pPr>
          </w:p>
        </w:tc>
        <w:tc>
          <w:tcPr>
            <w:tcW w:w="1530" w:type="dxa"/>
            <w:tcBorders>
              <w:top w:val="single" w:sz="4" w:space="0" w:color="auto"/>
            </w:tcBorders>
          </w:tcPr>
          <w:p w14:paraId="666AC621" w14:textId="0775282D" w:rsidR="00216725" w:rsidRPr="000D3DC5" w:rsidRDefault="00216725" w:rsidP="00D46156">
            <w:pPr>
              <w:tabs>
                <w:tab w:val="decimal" w:pos="1140"/>
                <w:tab w:val="right" w:pos="9180"/>
              </w:tabs>
              <w:ind w:right="-18"/>
            </w:pPr>
            <w:r>
              <w:tab/>
            </w:r>
            <w:r w:rsidR="00B171BA">
              <w:t>2,634</w:t>
            </w:r>
          </w:p>
        </w:tc>
      </w:tr>
      <w:tr w:rsidR="00216725" w:rsidRPr="000D3DC5" w14:paraId="268A2EFF" w14:textId="77777777" w:rsidTr="00D46156">
        <w:tc>
          <w:tcPr>
            <w:tcW w:w="378" w:type="dxa"/>
          </w:tcPr>
          <w:p w14:paraId="126BCAC5" w14:textId="77777777" w:rsidR="00216725" w:rsidRPr="000D3DC5" w:rsidRDefault="00216725" w:rsidP="00D46156">
            <w:pPr>
              <w:ind w:right="-360"/>
            </w:pPr>
          </w:p>
        </w:tc>
        <w:tc>
          <w:tcPr>
            <w:tcW w:w="450" w:type="dxa"/>
          </w:tcPr>
          <w:p w14:paraId="4C4E9D70" w14:textId="77777777" w:rsidR="00216725" w:rsidRPr="000D3DC5" w:rsidRDefault="00216725" w:rsidP="00D46156">
            <w:pPr>
              <w:ind w:right="-360"/>
            </w:pPr>
          </w:p>
        </w:tc>
        <w:tc>
          <w:tcPr>
            <w:tcW w:w="450" w:type="dxa"/>
          </w:tcPr>
          <w:p w14:paraId="7EFAC287" w14:textId="77777777" w:rsidR="00216725" w:rsidRPr="000D3DC5" w:rsidRDefault="00216725" w:rsidP="00D46156">
            <w:pPr>
              <w:ind w:right="-360"/>
            </w:pPr>
          </w:p>
        </w:tc>
        <w:tc>
          <w:tcPr>
            <w:tcW w:w="2160" w:type="dxa"/>
          </w:tcPr>
          <w:p w14:paraId="7505A402" w14:textId="77777777" w:rsidR="00216725" w:rsidRPr="000D3DC5" w:rsidRDefault="00216725" w:rsidP="00D46156">
            <w:pPr>
              <w:tabs>
                <w:tab w:val="right" w:pos="9180"/>
              </w:tabs>
              <w:ind w:right="-360"/>
            </w:pPr>
          </w:p>
        </w:tc>
        <w:tc>
          <w:tcPr>
            <w:tcW w:w="1530" w:type="dxa"/>
            <w:tcBorders>
              <w:top w:val="single" w:sz="4" w:space="0" w:color="auto"/>
            </w:tcBorders>
          </w:tcPr>
          <w:p w14:paraId="7471E160" w14:textId="77777777" w:rsidR="00216725" w:rsidRPr="000D3DC5" w:rsidRDefault="00216725" w:rsidP="00D46156">
            <w:pPr>
              <w:tabs>
                <w:tab w:val="right" w:pos="9180"/>
              </w:tabs>
              <w:ind w:right="-18"/>
            </w:pPr>
          </w:p>
        </w:tc>
        <w:tc>
          <w:tcPr>
            <w:tcW w:w="270" w:type="dxa"/>
          </w:tcPr>
          <w:p w14:paraId="4FE01B6E" w14:textId="77777777" w:rsidR="00216725" w:rsidRPr="000D3DC5" w:rsidRDefault="00216725" w:rsidP="00D46156">
            <w:pPr>
              <w:tabs>
                <w:tab w:val="right" w:pos="9180"/>
              </w:tabs>
              <w:ind w:right="-360"/>
            </w:pPr>
          </w:p>
        </w:tc>
        <w:tc>
          <w:tcPr>
            <w:tcW w:w="1440" w:type="dxa"/>
            <w:tcBorders>
              <w:top w:val="single" w:sz="4" w:space="0" w:color="auto"/>
            </w:tcBorders>
          </w:tcPr>
          <w:p w14:paraId="63893907" w14:textId="77777777" w:rsidR="00216725" w:rsidRPr="000D3DC5" w:rsidRDefault="00216725" w:rsidP="00D46156">
            <w:pPr>
              <w:tabs>
                <w:tab w:val="right" w:pos="9180"/>
              </w:tabs>
              <w:ind w:right="-46"/>
            </w:pPr>
          </w:p>
        </w:tc>
        <w:tc>
          <w:tcPr>
            <w:tcW w:w="450" w:type="dxa"/>
          </w:tcPr>
          <w:p w14:paraId="225DBB3B" w14:textId="77777777" w:rsidR="00216725" w:rsidRPr="000D3DC5" w:rsidRDefault="00216725" w:rsidP="00D46156">
            <w:pPr>
              <w:tabs>
                <w:tab w:val="right" w:pos="9180"/>
              </w:tabs>
              <w:ind w:right="-360"/>
            </w:pPr>
          </w:p>
        </w:tc>
        <w:tc>
          <w:tcPr>
            <w:tcW w:w="1440" w:type="dxa"/>
            <w:tcBorders>
              <w:top w:val="single" w:sz="4" w:space="0" w:color="auto"/>
            </w:tcBorders>
          </w:tcPr>
          <w:p w14:paraId="00E47950" w14:textId="77777777" w:rsidR="00216725" w:rsidRPr="000D3DC5" w:rsidRDefault="00216725" w:rsidP="00D46156">
            <w:pPr>
              <w:tabs>
                <w:tab w:val="right" w:pos="9180"/>
              </w:tabs>
              <w:ind w:right="-18"/>
            </w:pPr>
          </w:p>
        </w:tc>
        <w:tc>
          <w:tcPr>
            <w:tcW w:w="270" w:type="dxa"/>
          </w:tcPr>
          <w:p w14:paraId="580EB25A" w14:textId="77777777" w:rsidR="00216725" w:rsidRPr="000D3DC5" w:rsidRDefault="00216725" w:rsidP="00D46156">
            <w:pPr>
              <w:tabs>
                <w:tab w:val="right" w:pos="9180"/>
              </w:tabs>
              <w:ind w:right="-360"/>
            </w:pPr>
          </w:p>
        </w:tc>
        <w:tc>
          <w:tcPr>
            <w:tcW w:w="1530" w:type="dxa"/>
            <w:tcBorders>
              <w:top w:val="single" w:sz="4" w:space="0" w:color="auto"/>
            </w:tcBorders>
          </w:tcPr>
          <w:p w14:paraId="46DCFAB1" w14:textId="77777777" w:rsidR="00216725" w:rsidRPr="000D3DC5" w:rsidRDefault="00216725" w:rsidP="00D46156">
            <w:pPr>
              <w:tabs>
                <w:tab w:val="right" w:pos="9180"/>
              </w:tabs>
              <w:ind w:right="-18"/>
            </w:pPr>
          </w:p>
        </w:tc>
      </w:tr>
      <w:tr w:rsidR="00216725" w:rsidRPr="000D3DC5" w14:paraId="71DAA449" w14:textId="77777777" w:rsidTr="00D46156">
        <w:tc>
          <w:tcPr>
            <w:tcW w:w="3438" w:type="dxa"/>
            <w:gridSpan w:val="4"/>
          </w:tcPr>
          <w:p w14:paraId="1E39A62F" w14:textId="77777777" w:rsidR="00216725" w:rsidRPr="000D3DC5" w:rsidRDefault="00216725" w:rsidP="00D46156">
            <w:pPr>
              <w:tabs>
                <w:tab w:val="right" w:pos="9180"/>
              </w:tabs>
              <w:ind w:right="-360"/>
            </w:pPr>
            <w:r>
              <w:t>Net loss</w:t>
            </w:r>
          </w:p>
        </w:tc>
        <w:tc>
          <w:tcPr>
            <w:tcW w:w="1530" w:type="dxa"/>
            <w:tcBorders>
              <w:bottom w:val="double" w:sz="4" w:space="0" w:color="auto"/>
            </w:tcBorders>
          </w:tcPr>
          <w:p w14:paraId="24A91FBC" w14:textId="42807D1F" w:rsidR="00216725" w:rsidRPr="000D3DC5" w:rsidRDefault="00216725" w:rsidP="00D46156">
            <w:pPr>
              <w:tabs>
                <w:tab w:val="decimal" w:pos="1152"/>
                <w:tab w:val="right" w:pos="9180"/>
              </w:tabs>
              <w:ind w:right="-18"/>
            </w:pPr>
            <w:r w:rsidRPr="000D3DC5">
              <w:t>$</w:t>
            </w:r>
            <w:r w:rsidRPr="000D3DC5">
              <w:tab/>
            </w:r>
            <w:r w:rsidR="00176E63">
              <w:t>(</w:t>
            </w:r>
            <w:r w:rsidR="00B171BA">
              <w:t>424,434</w:t>
            </w:r>
            <w:r w:rsidR="00176E63">
              <w:t>)</w:t>
            </w:r>
          </w:p>
        </w:tc>
        <w:tc>
          <w:tcPr>
            <w:tcW w:w="270" w:type="dxa"/>
          </w:tcPr>
          <w:p w14:paraId="07332DCA" w14:textId="77777777" w:rsidR="00216725" w:rsidRPr="000D3DC5" w:rsidRDefault="00216725" w:rsidP="00D46156">
            <w:pPr>
              <w:tabs>
                <w:tab w:val="right" w:pos="9180"/>
              </w:tabs>
              <w:ind w:right="-360"/>
            </w:pPr>
          </w:p>
        </w:tc>
        <w:tc>
          <w:tcPr>
            <w:tcW w:w="1440" w:type="dxa"/>
            <w:tcBorders>
              <w:bottom w:val="double" w:sz="4" w:space="0" w:color="auto"/>
            </w:tcBorders>
          </w:tcPr>
          <w:p w14:paraId="51706497" w14:textId="737461AB" w:rsidR="00216725" w:rsidRPr="000D3DC5" w:rsidRDefault="00216725" w:rsidP="00D46156">
            <w:pPr>
              <w:tabs>
                <w:tab w:val="decimal" w:pos="1062"/>
                <w:tab w:val="right" w:pos="9180"/>
              </w:tabs>
              <w:ind w:right="-46"/>
            </w:pPr>
            <w:r>
              <w:t>$</w:t>
            </w:r>
            <w:r>
              <w:tab/>
              <w:t>(</w:t>
            </w:r>
            <w:r w:rsidR="00B171BA">
              <w:t>666,893</w:t>
            </w:r>
            <w:r>
              <w:t>)</w:t>
            </w:r>
          </w:p>
        </w:tc>
        <w:tc>
          <w:tcPr>
            <w:tcW w:w="450" w:type="dxa"/>
          </w:tcPr>
          <w:p w14:paraId="5FCFD643" w14:textId="77777777" w:rsidR="00216725" w:rsidRPr="000D3DC5" w:rsidRDefault="00216725" w:rsidP="00D46156">
            <w:pPr>
              <w:tabs>
                <w:tab w:val="right" w:pos="9180"/>
              </w:tabs>
              <w:ind w:right="-360"/>
            </w:pPr>
          </w:p>
        </w:tc>
        <w:tc>
          <w:tcPr>
            <w:tcW w:w="1440" w:type="dxa"/>
            <w:tcBorders>
              <w:bottom w:val="double" w:sz="4" w:space="0" w:color="auto"/>
            </w:tcBorders>
          </w:tcPr>
          <w:p w14:paraId="435BA746" w14:textId="57D2E66E" w:rsidR="00216725" w:rsidRPr="000D3DC5" w:rsidRDefault="00216725" w:rsidP="00D46156">
            <w:pPr>
              <w:tabs>
                <w:tab w:val="decimal" w:pos="1044"/>
                <w:tab w:val="right" w:pos="9180"/>
              </w:tabs>
              <w:ind w:right="-18"/>
            </w:pPr>
            <w:r w:rsidRPr="000D3DC5">
              <w:t>$</w:t>
            </w:r>
            <w:r w:rsidRPr="000D3DC5">
              <w:tab/>
            </w:r>
            <w:r w:rsidR="00176E63">
              <w:t>(</w:t>
            </w:r>
            <w:r w:rsidR="00B171BA">
              <w:t>1,780,036</w:t>
            </w:r>
            <w:r w:rsidR="00176E63">
              <w:t>)</w:t>
            </w:r>
          </w:p>
        </w:tc>
        <w:tc>
          <w:tcPr>
            <w:tcW w:w="270" w:type="dxa"/>
          </w:tcPr>
          <w:p w14:paraId="2E2D0797" w14:textId="77777777" w:rsidR="00216725" w:rsidRPr="000D3DC5" w:rsidRDefault="00216725" w:rsidP="00D46156">
            <w:pPr>
              <w:tabs>
                <w:tab w:val="right" w:pos="9180"/>
              </w:tabs>
              <w:ind w:right="-360"/>
            </w:pPr>
          </w:p>
        </w:tc>
        <w:tc>
          <w:tcPr>
            <w:tcW w:w="1530" w:type="dxa"/>
            <w:tcBorders>
              <w:bottom w:val="double" w:sz="4" w:space="0" w:color="auto"/>
            </w:tcBorders>
          </w:tcPr>
          <w:p w14:paraId="1088F98F" w14:textId="63248891" w:rsidR="00216725" w:rsidRPr="000D3DC5" w:rsidRDefault="00216725" w:rsidP="00D46156">
            <w:pPr>
              <w:tabs>
                <w:tab w:val="decimal" w:pos="1152"/>
                <w:tab w:val="right" w:pos="9180"/>
              </w:tabs>
              <w:ind w:right="-18"/>
            </w:pPr>
            <w:r>
              <w:t>$</w:t>
            </w:r>
            <w:r>
              <w:tab/>
              <w:t>(</w:t>
            </w:r>
            <w:r w:rsidR="00B171BA">
              <w:t>1,925,749</w:t>
            </w:r>
            <w:r>
              <w:t>)</w:t>
            </w:r>
          </w:p>
        </w:tc>
      </w:tr>
      <w:tr w:rsidR="00216725" w:rsidRPr="000D3DC5" w14:paraId="0E303AA6" w14:textId="77777777" w:rsidTr="00D46156">
        <w:tc>
          <w:tcPr>
            <w:tcW w:w="378" w:type="dxa"/>
          </w:tcPr>
          <w:p w14:paraId="6BDD6D58" w14:textId="77777777" w:rsidR="00216725" w:rsidRPr="000D3DC5" w:rsidRDefault="00216725" w:rsidP="00D46156">
            <w:pPr>
              <w:ind w:right="-360"/>
            </w:pPr>
          </w:p>
        </w:tc>
        <w:tc>
          <w:tcPr>
            <w:tcW w:w="450" w:type="dxa"/>
          </w:tcPr>
          <w:p w14:paraId="28B8A74E" w14:textId="77777777" w:rsidR="00216725" w:rsidRPr="000D3DC5" w:rsidRDefault="00216725" w:rsidP="00D46156">
            <w:pPr>
              <w:ind w:right="-360"/>
            </w:pPr>
          </w:p>
        </w:tc>
        <w:tc>
          <w:tcPr>
            <w:tcW w:w="450" w:type="dxa"/>
          </w:tcPr>
          <w:p w14:paraId="4EF72930" w14:textId="77777777" w:rsidR="00216725" w:rsidRPr="000D3DC5" w:rsidRDefault="00216725" w:rsidP="00D46156">
            <w:pPr>
              <w:ind w:right="-360"/>
            </w:pPr>
          </w:p>
        </w:tc>
        <w:tc>
          <w:tcPr>
            <w:tcW w:w="2160" w:type="dxa"/>
          </w:tcPr>
          <w:p w14:paraId="7AF3E5B5" w14:textId="77777777" w:rsidR="00216725" w:rsidRPr="000D3DC5" w:rsidRDefault="00216725" w:rsidP="00D46156">
            <w:pPr>
              <w:tabs>
                <w:tab w:val="right" w:pos="9180"/>
              </w:tabs>
              <w:ind w:right="-360"/>
            </w:pPr>
          </w:p>
        </w:tc>
        <w:tc>
          <w:tcPr>
            <w:tcW w:w="1530" w:type="dxa"/>
          </w:tcPr>
          <w:p w14:paraId="79C057B2" w14:textId="77777777" w:rsidR="00216725" w:rsidRPr="000D3DC5" w:rsidRDefault="00216725" w:rsidP="00D46156">
            <w:pPr>
              <w:tabs>
                <w:tab w:val="right" w:pos="9180"/>
              </w:tabs>
              <w:ind w:right="-18"/>
            </w:pPr>
          </w:p>
        </w:tc>
        <w:tc>
          <w:tcPr>
            <w:tcW w:w="270" w:type="dxa"/>
          </w:tcPr>
          <w:p w14:paraId="62F14D1C" w14:textId="77777777" w:rsidR="00216725" w:rsidRPr="000D3DC5" w:rsidRDefault="00216725" w:rsidP="00D46156">
            <w:pPr>
              <w:tabs>
                <w:tab w:val="right" w:pos="9180"/>
              </w:tabs>
              <w:ind w:right="-360"/>
            </w:pPr>
          </w:p>
        </w:tc>
        <w:tc>
          <w:tcPr>
            <w:tcW w:w="1440" w:type="dxa"/>
          </w:tcPr>
          <w:p w14:paraId="5E281857" w14:textId="77777777" w:rsidR="00216725" w:rsidRPr="000D3DC5" w:rsidRDefault="00216725" w:rsidP="00D46156">
            <w:pPr>
              <w:tabs>
                <w:tab w:val="right" w:pos="9180"/>
              </w:tabs>
              <w:ind w:right="-46"/>
            </w:pPr>
          </w:p>
        </w:tc>
        <w:tc>
          <w:tcPr>
            <w:tcW w:w="450" w:type="dxa"/>
          </w:tcPr>
          <w:p w14:paraId="433AB465" w14:textId="77777777" w:rsidR="00216725" w:rsidRPr="000D3DC5" w:rsidRDefault="00216725" w:rsidP="00D46156">
            <w:pPr>
              <w:tabs>
                <w:tab w:val="right" w:pos="9180"/>
              </w:tabs>
              <w:ind w:right="-360"/>
            </w:pPr>
          </w:p>
        </w:tc>
        <w:tc>
          <w:tcPr>
            <w:tcW w:w="1440" w:type="dxa"/>
          </w:tcPr>
          <w:p w14:paraId="3E276B05" w14:textId="77777777" w:rsidR="00216725" w:rsidRPr="000D3DC5" w:rsidRDefault="00216725" w:rsidP="00D46156">
            <w:pPr>
              <w:tabs>
                <w:tab w:val="right" w:pos="9180"/>
              </w:tabs>
              <w:ind w:right="-18"/>
            </w:pPr>
          </w:p>
        </w:tc>
        <w:tc>
          <w:tcPr>
            <w:tcW w:w="270" w:type="dxa"/>
          </w:tcPr>
          <w:p w14:paraId="094180FA" w14:textId="77777777" w:rsidR="00216725" w:rsidRPr="000D3DC5" w:rsidRDefault="00216725" w:rsidP="00D46156">
            <w:pPr>
              <w:tabs>
                <w:tab w:val="right" w:pos="9180"/>
              </w:tabs>
              <w:ind w:right="-360"/>
            </w:pPr>
          </w:p>
        </w:tc>
        <w:tc>
          <w:tcPr>
            <w:tcW w:w="1530" w:type="dxa"/>
          </w:tcPr>
          <w:p w14:paraId="30FDA859" w14:textId="77777777" w:rsidR="00216725" w:rsidRPr="000D3DC5" w:rsidRDefault="00216725" w:rsidP="00D46156">
            <w:pPr>
              <w:tabs>
                <w:tab w:val="right" w:pos="9180"/>
              </w:tabs>
              <w:ind w:right="-18"/>
            </w:pPr>
          </w:p>
        </w:tc>
      </w:tr>
      <w:tr w:rsidR="00216725" w:rsidRPr="000D3DC5" w14:paraId="2966BE29" w14:textId="77777777" w:rsidTr="00D46156">
        <w:tc>
          <w:tcPr>
            <w:tcW w:w="3438" w:type="dxa"/>
            <w:gridSpan w:val="4"/>
          </w:tcPr>
          <w:p w14:paraId="6B469D63" w14:textId="77777777" w:rsidR="00216725" w:rsidRPr="000D3DC5" w:rsidRDefault="00216725" w:rsidP="00D46156">
            <w:pPr>
              <w:tabs>
                <w:tab w:val="right" w:pos="9180"/>
              </w:tabs>
              <w:ind w:right="-360"/>
            </w:pPr>
            <w:r w:rsidRPr="000D3DC5">
              <w:t>Basic and diluted:</w:t>
            </w:r>
          </w:p>
        </w:tc>
        <w:tc>
          <w:tcPr>
            <w:tcW w:w="1530" w:type="dxa"/>
          </w:tcPr>
          <w:p w14:paraId="0F10C9D1" w14:textId="77777777" w:rsidR="00216725" w:rsidRPr="000D3DC5" w:rsidRDefault="00216725" w:rsidP="00D46156">
            <w:pPr>
              <w:tabs>
                <w:tab w:val="decimal" w:pos="792"/>
                <w:tab w:val="right" w:pos="9180"/>
              </w:tabs>
              <w:ind w:right="-18"/>
            </w:pPr>
          </w:p>
        </w:tc>
        <w:tc>
          <w:tcPr>
            <w:tcW w:w="270" w:type="dxa"/>
          </w:tcPr>
          <w:p w14:paraId="121B0B4E" w14:textId="77777777" w:rsidR="00216725" w:rsidRPr="000D3DC5" w:rsidRDefault="00216725" w:rsidP="00D46156">
            <w:pPr>
              <w:tabs>
                <w:tab w:val="right" w:pos="9180"/>
              </w:tabs>
              <w:ind w:right="-360"/>
            </w:pPr>
          </w:p>
        </w:tc>
        <w:tc>
          <w:tcPr>
            <w:tcW w:w="1440" w:type="dxa"/>
          </w:tcPr>
          <w:p w14:paraId="328D618A" w14:textId="77777777" w:rsidR="00216725" w:rsidRPr="00F31ABA" w:rsidRDefault="00216725" w:rsidP="00D46156">
            <w:pPr>
              <w:tabs>
                <w:tab w:val="decimal" w:pos="612"/>
                <w:tab w:val="right" w:pos="9180"/>
              </w:tabs>
              <w:ind w:right="-46"/>
            </w:pPr>
          </w:p>
        </w:tc>
        <w:tc>
          <w:tcPr>
            <w:tcW w:w="450" w:type="dxa"/>
          </w:tcPr>
          <w:p w14:paraId="74E3B96E" w14:textId="77777777" w:rsidR="00216725" w:rsidRPr="00F31ABA" w:rsidRDefault="00216725" w:rsidP="00D46156">
            <w:pPr>
              <w:tabs>
                <w:tab w:val="right" w:pos="9180"/>
              </w:tabs>
              <w:ind w:right="-360"/>
            </w:pPr>
          </w:p>
        </w:tc>
        <w:tc>
          <w:tcPr>
            <w:tcW w:w="1440" w:type="dxa"/>
          </w:tcPr>
          <w:p w14:paraId="5F4DAA0B" w14:textId="77777777" w:rsidR="00216725" w:rsidRPr="00F31ABA" w:rsidRDefault="00216725" w:rsidP="00D46156">
            <w:pPr>
              <w:tabs>
                <w:tab w:val="decimal" w:pos="792"/>
                <w:tab w:val="right" w:pos="9180"/>
              </w:tabs>
              <w:ind w:right="-18"/>
            </w:pPr>
          </w:p>
        </w:tc>
        <w:tc>
          <w:tcPr>
            <w:tcW w:w="270" w:type="dxa"/>
          </w:tcPr>
          <w:p w14:paraId="41815637" w14:textId="77777777" w:rsidR="00216725" w:rsidRPr="00F31ABA" w:rsidRDefault="00216725" w:rsidP="00D46156">
            <w:pPr>
              <w:tabs>
                <w:tab w:val="right" w:pos="9180"/>
              </w:tabs>
              <w:ind w:right="-360"/>
            </w:pPr>
          </w:p>
        </w:tc>
        <w:tc>
          <w:tcPr>
            <w:tcW w:w="1530" w:type="dxa"/>
          </w:tcPr>
          <w:p w14:paraId="19D55D3D" w14:textId="77777777" w:rsidR="00216725" w:rsidRPr="00F31ABA" w:rsidRDefault="00216725" w:rsidP="00D46156">
            <w:pPr>
              <w:tabs>
                <w:tab w:val="decimal" w:pos="702"/>
                <w:tab w:val="right" w:pos="9180"/>
              </w:tabs>
              <w:ind w:right="-18"/>
            </w:pPr>
          </w:p>
        </w:tc>
      </w:tr>
      <w:tr w:rsidR="00216725" w:rsidRPr="000D3DC5" w14:paraId="37C616F2" w14:textId="77777777" w:rsidTr="00D46156">
        <w:tc>
          <w:tcPr>
            <w:tcW w:w="3438" w:type="dxa"/>
            <w:gridSpan w:val="4"/>
          </w:tcPr>
          <w:p w14:paraId="6599EBEE" w14:textId="77777777" w:rsidR="00216725" w:rsidRPr="00342196" w:rsidRDefault="00216725" w:rsidP="00D46156">
            <w:pPr>
              <w:tabs>
                <w:tab w:val="right" w:pos="9180"/>
              </w:tabs>
              <w:ind w:right="-360"/>
            </w:pPr>
            <w:r>
              <w:t xml:space="preserve">  </w:t>
            </w:r>
            <w:r w:rsidRPr="00342196">
              <w:t>Loss per common share</w:t>
            </w:r>
          </w:p>
        </w:tc>
        <w:tc>
          <w:tcPr>
            <w:tcW w:w="1530" w:type="dxa"/>
          </w:tcPr>
          <w:p w14:paraId="5CFCFCC6" w14:textId="5DD974FD" w:rsidR="00216725" w:rsidRPr="00342196" w:rsidRDefault="00216725" w:rsidP="00D46156">
            <w:pPr>
              <w:tabs>
                <w:tab w:val="decimal" w:pos="882"/>
                <w:tab w:val="right" w:pos="9180"/>
              </w:tabs>
              <w:ind w:right="-18"/>
            </w:pPr>
            <w:r w:rsidRPr="00342196">
              <w:t>$</w:t>
            </w:r>
            <w:r w:rsidRPr="00342196">
              <w:tab/>
            </w:r>
            <w:r w:rsidR="00176E63">
              <w:t>(</w:t>
            </w:r>
            <w:r w:rsidR="00B171BA">
              <w:t>0.03</w:t>
            </w:r>
            <w:r w:rsidR="00176E63">
              <w:t>)</w:t>
            </w:r>
          </w:p>
        </w:tc>
        <w:tc>
          <w:tcPr>
            <w:tcW w:w="270" w:type="dxa"/>
          </w:tcPr>
          <w:p w14:paraId="707A26AC" w14:textId="77777777" w:rsidR="00216725" w:rsidRPr="00342196" w:rsidRDefault="00216725" w:rsidP="00D46156">
            <w:pPr>
              <w:tabs>
                <w:tab w:val="right" w:pos="9180"/>
              </w:tabs>
              <w:ind w:right="-360"/>
            </w:pPr>
          </w:p>
        </w:tc>
        <w:tc>
          <w:tcPr>
            <w:tcW w:w="1440" w:type="dxa"/>
          </w:tcPr>
          <w:p w14:paraId="192A8029" w14:textId="4D7D8560" w:rsidR="00216725" w:rsidRPr="00F31ABA" w:rsidRDefault="00216725" w:rsidP="00D46156">
            <w:pPr>
              <w:tabs>
                <w:tab w:val="decimal" w:pos="792"/>
                <w:tab w:val="right" w:pos="9180"/>
              </w:tabs>
              <w:ind w:right="-46"/>
            </w:pPr>
            <w:r w:rsidRPr="00F31ABA">
              <w:t>$</w:t>
            </w:r>
            <w:r w:rsidRPr="00F31ABA">
              <w:tab/>
              <w:t>(</w:t>
            </w:r>
            <w:r w:rsidR="00A05EF9">
              <w:t>1.99</w:t>
            </w:r>
            <w:r w:rsidRPr="00F31ABA">
              <w:t>)</w:t>
            </w:r>
          </w:p>
        </w:tc>
        <w:tc>
          <w:tcPr>
            <w:tcW w:w="450" w:type="dxa"/>
          </w:tcPr>
          <w:p w14:paraId="0E83591F" w14:textId="77777777" w:rsidR="00216725" w:rsidRPr="00F31ABA" w:rsidRDefault="00216725" w:rsidP="00D46156">
            <w:pPr>
              <w:tabs>
                <w:tab w:val="right" w:pos="9180"/>
              </w:tabs>
              <w:ind w:right="-360"/>
            </w:pPr>
          </w:p>
        </w:tc>
        <w:tc>
          <w:tcPr>
            <w:tcW w:w="1440" w:type="dxa"/>
          </w:tcPr>
          <w:p w14:paraId="5FFEC4E4" w14:textId="726E40FE" w:rsidR="00216725" w:rsidRPr="00F31ABA" w:rsidRDefault="00216725" w:rsidP="00D46156">
            <w:pPr>
              <w:tabs>
                <w:tab w:val="decimal" w:pos="792"/>
                <w:tab w:val="right" w:pos="9180"/>
              </w:tabs>
              <w:ind w:right="-18"/>
            </w:pPr>
            <w:r w:rsidRPr="00F31ABA">
              <w:t>$</w:t>
            </w:r>
            <w:r w:rsidRPr="00F31ABA">
              <w:tab/>
            </w:r>
            <w:r w:rsidR="00176E63">
              <w:t>(</w:t>
            </w:r>
            <w:r w:rsidR="00B171BA">
              <w:t>0.37</w:t>
            </w:r>
            <w:r w:rsidR="00176E63">
              <w:t>)</w:t>
            </w:r>
          </w:p>
        </w:tc>
        <w:tc>
          <w:tcPr>
            <w:tcW w:w="270" w:type="dxa"/>
          </w:tcPr>
          <w:p w14:paraId="4BD4355F" w14:textId="77777777" w:rsidR="00216725" w:rsidRPr="00F31ABA" w:rsidRDefault="00216725" w:rsidP="00D46156">
            <w:pPr>
              <w:tabs>
                <w:tab w:val="right" w:pos="9180"/>
              </w:tabs>
              <w:ind w:right="-360"/>
            </w:pPr>
          </w:p>
        </w:tc>
        <w:tc>
          <w:tcPr>
            <w:tcW w:w="1530" w:type="dxa"/>
          </w:tcPr>
          <w:p w14:paraId="27104F7C" w14:textId="124B6F3D" w:rsidR="00216725" w:rsidRPr="00F31ABA" w:rsidRDefault="00216725" w:rsidP="00D46156">
            <w:pPr>
              <w:tabs>
                <w:tab w:val="decimal" w:pos="882"/>
                <w:tab w:val="right" w:pos="9180"/>
              </w:tabs>
              <w:ind w:right="-18"/>
            </w:pPr>
            <w:r w:rsidRPr="00F31ABA">
              <w:t>$</w:t>
            </w:r>
            <w:r w:rsidRPr="00F31ABA">
              <w:tab/>
              <w:t>(</w:t>
            </w:r>
            <w:r w:rsidR="00A05EF9">
              <w:t>6.43</w:t>
            </w:r>
            <w:r w:rsidRPr="00F31ABA">
              <w:t>)</w:t>
            </w:r>
          </w:p>
        </w:tc>
      </w:tr>
      <w:tr w:rsidR="00216725" w:rsidRPr="000D3DC5" w14:paraId="04A20B1C" w14:textId="77777777" w:rsidTr="00D46156">
        <w:tc>
          <w:tcPr>
            <w:tcW w:w="3438" w:type="dxa"/>
            <w:gridSpan w:val="4"/>
          </w:tcPr>
          <w:p w14:paraId="456B2605" w14:textId="77777777" w:rsidR="00216725" w:rsidRPr="000D3DC5" w:rsidRDefault="00216725" w:rsidP="00D46156">
            <w:pPr>
              <w:tabs>
                <w:tab w:val="right" w:pos="9180"/>
              </w:tabs>
              <w:ind w:right="-360"/>
            </w:pPr>
            <w:r>
              <w:t xml:space="preserve">  Weighted averages shares outstanding</w:t>
            </w:r>
          </w:p>
        </w:tc>
        <w:tc>
          <w:tcPr>
            <w:tcW w:w="1530" w:type="dxa"/>
          </w:tcPr>
          <w:p w14:paraId="3A9E5B11" w14:textId="42AF9D36" w:rsidR="00216725" w:rsidRPr="000D3DC5" w:rsidRDefault="00216725" w:rsidP="00D46156">
            <w:pPr>
              <w:tabs>
                <w:tab w:val="decimal" w:pos="1152"/>
                <w:tab w:val="right" w:pos="9180"/>
              </w:tabs>
              <w:ind w:right="-18"/>
            </w:pPr>
            <w:r>
              <w:tab/>
            </w:r>
            <w:r w:rsidR="00B171BA">
              <w:t>13,038,871</w:t>
            </w:r>
          </w:p>
        </w:tc>
        <w:tc>
          <w:tcPr>
            <w:tcW w:w="270" w:type="dxa"/>
          </w:tcPr>
          <w:p w14:paraId="68187F6D" w14:textId="77777777" w:rsidR="00216725" w:rsidRPr="000D3DC5" w:rsidRDefault="00216725" w:rsidP="00D46156">
            <w:pPr>
              <w:tabs>
                <w:tab w:val="right" w:pos="9180"/>
              </w:tabs>
              <w:ind w:right="-360"/>
            </w:pPr>
          </w:p>
        </w:tc>
        <w:tc>
          <w:tcPr>
            <w:tcW w:w="1440" w:type="dxa"/>
          </w:tcPr>
          <w:p w14:paraId="0EDD7A27" w14:textId="05E71A14" w:rsidR="00216725" w:rsidRPr="00F31ABA" w:rsidRDefault="00216725" w:rsidP="00D46156">
            <w:pPr>
              <w:tabs>
                <w:tab w:val="decimal" w:pos="1062"/>
                <w:tab w:val="right" w:pos="9180"/>
              </w:tabs>
              <w:ind w:right="-46"/>
            </w:pPr>
            <w:r w:rsidRPr="00F31ABA">
              <w:tab/>
            </w:r>
            <w:r w:rsidR="00A05EF9">
              <w:t>334,814</w:t>
            </w:r>
          </w:p>
        </w:tc>
        <w:tc>
          <w:tcPr>
            <w:tcW w:w="450" w:type="dxa"/>
          </w:tcPr>
          <w:p w14:paraId="61A3DFD1" w14:textId="77777777" w:rsidR="00216725" w:rsidRPr="00F31ABA" w:rsidRDefault="00216725" w:rsidP="00D46156">
            <w:pPr>
              <w:tabs>
                <w:tab w:val="right" w:pos="9180"/>
              </w:tabs>
              <w:ind w:right="-360"/>
            </w:pPr>
          </w:p>
        </w:tc>
        <w:tc>
          <w:tcPr>
            <w:tcW w:w="1440" w:type="dxa"/>
          </w:tcPr>
          <w:p w14:paraId="66CE30DC" w14:textId="55D9A3B7" w:rsidR="00216725" w:rsidRPr="00F31ABA" w:rsidRDefault="00216725" w:rsidP="00D46156">
            <w:pPr>
              <w:tabs>
                <w:tab w:val="decimal" w:pos="1062"/>
                <w:tab w:val="right" w:pos="9180"/>
              </w:tabs>
              <w:ind w:right="-18"/>
            </w:pPr>
            <w:r w:rsidRPr="00F31ABA">
              <w:tab/>
            </w:r>
            <w:r w:rsidR="00B171BA">
              <w:t>4,772,648</w:t>
            </w:r>
          </w:p>
        </w:tc>
        <w:tc>
          <w:tcPr>
            <w:tcW w:w="270" w:type="dxa"/>
          </w:tcPr>
          <w:p w14:paraId="0F356342" w14:textId="77777777" w:rsidR="00216725" w:rsidRPr="00F31ABA" w:rsidRDefault="00216725" w:rsidP="00D46156">
            <w:pPr>
              <w:tabs>
                <w:tab w:val="right" w:pos="9180"/>
              </w:tabs>
              <w:ind w:right="-360"/>
            </w:pPr>
          </w:p>
        </w:tc>
        <w:tc>
          <w:tcPr>
            <w:tcW w:w="1530" w:type="dxa"/>
          </w:tcPr>
          <w:p w14:paraId="0E2D8DB5" w14:textId="47569AF2" w:rsidR="00216725" w:rsidRPr="00F31ABA" w:rsidRDefault="00216725" w:rsidP="00D46156">
            <w:pPr>
              <w:tabs>
                <w:tab w:val="decimal" w:pos="1152"/>
                <w:tab w:val="right" w:pos="9180"/>
              </w:tabs>
              <w:ind w:right="-18"/>
            </w:pPr>
            <w:r w:rsidRPr="00F31ABA">
              <w:tab/>
            </w:r>
            <w:r w:rsidR="00A05EF9">
              <w:t>299,522</w:t>
            </w:r>
          </w:p>
        </w:tc>
      </w:tr>
      <w:tr w:rsidR="00216725" w:rsidRPr="008F36CA" w14:paraId="30E1317F" w14:textId="77777777" w:rsidTr="00D46156">
        <w:tc>
          <w:tcPr>
            <w:tcW w:w="378" w:type="dxa"/>
          </w:tcPr>
          <w:p w14:paraId="5790E70B" w14:textId="77777777" w:rsidR="00216725" w:rsidRPr="008F36CA" w:rsidRDefault="00216725" w:rsidP="00D46156">
            <w:pPr>
              <w:ind w:right="-360"/>
            </w:pPr>
          </w:p>
        </w:tc>
        <w:tc>
          <w:tcPr>
            <w:tcW w:w="450" w:type="dxa"/>
          </w:tcPr>
          <w:p w14:paraId="6CFC81D6" w14:textId="77777777" w:rsidR="00216725" w:rsidRPr="008F36CA" w:rsidRDefault="00216725" w:rsidP="00D46156">
            <w:pPr>
              <w:ind w:right="-360"/>
            </w:pPr>
          </w:p>
        </w:tc>
        <w:tc>
          <w:tcPr>
            <w:tcW w:w="450" w:type="dxa"/>
          </w:tcPr>
          <w:p w14:paraId="2E0DDDB6" w14:textId="77777777" w:rsidR="00216725" w:rsidRPr="008F36CA" w:rsidRDefault="00216725" w:rsidP="00D46156">
            <w:pPr>
              <w:ind w:right="-360"/>
            </w:pPr>
          </w:p>
        </w:tc>
        <w:tc>
          <w:tcPr>
            <w:tcW w:w="2160" w:type="dxa"/>
          </w:tcPr>
          <w:p w14:paraId="64FF6967" w14:textId="77777777" w:rsidR="00216725" w:rsidRPr="008F36CA" w:rsidRDefault="00216725" w:rsidP="00D46156">
            <w:pPr>
              <w:tabs>
                <w:tab w:val="right" w:pos="9180"/>
              </w:tabs>
              <w:ind w:right="-360"/>
            </w:pPr>
          </w:p>
        </w:tc>
        <w:tc>
          <w:tcPr>
            <w:tcW w:w="1530" w:type="dxa"/>
          </w:tcPr>
          <w:p w14:paraId="357B8FE7" w14:textId="77777777" w:rsidR="00216725" w:rsidRPr="008F36CA" w:rsidRDefault="00216725" w:rsidP="00D46156">
            <w:pPr>
              <w:tabs>
                <w:tab w:val="right" w:pos="9180"/>
              </w:tabs>
              <w:ind w:right="-18"/>
            </w:pPr>
          </w:p>
        </w:tc>
        <w:tc>
          <w:tcPr>
            <w:tcW w:w="270" w:type="dxa"/>
          </w:tcPr>
          <w:p w14:paraId="604C5194" w14:textId="77777777" w:rsidR="00216725" w:rsidRPr="008F36CA" w:rsidRDefault="00216725" w:rsidP="00D46156">
            <w:pPr>
              <w:tabs>
                <w:tab w:val="right" w:pos="9180"/>
              </w:tabs>
              <w:ind w:right="-360"/>
            </w:pPr>
          </w:p>
        </w:tc>
        <w:tc>
          <w:tcPr>
            <w:tcW w:w="1440" w:type="dxa"/>
          </w:tcPr>
          <w:p w14:paraId="6AE29199" w14:textId="77777777" w:rsidR="00216725" w:rsidRPr="00F31ABA" w:rsidRDefault="00216725" w:rsidP="00D46156">
            <w:pPr>
              <w:tabs>
                <w:tab w:val="right" w:pos="9180"/>
              </w:tabs>
              <w:ind w:right="-46"/>
            </w:pPr>
          </w:p>
        </w:tc>
        <w:tc>
          <w:tcPr>
            <w:tcW w:w="450" w:type="dxa"/>
          </w:tcPr>
          <w:p w14:paraId="10F89DEF" w14:textId="77777777" w:rsidR="00216725" w:rsidRPr="00F31ABA" w:rsidRDefault="00216725" w:rsidP="00D46156">
            <w:pPr>
              <w:tabs>
                <w:tab w:val="right" w:pos="9180"/>
              </w:tabs>
              <w:ind w:right="-360"/>
            </w:pPr>
          </w:p>
        </w:tc>
        <w:tc>
          <w:tcPr>
            <w:tcW w:w="1440" w:type="dxa"/>
          </w:tcPr>
          <w:p w14:paraId="2CCF9D56" w14:textId="77777777" w:rsidR="00216725" w:rsidRPr="00F31ABA" w:rsidRDefault="00216725" w:rsidP="00D46156">
            <w:pPr>
              <w:tabs>
                <w:tab w:val="right" w:pos="9180"/>
              </w:tabs>
              <w:ind w:right="-18"/>
            </w:pPr>
          </w:p>
        </w:tc>
        <w:tc>
          <w:tcPr>
            <w:tcW w:w="270" w:type="dxa"/>
          </w:tcPr>
          <w:p w14:paraId="33D3B8F8" w14:textId="77777777" w:rsidR="00216725" w:rsidRPr="00F31ABA" w:rsidRDefault="00216725" w:rsidP="00D46156">
            <w:pPr>
              <w:tabs>
                <w:tab w:val="right" w:pos="9180"/>
              </w:tabs>
              <w:ind w:right="-360"/>
            </w:pPr>
          </w:p>
        </w:tc>
        <w:tc>
          <w:tcPr>
            <w:tcW w:w="1530" w:type="dxa"/>
          </w:tcPr>
          <w:p w14:paraId="5C6BDBEE" w14:textId="77777777" w:rsidR="00216725" w:rsidRPr="00F31ABA" w:rsidRDefault="00216725" w:rsidP="00D46156">
            <w:pPr>
              <w:tabs>
                <w:tab w:val="right" w:pos="9180"/>
              </w:tabs>
              <w:ind w:right="-18"/>
            </w:pPr>
          </w:p>
        </w:tc>
      </w:tr>
      <w:tr w:rsidR="00216725" w:rsidRPr="000D3DC5" w14:paraId="67FB350A" w14:textId="77777777" w:rsidTr="00D46156">
        <w:tc>
          <w:tcPr>
            <w:tcW w:w="378" w:type="dxa"/>
          </w:tcPr>
          <w:p w14:paraId="4A34AE87" w14:textId="77777777" w:rsidR="00216725" w:rsidRPr="000D3DC5" w:rsidRDefault="00216725" w:rsidP="00D46156">
            <w:pPr>
              <w:ind w:right="-360"/>
            </w:pPr>
          </w:p>
        </w:tc>
        <w:tc>
          <w:tcPr>
            <w:tcW w:w="450" w:type="dxa"/>
          </w:tcPr>
          <w:p w14:paraId="62183F44" w14:textId="77777777" w:rsidR="00216725" w:rsidRPr="000D3DC5" w:rsidRDefault="00216725" w:rsidP="00D46156">
            <w:pPr>
              <w:ind w:right="-360"/>
            </w:pPr>
          </w:p>
        </w:tc>
        <w:tc>
          <w:tcPr>
            <w:tcW w:w="450" w:type="dxa"/>
          </w:tcPr>
          <w:p w14:paraId="574005D1" w14:textId="77777777" w:rsidR="00216725" w:rsidRPr="000D3DC5" w:rsidRDefault="00216725" w:rsidP="00D46156">
            <w:pPr>
              <w:ind w:right="-360"/>
            </w:pPr>
          </w:p>
        </w:tc>
        <w:tc>
          <w:tcPr>
            <w:tcW w:w="2160" w:type="dxa"/>
          </w:tcPr>
          <w:p w14:paraId="4E2C1544" w14:textId="77777777" w:rsidR="00216725" w:rsidRPr="000D3DC5" w:rsidRDefault="00216725" w:rsidP="00D46156">
            <w:pPr>
              <w:tabs>
                <w:tab w:val="right" w:pos="9180"/>
              </w:tabs>
              <w:ind w:right="-360"/>
            </w:pPr>
          </w:p>
        </w:tc>
        <w:tc>
          <w:tcPr>
            <w:tcW w:w="1530" w:type="dxa"/>
          </w:tcPr>
          <w:p w14:paraId="0C38B297" w14:textId="77777777" w:rsidR="00216725" w:rsidRPr="000D3DC5" w:rsidRDefault="00216725" w:rsidP="00D46156">
            <w:pPr>
              <w:tabs>
                <w:tab w:val="right" w:pos="9180"/>
              </w:tabs>
              <w:ind w:right="-18"/>
            </w:pPr>
          </w:p>
        </w:tc>
        <w:tc>
          <w:tcPr>
            <w:tcW w:w="270" w:type="dxa"/>
          </w:tcPr>
          <w:p w14:paraId="7627F902" w14:textId="77777777" w:rsidR="00216725" w:rsidRPr="000D3DC5" w:rsidRDefault="00216725" w:rsidP="00D46156">
            <w:pPr>
              <w:tabs>
                <w:tab w:val="right" w:pos="9180"/>
              </w:tabs>
              <w:ind w:right="-360"/>
            </w:pPr>
          </w:p>
        </w:tc>
        <w:tc>
          <w:tcPr>
            <w:tcW w:w="1440" w:type="dxa"/>
          </w:tcPr>
          <w:p w14:paraId="7688BDBB" w14:textId="77777777" w:rsidR="00216725" w:rsidRPr="000D3DC5" w:rsidRDefault="00216725" w:rsidP="00D46156">
            <w:pPr>
              <w:tabs>
                <w:tab w:val="right" w:pos="9180"/>
              </w:tabs>
              <w:ind w:right="-46"/>
            </w:pPr>
          </w:p>
        </w:tc>
        <w:tc>
          <w:tcPr>
            <w:tcW w:w="450" w:type="dxa"/>
          </w:tcPr>
          <w:p w14:paraId="76E3A072" w14:textId="77777777" w:rsidR="00216725" w:rsidRPr="000D3DC5" w:rsidRDefault="00216725" w:rsidP="00D46156">
            <w:pPr>
              <w:tabs>
                <w:tab w:val="right" w:pos="9180"/>
              </w:tabs>
              <w:ind w:right="-360"/>
            </w:pPr>
          </w:p>
        </w:tc>
        <w:tc>
          <w:tcPr>
            <w:tcW w:w="1440" w:type="dxa"/>
          </w:tcPr>
          <w:p w14:paraId="158F3CD0" w14:textId="77777777" w:rsidR="00216725" w:rsidRPr="000D3DC5" w:rsidRDefault="00216725" w:rsidP="00D46156">
            <w:pPr>
              <w:tabs>
                <w:tab w:val="right" w:pos="9180"/>
              </w:tabs>
              <w:ind w:right="-18"/>
            </w:pPr>
          </w:p>
        </w:tc>
        <w:tc>
          <w:tcPr>
            <w:tcW w:w="270" w:type="dxa"/>
          </w:tcPr>
          <w:p w14:paraId="331CB3BB" w14:textId="77777777" w:rsidR="00216725" w:rsidRPr="000D3DC5" w:rsidRDefault="00216725" w:rsidP="00D46156">
            <w:pPr>
              <w:tabs>
                <w:tab w:val="right" w:pos="9180"/>
              </w:tabs>
              <w:ind w:right="-360"/>
            </w:pPr>
          </w:p>
        </w:tc>
        <w:tc>
          <w:tcPr>
            <w:tcW w:w="1530" w:type="dxa"/>
          </w:tcPr>
          <w:p w14:paraId="6F27E14D" w14:textId="77777777" w:rsidR="00216725" w:rsidRPr="000D3DC5" w:rsidRDefault="00216725" w:rsidP="00D46156">
            <w:pPr>
              <w:tabs>
                <w:tab w:val="right" w:pos="9180"/>
              </w:tabs>
              <w:ind w:right="-18"/>
            </w:pPr>
          </w:p>
        </w:tc>
      </w:tr>
    </w:tbl>
    <w:p w14:paraId="2B2EBA65" w14:textId="77777777" w:rsidR="00216725" w:rsidRPr="00BA4187" w:rsidRDefault="00216725" w:rsidP="00216725">
      <w:pPr>
        <w:tabs>
          <w:tab w:val="left" w:pos="1080"/>
          <w:tab w:val="left" w:pos="1260"/>
          <w:tab w:val="left" w:pos="2340"/>
          <w:tab w:val="right" w:pos="9180"/>
        </w:tabs>
        <w:ind w:right="-360"/>
        <w:jc w:val="center"/>
      </w:pPr>
    </w:p>
    <w:p w14:paraId="3AB16E89" w14:textId="77777777" w:rsidR="00216725" w:rsidRPr="00BA4187" w:rsidRDefault="00216725" w:rsidP="00216725">
      <w:pPr>
        <w:tabs>
          <w:tab w:val="left" w:pos="1080"/>
          <w:tab w:val="left" w:pos="1260"/>
          <w:tab w:val="left" w:pos="2340"/>
          <w:tab w:val="right" w:pos="9180"/>
        </w:tabs>
        <w:ind w:right="-360"/>
        <w:jc w:val="center"/>
      </w:pPr>
    </w:p>
    <w:p w14:paraId="43EA604D" w14:textId="77777777" w:rsidR="00216725" w:rsidRPr="00BA4187" w:rsidRDefault="00216725" w:rsidP="00216725">
      <w:pPr>
        <w:tabs>
          <w:tab w:val="left" w:pos="1080"/>
          <w:tab w:val="left" w:pos="1260"/>
          <w:tab w:val="left" w:pos="2340"/>
          <w:tab w:val="right" w:pos="9180"/>
        </w:tabs>
        <w:ind w:right="-360"/>
        <w:jc w:val="center"/>
      </w:pPr>
    </w:p>
    <w:p w14:paraId="117D3E58" w14:textId="77777777" w:rsidR="00216725" w:rsidRPr="00BA4187" w:rsidRDefault="00216725" w:rsidP="00216725">
      <w:pPr>
        <w:tabs>
          <w:tab w:val="left" w:pos="1080"/>
          <w:tab w:val="left" w:pos="1260"/>
          <w:tab w:val="left" w:pos="2340"/>
          <w:tab w:val="right" w:pos="9180"/>
        </w:tabs>
        <w:ind w:right="-360"/>
        <w:jc w:val="center"/>
      </w:pPr>
      <w:r w:rsidRPr="00BA4187">
        <w:t>See accompanying notes to condensed consolidated financial statements.</w:t>
      </w:r>
    </w:p>
    <w:p w14:paraId="0CCD7DAE" w14:textId="77777777" w:rsidR="00216725" w:rsidRPr="00BA4187" w:rsidRDefault="00216725" w:rsidP="00216725">
      <w:pPr>
        <w:tabs>
          <w:tab w:val="left" w:pos="1080"/>
          <w:tab w:val="left" w:pos="1260"/>
          <w:tab w:val="left" w:pos="2340"/>
          <w:tab w:val="right" w:pos="9180"/>
        </w:tabs>
        <w:ind w:right="-360"/>
        <w:jc w:val="center"/>
      </w:pPr>
    </w:p>
    <w:p w14:paraId="425B292B" w14:textId="77777777" w:rsidR="00216725" w:rsidRPr="00BA4187" w:rsidRDefault="00216725" w:rsidP="00216725">
      <w:pPr>
        <w:tabs>
          <w:tab w:val="left" w:pos="1080"/>
          <w:tab w:val="left" w:pos="1260"/>
          <w:tab w:val="left" w:pos="2340"/>
          <w:tab w:val="right" w:pos="9180"/>
        </w:tabs>
        <w:ind w:right="-360"/>
        <w:jc w:val="center"/>
      </w:pPr>
    </w:p>
    <w:p w14:paraId="2053B992" w14:textId="4D1DDB4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209B4329" w14:textId="77777777" w:rsidR="00E66160" w:rsidRPr="00487CAB" w:rsidRDefault="00E66160" w:rsidP="00E66160">
      <w:pPr>
        <w:jc w:val="center"/>
        <w:rPr>
          <w:b/>
        </w:rPr>
      </w:pPr>
      <w:bookmarkStart w:id="6" w:name="_Hlk22049030"/>
      <w:r w:rsidRPr="00487CAB">
        <w:rPr>
          <w:b/>
        </w:rPr>
        <w:lastRenderedPageBreak/>
        <w:t>GEOVAX LABS, INC.</w:t>
      </w:r>
    </w:p>
    <w:p w14:paraId="7F6C35BC" w14:textId="77777777" w:rsidR="00E66160" w:rsidRPr="00487CAB" w:rsidRDefault="00E66160" w:rsidP="00E66160">
      <w:pPr>
        <w:jc w:val="center"/>
        <w:rPr>
          <w:b/>
        </w:rPr>
      </w:pPr>
      <w:r w:rsidRPr="00487CAB">
        <w:rPr>
          <w:b/>
        </w:rPr>
        <w:t>CONDENSED CONSOLIDATED STATEMENTS OF CHANGES IN STOCKHOLDERS’ EQUITY (DEFICIENCY)</w:t>
      </w:r>
    </w:p>
    <w:p w14:paraId="75567630" w14:textId="77777777" w:rsidR="00E66160" w:rsidRPr="00487CAB" w:rsidRDefault="00E66160" w:rsidP="00E66160">
      <w:pPr>
        <w:jc w:val="center"/>
        <w:rPr>
          <w:b/>
        </w:rPr>
      </w:pPr>
      <w:r w:rsidRPr="00487CAB">
        <w:rPr>
          <w:b/>
        </w:rPr>
        <w:t>(Unaudited)</w:t>
      </w:r>
    </w:p>
    <w:p w14:paraId="285A58F2" w14:textId="2D130891" w:rsidR="007022A7" w:rsidRDefault="007022A7" w:rsidP="00E66160">
      <w:pPr>
        <w:tabs>
          <w:tab w:val="decimal" w:pos="1152"/>
          <w:tab w:val="left" w:pos="2340"/>
          <w:tab w:val="right" w:pos="9180"/>
        </w:tabs>
        <w:rPr>
          <w:snapToGrid w:val="0"/>
          <w:color w:val="000000"/>
          <w:sz w:val="19"/>
          <w:szCs w:val="19"/>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260"/>
        <w:gridCol w:w="1080"/>
        <w:gridCol w:w="1080"/>
        <w:gridCol w:w="1170"/>
        <w:gridCol w:w="1440"/>
        <w:gridCol w:w="1350"/>
        <w:gridCol w:w="1800"/>
      </w:tblGrid>
      <w:tr w:rsidR="007D6D08" w:rsidRPr="00487CAB" w14:paraId="4E8915E8" w14:textId="77777777" w:rsidTr="00C84EC5">
        <w:tc>
          <w:tcPr>
            <w:tcW w:w="4410" w:type="dxa"/>
          </w:tcPr>
          <w:p w14:paraId="78EA82DA" w14:textId="77777777" w:rsidR="007D6D08" w:rsidRPr="00487CAB" w:rsidRDefault="007D6D08" w:rsidP="00C84EC5">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57AACD0B" w14:textId="13397576" w:rsidR="007D6D08" w:rsidRPr="00487CAB" w:rsidRDefault="007D6D08" w:rsidP="00C84EC5">
            <w:pPr>
              <w:tabs>
                <w:tab w:val="right" w:pos="9180"/>
              </w:tabs>
              <w:jc w:val="center"/>
              <w:rPr>
                <w:snapToGrid w:val="0"/>
                <w:color w:val="000000"/>
                <w:sz w:val="19"/>
                <w:szCs w:val="19"/>
              </w:rPr>
            </w:pPr>
            <w:r>
              <w:rPr>
                <w:snapToGrid w:val="0"/>
                <w:color w:val="000000"/>
                <w:sz w:val="19"/>
                <w:szCs w:val="19"/>
              </w:rPr>
              <w:t>Three</w:t>
            </w:r>
            <w:r w:rsidR="00117D5D">
              <w:rPr>
                <w:snapToGrid w:val="0"/>
                <w:color w:val="000000"/>
                <w:sz w:val="19"/>
                <w:szCs w:val="19"/>
              </w:rPr>
              <w:t>-</w:t>
            </w:r>
            <w:r>
              <w:rPr>
                <w:snapToGrid w:val="0"/>
                <w:color w:val="000000"/>
                <w:sz w:val="19"/>
                <w:szCs w:val="19"/>
              </w:rPr>
              <w:t>Month</w:t>
            </w:r>
            <w:r w:rsidR="00117D5D">
              <w:rPr>
                <w:snapToGrid w:val="0"/>
                <w:color w:val="000000"/>
                <w:sz w:val="19"/>
                <w:szCs w:val="19"/>
              </w:rPr>
              <w:t xml:space="preserve"> and </w:t>
            </w:r>
            <w:r w:rsidR="0019075D">
              <w:rPr>
                <w:snapToGrid w:val="0"/>
                <w:color w:val="000000"/>
                <w:sz w:val="19"/>
                <w:szCs w:val="19"/>
              </w:rPr>
              <w:t>Nine</w:t>
            </w:r>
            <w:r w:rsidR="00117D5D">
              <w:rPr>
                <w:snapToGrid w:val="0"/>
                <w:color w:val="000000"/>
                <w:sz w:val="19"/>
                <w:szCs w:val="19"/>
              </w:rPr>
              <w:t>-Month Periods</w:t>
            </w:r>
            <w:r>
              <w:rPr>
                <w:snapToGrid w:val="0"/>
                <w:color w:val="000000"/>
                <w:sz w:val="19"/>
                <w:szCs w:val="19"/>
              </w:rPr>
              <w:t xml:space="preserve"> Ended </w:t>
            </w:r>
            <w:r w:rsidR="0019075D">
              <w:rPr>
                <w:snapToGrid w:val="0"/>
                <w:color w:val="000000"/>
                <w:sz w:val="19"/>
                <w:szCs w:val="19"/>
              </w:rPr>
              <w:t>September</w:t>
            </w:r>
            <w:r>
              <w:rPr>
                <w:snapToGrid w:val="0"/>
                <w:color w:val="000000"/>
                <w:sz w:val="19"/>
                <w:szCs w:val="19"/>
              </w:rPr>
              <w:t xml:space="preserve"> 3</w:t>
            </w:r>
            <w:r w:rsidR="00117D5D">
              <w:rPr>
                <w:snapToGrid w:val="0"/>
                <w:color w:val="000000"/>
                <w:sz w:val="19"/>
                <w:szCs w:val="19"/>
              </w:rPr>
              <w:t>0</w:t>
            </w:r>
            <w:r>
              <w:rPr>
                <w:snapToGrid w:val="0"/>
                <w:color w:val="000000"/>
                <w:sz w:val="19"/>
                <w:szCs w:val="19"/>
              </w:rPr>
              <w:t>, 2019</w:t>
            </w:r>
          </w:p>
        </w:tc>
      </w:tr>
      <w:tr w:rsidR="007D6D08" w:rsidRPr="00487CAB" w14:paraId="50D81F34" w14:textId="77777777" w:rsidTr="00C84EC5">
        <w:tc>
          <w:tcPr>
            <w:tcW w:w="4410" w:type="dxa"/>
          </w:tcPr>
          <w:p w14:paraId="6F9F9884" w14:textId="77777777" w:rsidR="007D6D08" w:rsidRPr="00487CAB" w:rsidRDefault="007D6D08" w:rsidP="00C84EC5">
            <w:pPr>
              <w:tabs>
                <w:tab w:val="left" w:pos="144"/>
                <w:tab w:val="left" w:pos="324"/>
                <w:tab w:val="right" w:pos="9180"/>
              </w:tabs>
              <w:rPr>
                <w:snapToGrid w:val="0"/>
                <w:color w:val="000000"/>
                <w:sz w:val="19"/>
                <w:szCs w:val="19"/>
              </w:rPr>
            </w:pPr>
          </w:p>
        </w:tc>
        <w:tc>
          <w:tcPr>
            <w:tcW w:w="2340" w:type="dxa"/>
            <w:gridSpan w:val="2"/>
          </w:tcPr>
          <w:p w14:paraId="58AAEA5A" w14:textId="77777777" w:rsidR="007D6D08" w:rsidRPr="00487CAB" w:rsidRDefault="007D6D08" w:rsidP="00C84EC5">
            <w:pPr>
              <w:tabs>
                <w:tab w:val="left" w:pos="2340"/>
                <w:tab w:val="right" w:pos="9180"/>
              </w:tabs>
              <w:jc w:val="center"/>
              <w:rPr>
                <w:snapToGrid w:val="0"/>
                <w:color w:val="000000"/>
                <w:sz w:val="19"/>
                <w:szCs w:val="19"/>
              </w:rPr>
            </w:pPr>
          </w:p>
        </w:tc>
        <w:tc>
          <w:tcPr>
            <w:tcW w:w="1080" w:type="dxa"/>
          </w:tcPr>
          <w:p w14:paraId="2FED55D7" w14:textId="77777777" w:rsidR="007D6D08" w:rsidRPr="00487CAB" w:rsidRDefault="007D6D08" w:rsidP="00C84EC5">
            <w:pPr>
              <w:tabs>
                <w:tab w:val="decimal" w:pos="1148"/>
                <w:tab w:val="right" w:pos="9180"/>
              </w:tabs>
              <w:jc w:val="center"/>
              <w:rPr>
                <w:snapToGrid w:val="0"/>
                <w:color w:val="000000"/>
                <w:sz w:val="19"/>
                <w:szCs w:val="19"/>
              </w:rPr>
            </w:pPr>
          </w:p>
        </w:tc>
        <w:tc>
          <w:tcPr>
            <w:tcW w:w="1170" w:type="dxa"/>
          </w:tcPr>
          <w:p w14:paraId="3F02D619" w14:textId="77777777" w:rsidR="007D6D08" w:rsidRPr="00487CAB" w:rsidRDefault="007D6D08" w:rsidP="00C84EC5">
            <w:pPr>
              <w:tabs>
                <w:tab w:val="decimal" w:pos="1148"/>
                <w:tab w:val="right" w:pos="9180"/>
              </w:tabs>
              <w:jc w:val="center"/>
              <w:rPr>
                <w:snapToGrid w:val="0"/>
                <w:color w:val="000000"/>
                <w:sz w:val="19"/>
                <w:szCs w:val="19"/>
              </w:rPr>
            </w:pPr>
          </w:p>
        </w:tc>
        <w:tc>
          <w:tcPr>
            <w:tcW w:w="1440" w:type="dxa"/>
          </w:tcPr>
          <w:p w14:paraId="6ADC5160" w14:textId="77777777" w:rsidR="007D6D08" w:rsidRPr="00487CAB" w:rsidRDefault="007D6D08" w:rsidP="00C84EC5">
            <w:pPr>
              <w:tabs>
                <w:tab w:val="decimal" w:pos="1148"/>
                <w:tab w:val="right" w:pos="9180"/>
              </w:tabs>
              <w:jc w:val="center"/>
              <w:rPr>
                <w:snapToGrid w:val="0"/>
                <w:color w:val="000000"/>
                <w:sz w:val="19"/>
                <w:szCs w:val="19"/>
              </w:rPr>
            </w:pPr>
          </w:p>
        </w:tc>
        <w:tc>
          <w:tcPr>
            <w:tcW w:w="1350" w:type="dxa"/>
          </w:tcPr>
          <w:p w14:paraId="212AB6FB" w14:textId="77777777" w:rsidR="007D6D08" w:rsidRPr="00487CAB" w:rsidRDefault="007D6D08" w:rsidP="00C84EC5">
            <w:pPr>
              <w:tabs>
                <w:tab w:val="right" w:pos="9180"/>
              </w:tabs>
              <w:jc w:val="center"/>
              <w:rPr>
                <w:snapToGrid w:val="0"/>
                <w:color w:val="000000"/>
                <w:sz w:val="19"/>
                <w:szCs w:val="19"/>
              </w:rPr>
            </w:pPr>
          </w:p>
        </w:tc>
        <w:tc>
          <w:tcPr>
            <w:tcW w:w="1800" w:type="dxa"/>
          </w:tcPr>
          <w:p w14:paraId="7EBA6C42" w14:textId="77777777" w:rsidR="007D6D08" w:rsidRPr="00487CAB" w:rsidRDefault="007D6D08" w:rsidP="00C84EC5">
            <w:pPr>
              <w:tabs>
                <w:tab w:val="right" w:pos="9180"/>
              </w:tabs>
              <w:jc w:val="center"/>
              <w:rPr>
                <w:snapToGrid w:val="0"/>
                <w:color w:val="000000"/>
                <w:sz w:val="19"/>
                <w:szCs w:val="19"/>
              </w:rPr>
            </w:pPr>
            <w:r w:rsidRPr="00487CAB">
              <w:rPr>
                <w:snapToGrid w:val="0"/>
                <w:color w:val="000000"/>
                <w:sz w:val="19"/>
                <w:szCs w:val="19"/>
              </w:rPr>
              <w:t>Total</w:t>
            </w:r>
          </w:p>
        </w:tc>
      </w:tr>
      <w:tr w:rsidR="007D6D08" w:rsidRPr="00487CAB" w14:paraId="48F6BB7D" w14:textId="77777777" w:rsidTr="00C84EC5">
        <w:tc>
          <w:tcPr>
            <w:tcW w:w="4410" w:type="dxa"/>
          </w:tcPr>
          <w:p w14:paraId="0E31F838" w14:textId="77777777" w:rsidR="007D6D08" w:rsidRPr="00487CAB" w:rsidRDefault="007D6D08" w:rsidP="00C84EC5">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2E0C2628" w14:textId="77777777" w:rsidR="007D6D08" w:rsidRPr="00487CAB" w:rsidRDefault="007D6D08" w:rsidP="00C84EC5">
            <w:pPr>
              <w:tabs>
                <w:tab w:val="left" w:pos="2340"/>
                <w:tab w:val="right" w:pos="9180"/>
              </w:tabs>
              <w:jc w:val="center"/>
              <w:rPr>
                <w:snapToGrid w:val="0"/>
                <w:color w:val="000000"/>
                <w:sz w:val="19"/>
                <w:szCs w:val="19"/>
              </w:rPr>
            </w:pPr>
            <w:r w:rsidRPr="00487CAB">
              <w:rPr>
                <w:snapToGrid w:val="0"/>
                <w:color w:val="000000"/>
                <w:sz w:val="19"/>
                <w:szCs w:val="19"/>
              </w:rPr>
              <w:t>Preferred Stock</w:t>
            </w:r>
            <w:r>
              <w:rPr>
                <w:snapToGrid w:val="0"/>
                <w:color w:val="000000"/>
                <w:sz w:val="19"/>
                <w:szCs w:val="19"/>
              </w:rPr>
              <w:t xml:space="preserve"> (Note 9)</w:t>
            </w:r>
          </w:p>
        </w:tc>
        <w:tc>
          <w:tcPr>
            <w:tcW w:w="2250" w:type="dxa"/>
            <w:gridSpan w:val="2"/>
            <w:tcBorders>
              <w:bottom w:val="single" w:sz="4" w:space="0" w:color="auto"/>
            </w:tcBorders>
          </w:tcPr>
          <w:p w14:paraId="23208DA5" w14:textId="77777777" w:rsidR="007D6D08" w:rsidRPr="00487CAB" w:rsidRDefault="007D6D08" w:rsidP="00C84EC5">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32E6C6DD" w14:textId="77777777" w:rsidR="007D6D08" w:rsidRPr="00487CAB" w:rsidRDefault="007D6D08" w:rsidP="00C84EC5">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5A67D08B" w14:textId="77777777" w:rsidR="007D6D08" w:rsidRPr="00487CAB" w:rsidRDefault="007D6D08" w:rsidP="00C84EC5">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5BB8508B" w14:textId="77777777" w:rsidR="007D6D08" w:rsidRPr="00487CAB" w:rsidRDefault="007D6D08" w:rsidP="00C84EC5">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7D6D08" w:rsidRPr="00487CAB" w14:paraId="56458E25" w14:textId="77777777" w:rsidTr="00C84EC5">
        <w:tc>
          <w:tcPr>
            <w:tcW w:w="4410" w:type="dxa"/>
          </w:tcPr>
          <w:p w14:paraId="3C837FD4" w14:textId="77777777" w:rsidR="007D6D08" w:rsidRPr="00487CAB" w:rsidRDefault="007D6D08" w:rsidP="00C84EC5">
            <w:pPr>
              <w:tabs>
                <w:tab w:val="left" w:pos="144"/>
                <w:tab w:val="left" w:pos="324"/>
                <w:tab w:val="right" w:pos="9180"/>
              </w:tabs>
              <w:rPr>
                <w:snapToGrid w:val="0"/>
                <w:color w:val="000000"/>
                <w:sz w:val="19"/>
                <w:szCs w:val="19"/>
              </w:rPr>
            </w:pPr>
          </w:p>
        </w:tc>
        <w:tc>
          <w:tcPr>
            <w:tcW w:w="1260" w:type="dxa"/>
            <w:tcBorders>
              <w:top w:val="single" w:sz="4" w:space="0" w:color="auto"/>
              <w:bottom w:val="single" w:sz="4" w:space="0" w:color="auto"/>
            </w:tcBorders>
          </w:tcPr>
          <w:p w14:paraId="1BCBC48E" w14:textId="77777777" w:rsidR="007D6D08" w:rsidRPr="00487CAB" w:rsidRDefault="007D6D08" w:rsidP="00C84EC5">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080" w:type="dxa"/>
            <w:tcBorders>
              <w:top w:val="single" w:sz="4" w:space="0" w:color="auto"/>
              <w:bottom w:val="single" w:sz="4" w:space="0" w:color="auto"/>
            </w:tcBorders>
          </w:tcPr>
          <w:p w14:paraId="73403B92" w14:textId="77777777" w:rsidR="007D6D08" w:rsidRPr="00487CAB" w:rsidRDefault="007D6D08" w:rsidP="00C84EC5">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023A54E4" w14:textId="77777777" w:rsidR="007D6D08" w:rsidRPr="00487CAB" w:rsidRDefault="007D6D08" w:rsidP="00C84EC5">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12D76441" w14:textId="77777777" w:rsidR="007D6D08" w:rsidRPr="00487CAB" w:rsidRDefault="007D6D08" w:rsidP="00C84EC5">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6C2DD8A5" w14:textId="77777777" w:rsidR="007D6D08" w:rsidRPr="00487CAB" w:rsidRDefault="007D6D08" w:rsidP="00C84EC5">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5DD2A47" w14:textId="77777777" w:rsidR="007D6D08" w:rsidRPr="00487CAB" w:rsidRDefault="007D6D08" w:rsidP="00C84EC5">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00ABB4D9" w14:textId="77777777" w:rsidR="007D6D08" w:rsidRPr="00487CAB" w:rsidRDefault="007D6D08" w:rsidP="00C84EC5">
            <w:pPr>
              <w:tabs>
                <w:tab w:val="left" w:pos="2340"/>
                <w:tab w:val="right" w:pos="9180"/>
              </w:tabs>
              <w:jc w:val="center"/>
              <w:rPr>
                <w:snapToGrid w:val="0"/>
                <w:color w:val="000000"/>
                <w:sz w:val="19"/>
                <w:szCs w:val="19"/>
              </w:rPr>
            </w:pPr>
            <w:r w:rsidRPr="00487CAB">
              <w:rPr>
                <w:snapToGrid w:val="0"/>
                <w:color w:val="000000"/>
                <w:sz w:val="19"/>
                <w:szCs w:val="19"/>
              </w:rPr>
              <w:t>Equity (Deficiency)</w:t>
            </w:r>
          </w:p>
        </w:tc>
      </w:tr>
      <w:tr w:rsidR="007D6D08" w:rsidRPr="00487CAB" w14:paraId="0A08F8CF" w14:textId="77777777" w:rsidTr="007D6D08">
        <w:tc>
          <w:tcPr>
            <w:tcW w:w="4410" w:type="dxa"/>
          </w:tcPr>
          <w:p w14:paraId="08CFBD2E" w14:textId="77777777" w:rsidR="007D6D08" w:rsidRPr="00487CAB" w:rsidRDefault="007D6D08" w:rsidP="00C84EC5">
            <w:pPr>
              <w:tabs>
                <w:tab w:val="left" w:pos="144"/>
                <w:tab w:val="left" w:pos="324"/>
                <w:tab w:val="right" w:pos="9180"/>
              </w:tabs>
              <w:rPr>
                <w:snapToGrid w:val="0"/>
                <w:color w:val="000000"/>
                <w:sz w:val="19"/>
                <w:szCs w:val="19"/>
              </w:rPr>
            </w:pPr>
            <w:r w:rsidRPr="00487CAB">
              <w:rPr>
                <w:snapToGrid w:val="0"/>
                <w:color w:val="000000"/>
                <w:sz w:val="19"/>
                <w:szCs w:val="19"/>
              </w:rPr>
              <w:t>Balance at December 31, 2018</w:t>
            </w:r>
          </w:p>
        </w:tc>
        <w:tc>
          <w:tcPr>
            <w:tcW w:w="1260" w:type="dxa"/>
          </w:tcPr>
          <w:p w14:paraId="24994695" w14:textId="77777777" w:rsidR="007D6D08" w:rsidRPr="00487CAB" w:rsidRDefault="007D6D08" w:rsidP="00C84EC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3,450</w:t>
            </w:r>
          </w:p>
        </w:tc>
        <w:tc>
          <w:tcPr>
            <w:tcW w:w="1080" w:type="dxa"/>
          </w:tcPr>
          <w:p w14:paraId="273596CD" w14:textId="77777777" w:rsidR="007D6D08" w:rsidRPr="00487CAB" w:rsidRDefault="007D6D08" w:rsidP="00C84EC5">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1,971,333</w:t>
            </w:r>
          </w:p>
        </w:tc>
        <w:tc>
          <w:tcPr>
            <w:tcW w:w="1080" w:type="dxa"/>
          </w:tcPr>
          <w:p w14:paraId="4DE6F3B0" w14:textId="77777777" w:rsidR="007D6D08" w:rsidRPr="00487CAB" w:rsidRDefault="007D6D08"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437,807</w:t>
            </w:r>
          </w:p>
        </w:tc>
        <w:tc>
          <w:tcPr>
            <w:tcW w:w="1170" w:type="dxa"/>
          </w:tcPr>
          <w:p w14:paraId="301F9023" w14:textId="77777777" w:rsidR="007D6D08" w:rsidRPr="00487CAB" w:rsidRDefault="007D6D08"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438</w:t>
            </w:r>
          </w:p>
        </w:tc>
        <w:tc>
          <w:tcPr>
            <w:tcW w:w="1440" w:type="dxa"/>
          </w:tcPr>
          <w:p w14:paraId="45E96974" w14:textId="77777777" w:rsidR="007D6D08" w:rsidRPr="00487CAB" w:rsidRDefault="007D6D08"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37,482,766</w:t>
            </w:r>
          </w:p>
        </w:tc>
        <w:tc>
          <w:tcPr>
            <w:tcW w:w="1350" w:type="dxa"/>
          </w:tcPr>
          <w:p w14:paraId="267F5FB5" w14:textId="77777777" w:rsidR="007D6D08" w:rsidRPr="00487CAB" w:rsidRDefault="007D6D08" w:rsidP="00C84EC5">
            <w:pPr>
              <w:tabs>
                <w:tab w:val="decimal" w:pos="1150"/>
                <w:tab w:val="left" w:pos="2340"/>
                <w:tab w:val="right" w:pos="9180"/>
              </w:tabs>
              <w:rPr>
                <w:snapToGrid w:val="0"/>
                <w:color w:val="000000"/>
                <w:sz w:val="19"/>
                <w:szCs w:val="19"/>
              </w:rPr>
            </w:pPr>
            <w:r w:rsidRPr="00487CAB">
              <w:rPr>
                <w:snapToGrid w:val="0"/>
                <w:color w:val="000000"/>
                <w:sz w:val="19"/>
                <w:szCs w:val="19"/>
              </w:rPr>
              <w:tab/>
              <w:t>$(40,476,884)</w:t>
            </w:r>
          </w:p>
        </w:tc>
        <w:tc>
          <w:tcPr>
            <w:tcW w:w="1800" w:type="dxa"/>
          </w:tcPr>
          <w:p w14:paraId="7F87710D" w14:textId="77777777" w:rsidR="007D6D08" w:rsidRPr="00487CAB" w:rsidRDefault="007D6D08" w:rsidP="00C84EC5">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(1,022,347)</w:t>
            </w:r>
          </w:p>
        </w:tc>
      </w:tr>
      <w:tr w:rsidR="00E66160" w:rsidRPr="00487CAB" w14:paraId="1074D4D4" w14:textId="77777777" w:rsidTr="00C84EC5">
        <w:tc>
          <w:tcPr>
            <w:tcW w:w="4410" w:type="dxa"/>
          </w:tcPr>
          <w:p w14:paraId="66665B59" w14:textId="77777777" w:rsidR="00E66160" w:rsidRPr="00487CAB" w:rsidRDefault="00E66160" w:rsidP="00C84EC5">
            <w:pPr>
              <w:tabs>
                <w:tab w:val="left" w:pos="144"/>
                <w:tab w:val="left" w:pos="324"/>
                <w:tab w:val="right" w:pos="9180"/>
              </w:tabs>
              <w:rPr>
                <w:snapToGrid w:val="0"/>
                <w:color w:val="000000"/>
                <w:sz w:val="19"/>
                <w:szCs w:val="19"/>
              </w:rPr>
            </w:pPr>
            <w:bookmarkStart w:id="7" w:name="_Hlk12541880"/>
            <w:r w:rsidRPr="00487CAB">
              <w:rPr>
                <w:snapToGrid w:val="0"/>
                <w:color w:val="000000"/>
                <w:sz w:val="19"/>
                <w:szCs w:val="19"/>
              </w:rPr>
              <w:tab/>
              <w:t>Sale of convertible preferred stock</w:t>
            </w:r>
          </w:p>
        </w:tc>
        <w:tc>
          <w:tcPr>
            <w:tcW w:w="1260" w:type="dxa"/>
          </w:tcPr>
          <w:p w14:paraId="7FCB5D5D" w14:textId="77777777" w:rsidR="00E66160" w:rsidRPr="00487CAB" w:rsidRDefault="00E66160" w:rsidP="00C84EC5">
            <w:pPr>
              <w:tabs>
                <w:tab w:val="decimal" w:pos="917"/>
                <w:tab w:val="left" w:pos="2340"/>
                <w:tab w:val="right" w:pos="9180"/>
              </w:tabs>
              <w:rPr>
                <w:snapToGrid w:val="0"/>
                <w:color w:val="000000"/>
                <w:sz w:val="19"/>
                <w:szCs w:val="19"/>
              </w:rPr>
            </w:pPr>
            <w:r w:rsidRPr="00487CAB">
              <w:rPr>
                <w:snapToGrid w:val="0"/>
                <w:color w:val="000000"/>
                <w:sz w:val="19"/>
                <w:szCs w:val="19"/>
              </w:rPr>
              <w:tab/>
            </w:r>
          </w:p>
        </w:tc>
        <w:tc>
          <w:tcPr>
            <w:tcW w:w="1080" w:type="dxa"/>
          </w:tcPr>
          <w:p w14:paraId="37C9B88A" w14:textId="77777777" w:rsidR="00E66160" w:rsidRPr="00487CAB" w:rsidRDefault="00E66160" w:rsidP="00C84EC5">
            <w:pPr>
              <w:tabs>
                <w:tab w:val="decimal" w:pos="798"/>
                <w:tab w:val="left" w:pos="2340"/>
                <w:tab w:val="right" w:pos="9180"/>
              </w:tabs>
              <w:rPr>
                <w:snapToGrid w:val="0"/>
                <w:color w:val="000000"/>
                <w:sz w:val="19"/>
                <w:szCs w:val="19"/>
              </w:rPr>
            </w:pPr>
            <w:r w:rsidRPr="00487CAB">
              <w:rPr>
                <w:snapToGrid w:val="0"/>
                <w:color w:val="000000"/>
                <w:sz w:val="19"/>
                <w:szCs w:val="19"/>
              </w:rPr>
              <w:tab/>
            </w:r>
          </w:p>
        </w:tc>
        <w:tc>
          <w:tcPr>
            <w:tcW w:w="1080" w:type="dxa"/>
          </w:tcPr>
          <w:p w14:paraId="50B9546F"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p>
        </w:tc>
        <w:tc>
          <w:tcPr>
            <w:tcW w:w="1170" w:type="dxa"/>
          </w:tcPr>
          <w:p w14:paraId="70E8F90B"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p>
        </w:tc>
        <w:tc>
          <w:tcPr>
            <w:tcW w:w="1440" w:type="dxa"/>
          </w:tcPr>
          <w:p w14:paraId="34A70937"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p>
        </w:tc>
        <w:tc>
          <w:tcPr>
            <w:tcW w:w="1350" w:type="dxa"/>
          </w:tcPr>
          <w:p w14:paraId="07196451" w14:textId="77777777" w:rsidR="00E66160" w:rsidRPr="00487CAB" w:rsidRDefault="00E66160" w:rsidP="00C84EC5">
            <w:pPr>
              <w:tabs>
                <w:tab w:val="decimal" w:pos="1150"/>
                <w:tab w:val="left" w:pos="2340"/>
                <w:tab w:val="right" w:pos="9180"/>
              </w:tabs>
              <w:rPr>
                <w:snapToGrid w:val="0"/>
                <w:color w:val="000000"/>
                <w:sz w:val="19"/>
                <w:szCs w:val="19"/>
              </w:rPr>
            </w:pPr>
            <w:r w:rsidRPr="00487CAB">
              <w:rPr>
                <w:snapToGrid w:val="0"/>
                <w:color w:val="000000"/>
                <w:sz w:val="19"/>
                <w:szCs w:val="19"/>
              </w:rPr>
              <w:tab/>
            </w:r>
          </w:p>
        </w:tc>
        <w:tc>
          <w:tcPr>
            <w:tcW w:w="1800" w:type="dxa"/>
          </w:tcPr>
          <w:p w14:paraId="742A2907" w14:textId="77777777" w:rsidR="00E66160" w:rsidRPr="00487CAB" w:rsidRDefault="00E66160" w:rsidP="00C84EC5">
            <w:pPr>
              <w:tabs>
                <w:tab w:val="decimal" w:pos="1418"/>
                <w:tab w:val="right" w:pos="9180"/>
              </w:tabs>
              <w:rPr>
                <w:snapToGrid w:val="0"/>
                <w:color w:val="000000"/>
                <w:sz w:val="19"/>
                <w:szCs w:val="19"/>
              </w:rPr>
            </w:pPr>
            <w:r w:rsidRPr="00487CAB">
              <w:rPr>
                <w:snapToGrid w:val="0"/>
                <w:color w:val="000000"/>
                <w:sz w:val="19"/>
                <w:szCs w:val="19"/>
              </w:rPr>
              <w:tab/>
            </w:r>
          </w:p>
        </w:tc>
      </w:tr>
      <w:tr w:rsidR="00E66160" w:rsidRPr="00487CAB" w14:paraId="67295D3A" w14:textId="77777777" w:rsidTr="00C84EC5">
        <w:tc>
          <w:tcPr>
            <w:tcW w:w="4410" w:type="dxa"/>
          </w:tcPr>
          <w:p w14:paraId="6D15700D" w14:textId="77777777" w:rsidR="00E66160" w:rsidRPr="00487CAB" w:rsidRDefault="00E66160" w:rsidP="00C84EC5">
            <w:pPr>
              <w:tabs>
                <w:tab w:val="left" w:pos="144"/>
                <w:tab w:val="left" w:pos="324"/>
                <w:tab w:val="right" w:pos="9180"/>
              </w:tabs>
              <w:rPr>
                <w:snapToGrid w:val="0"/>
                <w:color w:val="000000"/>
                <w:sz w:val="19"/>
                <w:szCs w:val="19"/>
              </w:rPr>
            </w:pPr>
            <w:r w:rsidRPr="00487CAB">
              <w:rPr>
                <w:snapToGrid w:val="0"/>
                <w:color w:val="000000"/>
                <w:sz w:val="19"/>
                <w:szCs w:val="19"/>
              </w:rPr>
              <w:tab/>
            </w:r>
            <w:r w:rsidRPr="00487CAB">
              <w:rPr>
                <w:snapToGrid w:val="0"/>
                <w:color w:val="000000"/>
                <w:sz w:val="19"/>
                <w:szCs w:val="19"/>
              </w:rPr>
              <w:tab/>
              <w:t>for cash and cancellation of note payable</w:t>
            </w:r>
          </w:p>
        </w:tc>
        <w:tc>
          <w:tcPr>
            <w:tcW w:w="1260" w:type="dxa"/>
          </w:tcPr>
          <w:p w14:paraId="6A7894E9" w14:textId="77777777" w:rsidR="00E66160" w:rsidRPr="00487CAB" w:rsidRDefault="00E66160" w:rsidP="00C84EC5">
            <w:pPr>
              <w:tabs>
                <w:tab w:val="decimal" w:pos="917"/>
                <w:tab w:val="left" w:pos="2340"/>
                <w:tab w:val="right" w:pos="9180"/>
              </w:tabs>
              <w:rPr>
                <w:snapToGrid w:val="0"/>
                <w:color w:val="000000"/>
                <w:sz w:val="19"/>
                <w:szCs w:val="19"/>
              </w:rPr>
            </w:pPr>
            <w:r w:rsidRPr="00487CAB">
              <w:rPr>
                <w:snapToGrid w:val="0"/>
                <w:color w:val="000000"/>
                <w:sz w:val="19"/>
                <w:szCs w:val="19"/>
              </w:rPr>
              <w:tab/>
              <w:t>500</w:t>
            </w:r>
          </w:p>
        </w:tc>
        <w:tc>
          <w:tcPr>
            <w:tcW w:w="1080" w:type="dxa"/>
          </w:tcPr>
          <w:p w14:paraId="2EF5A7F4" w14:textId="77777777" w:rsidR="00E66160" w:rsidRPr="00487CAB" w:rsidRDefault="00E66160" w:rsidP="00C84EC5">
            <w:pPr>
              <w:tabs>
                <w:tab w:val="decimal" w:pos="798"/>
                <w:tab w:val="left" w:pos="2340"/>
                <w:tab w:val="right" w:pos="9180"/>
              </w:tabs>
              <w:rPr>
                <w:snapToGrid w:val="0"/>
                <w:color w:val="000000"/>
                <w:sz w:val="19"/>
                <w:szCs w:val="19"/>
              </w:rPr>
            </w:pPr>
            <w:r w:rsidRPr="00487CAB">
              <w:rPr>
                <w:snapToGrid w:val="0"/>
                <w:color w:val="000000"/>
                <w:sz w:val="19"/>
                <w:szCs w:val="19"/>
              </w:rPr>
              <w:tab/>
              <w:t>404,250</w:t>
            </w:r>
          </w:p>
        </w:tc>
        <w:tc>
          <w:tcPr>
            <w:tcW w:w="1080" w:type="dxa"/>
          </w:tcPr>
          <w:p w14:paraId="21391867"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2669FC50"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4B015B2F"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85,750</w:t>
            </w:r>
          </w:p>
        </w:tc>
        <w:tc>
          <w:tcPr>
            <w:tcW w:w="1350" w:type="dxa"/>
          </w:tcPr>
          <w:p w14:paraId="0E13F6EA" w14:textId="77777777" w:rsidR="00E66160" w:rsidRPr="00487CAB" w:rsidRDefault="00E66160" w:rsidP="00C84EC5">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2EF42482" w14:textId="77777777" w:rsidR="00E66160" w:rsidRPr="00487CAB" w:rsidRDefault="00E66160" w:rsidP="00C84EC5">
            <w:pPr>
              <w:tabs>
                <w:tab w:val="decimal" w:pos="1418"/>
                <w:tab w:val="right" w:pos="9180"/>
              </w:tabs>
              <w:rPr>
                <w:snapToGrid w:val="0"/>
                <w:color w:val="000000"/>
                <w:sz w:val="19"/>
                <w:szCs w:val="19"/>
              </w:rPr>
            </w:pPr>
            <w:r w:rsidRPr="00487CAB">
              <w:rPr>
                <w:snapToGrid w:val="0"/>
                <w:color w:val="000000"/>
                <w:sz w:val="19"/>
                <w:szCs w:val="19"/>
              </w:rPr>
              <w:tab/>
              <w:t>490,000</w:t>
            </w:r>
          </w:p>
        </w:tc>
      </w:tr>
      <w:tr w:rsidR="00E66160" w:rsidRPr="00487CAB" w14:paraId="1B8B86DD" w14:textId="77777777" w:rsidTr="00C84EC5">
        <w:tc>
          <w:tcPr>
            <w:tcW w:w="4410" w:type="dxa"/>
          </w:tcPr>
          <w:p w14:paraId="38EA5748" w14:textId="77777777" w:rsidR="00E66160" w:rsidRPr="00487CAB" w:rsidRDefault="00E66160" w:rsidP="00C84EC5">
            <w:pPr>
              <w:tabs>
                <w:tab w:val="left" w:pos="144"/>
                <w:tab w:val="left" w:pos="324"/>
                <w:tab w:val="right" w:pos="9180"/>
              </w:tabs>
              <w:rPr>
                <w:snapToGrid w:val="0"/>
                <w:color w:val="000000"/>
                <w:sz w:val="19"/>
                <w:szCs w:val="19"/>
              </w:rPr>
            </w:pPr>
            <w:r w:rsidRPr="00487CAB">
              <w:rPr>
                <w:snapToGrid w:val="0"/>
                <w:color w:val="000000"/>
                <w:sz w:val="19"/>
                <w:szCs w:val="19"/>
              </w:rPr>
              <w:tab/>
              <w:t>Conversion of preferred stock to common stock</w:t>
            </w:r>
          </w:p>
        </w:tc>
        <w:tc>
          <w:tcPr>
            <w:tcW w:w="1260" w:type="dxa"/>
          </w:tcPr>
          <w:p w14:paraId="11233D80" w14:textId="4BD6C853" w:rsidR="00E66160" w:rsidRPr="00487CAB" w:rsidRDefault="00E66160" w:rsidP="00C84EC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(767)</w:t>
            </w:r>
          </w:p>
        </w:tc>
        <w:tc>
          <w:tcPr>
            <w:tcW w:w="1080" w:type="dxa"/>
          </w:tcPr>
          <w:p w14:paraId="0FFB10E6" w14:textId="617AA41C" w:rsidR="00E66160" w:rsidRPr="00487CAB" w:rsidRDefault="00E66160" w:rsidP="00C84EC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(303,475)</w:t>
            </w:r>
          </w:p>
        </w:tc>
        <w:tc>
          <w:tcPr>
            <w:tcW w:w="1080" w:type="dxa"/>
          </w:tcPr>
          <w:p w14:paraId="2DC40047"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118,280</w:t>
            </w:r>
          </w:p>
        </w:tc>
        <w:tc>
          <w:tcPr>
            <w:tcW w:w="1170" w:type="dxa"/>
          </w:tcPr>
          <w:p w14:paraId="534B6A86"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118</w:t>
            </w:r>
          </w:p>
        </w:tc>
        <w:tc>
          <w:tcPr>
            <w:tcW w:w="1440" w:type="dxa"/>
          </w:tcPr>
          <w:p w14:paraId="0F428281"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303,357</w:t>
            </w:r>
          </w:p>
        </w:tc>
        <w:tc>
          <w:tcPr>
            <w:tcW w:w="1350" w:type="dxa"/>
          </w:tcPr>
          <w:p w14:paraId="059550F4" w14:textId="77777777" w:rsidR="00E66160" w:rsidRPr="00487CAB" w:rsidRDefault="00E66160" w:rsidP="00C84EC5">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4C4F5C0F" w14:textId="77777777" w:rsidR="00E66160" w:rsidRPr="00487CAB" w:rsidRDefault="00E66160" w:rsidP="00C84EC5">
            <w:pPr>
              <w:tabs>
                <w:tab w:val="decimal" w:pos="1418"/>
                <w:tab w:val="right" w:pos="9180"/>
              </w:tabs>
              <w:rPr>
                <w:snapToGrid w:val="0"/>
                <w:color w:val="000000"/>
                <w:sz w:val="19"/>
                <w:szCs w:val="19"/>
              </w:rPr>
            </w:pPr>
            <w:r w:rsidRPr="00487CAB">
              <w:rPr>
                <w:snapToGrid w:val="0"/>
                <w:color w:val="000000"/>
                <w:sz w:val="19"/>
                <w:szCs w:val="19"/>
              </w:rPr>
              <w:tab/>
              <w:t>-</w:t>
            </w:r>
          </w:p>
        </w:tc>
      </w:tr>
      <w:tr w:rsidR="00E66160" w:rsidRPr="00487CAB" w14:paraId="15181FCC" w14:textId="77777777" w:rsidTr="00C84EC5">
        <w:tc>
          <w:tcPr>
            <w:tcW w:w="4410" w:type="dxa"/>
          </w:tcPr>
          <w:p w14:paraId="52C196D7" w14:textId="77777777" w:rsidR="00E66160" w:rsidRPr="00487CAB" w:rsidRDefault="00E66160" w:rsidP="00C84EC5">
            <w:pPr>
              <w:tabs>
                <w:tab w:val="left" w:pos="144"/>
                <w:tab w:val="left" w:pos="324"/>
                <w:tab w:val="right" w:pos="9180"/>
              </w:tabs>
              <w:rPr>
                <w:snapToGrid w:val="0"/>
                <w:color w:val="000000"/>
                <w:sz w:val="19"/>
                <w:szCs w:val="19"/>
              </w:rPr>
            </w:pPr>
            <w:r w:rsidRPr="00487CAB">
              <w:rPr>
                <w:snapToGrid w:val="0"/>
                <w:color w:val="000000"/>
                <w:sz w:val="19"/>
                <w:szCs w:val="19"/>
              </w:rPr>
              <w:tab/>
              <w:t>Fractional shares issuable upon reverse stock split</w:t>
            </w:r>
          </w:p>
        </w:tc>
        <w:tc>
          <w:tcPr>
            <w:tcW w:w="1260" w:type="dxa"/>
          </w:tcPr>
          <w:p w14:paraId="67C485AD" w14:textId="77777777" w:rsidR="00E66160" w:rsidRPr="00487CAB" w:rsidRDefault="00E66160" w:rsidP="00C84EC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79493A4D" w14:textId="77777777" w:rsidR="00E66160" w:rsidRPr="00487CAB" w:rsidRDefault="00E66160" w:rsidP="00C84EC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094E90DD"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402</w:t>
            </w:r>
          </w:p>
        </w:tc>
        <w:tc>
          <w:tcPr>
            <w:tcW w:w="1170" w:type="dxa"/>
          </w:tcPr>
          <w:p w14:paraId="26182F8D"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08E4EFB8"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Pr>
          <w:p w14:paraId="51CD21DC" w14:textId="77777777" w:rsidR="00E66160" w:rsidRPr="00487CAB" w:rsidRDefault="00E66160" w:rsidP="00C84EC5">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4598E1B8" w14:textId="77777777" w:rsidR="00E66160" w:rsidRPr="00487CAB" w:rsidRDefault="00E66160" w:rsidP="00C84EC5">
            <w:pPr>
              <w:tabs>
                <w:tab w:val="decimal" w:pos="1418"/>
                <w:tab w:val="right" w:pos="9180"/>
              </w:tabs>
              <w:rPr>
                <w:snapToGrid w:val="0"/>
                <w:color w:val="000000"/>
                <w:sz w:val="19"/>
                <w:szCs w:val="19"/>
              </w:rPr>
            </w:pPr>
            <w:r w:rsidRPr="00487CAB">
              <w:rPr>
                <w:snapToGrid w:val="0"/>
                <w:color w:val="000000"/>
                <w:sz w:val="19"/>
                <w:szCs w:val="19"/>
              </w:rPr>
              <w:tab/>
              <w:t>-</w:t>
            </w:r>
          </w:p>
        </w:tc>
      </w:tr>
      <w:tr w:rsidR="00E66160" w:rsidRPr="00487CAB" w14:paraId="61BB16BE" w14:textId="77777777" w:rsidTr="00C84EC5">
        <w:tc>
          <w:tcPr>
            <w:tcW w:w="4410" w:type="dxa"/>
          </w:tcPr>
          <w:p w14:paraId="59888151" w14:textId="548F3AFA" w:rsidR="00E66160" w:rsidRPr="00487CAB" w:rsidRDefault="00E66160" w:rsidP="00C84EC5">
            <w:pPr>
              <w:tabs>
                <w:tab w:val="left" w:pos="144"/>
                <w:tab w:val="left" w:pos="324"/>
                <w:tab w:val="right" w:pos="9180"/>
              </w:tabs>
              <w:rPr>
                <w:snapToGrid w:val="0"/>
                <w:color w:val="000000"/>
                <w:sz w:val="19"/>
                <w:szCs w:val="19"/>
              </w:rPr>
            </w:pPr>
            <w:r w:rsidRPr="00487CAB">
              <w:rPr>
                <w:snapToGrid w:val="0"/>
                <w:color w:val="000000"/>
                <w:sz w:val="19"/>
                <w:szCs w:val="19"/>
              </w:rPr>
              <w:tab/>
              <w:t>Stock</w:t>
            </w:r>
            <w:r w:rsidR="00085756">
              <w:rPr>
                <w:snapToGrid w:val="0"/>
                <w:color w:val="000000"/>
                <w:sz w:val="19"/>
                <w:szCs w:val="19"/>
              </w:rPr>
              <w:t xml:space="preserve"> option</w:t>
            </w:r>
            <w:r w:rsidRPr="00487CAB">
              <w:rPr>
                <w:snapToGrid w:val="0"/>
                <w:color w:val="000000"/>
                <w:sz w:val="19"/>
                <w:szCs w:val="19"/>
              </w:rPr>
              <w:t xml:space="preserve"> expense</w:t>
            </w:r>
          </w:p>
        </w:tc>
        <w:tc>
          <w:tcPr>
            <w:tcW w:w="1260" w:type="dxa"/>
          </w:tcPr>
          <w:p w14:paraId="64D5E0B5" w14:textId="77777777" w:rsidR="00E66160" w:rsidRPr="00487CAB" w:rsidRDefault="00E66160" w:rsidP="00C84EC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7C1A6940" w14:textId="77777777" w:rsidR="00E66160" w:rsidRPr="00487CAB" w:rsidRDefault="00E66160" w:rsidP="00C84EC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1C44B2DD"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128E9072"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024815D2"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26,652</w:t>
            </w:r>
          </w:p>
        </w:tc>
        <w:tc>
          <w:tcPr>
            <w:tcW w:w="1350" w:type="dxa"/>
          </w:tcPr>
          <w:p w14:paraId="2279D9CE" w14:textId="77777777" w:rsidR="00E66160" w:rsidRPr="00487CAB" w:rsidRDefault="00E66160" w:rsidP="00C84EC5">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37A57660" w14:textId="77777777" w:rsidR="00E66160" w:rsidRPr="00487CAB" w:rsidRDefault="00E66160" w:rsidP="00C84EC5">
            <w:pPr>
              <w:tabs>
                <w:tab w:val="decimal" w:pos="1418"/>
                <w:tab w:val="right" w:pos="9180"/>
              </w:tabs>
              <w:rPr>
                <w:snapToGrid w:val="0"/>
                <w:color w:val="000000"/>
                <w:sz w:val="19"/>
                <w:szCs w:val="19"/>
              </w:rPr>
            </w:pPr>
            <w:r w:rsidRPr="00487CAB">
              <w:rPr>
                <w:snapToGrid w:val="0"/>
                <w:color w:val="000000"/>
                <w:sz w:val="19"/>
                <w:szCs w:val="19"/>
              </w:rPr>
              <w:tab/>
              <w:t>26,652</w:t>
            </w:r>
          </w:p>
        </w:tc>
      </w:tr>
      <w:tr w:rsidR="00E66160" w:rsidRPr="00487CAB" w14:paraId="7FF592B4" w14:textId="77777777" w:rsidTr="00C84EC5">
        <w:tc>
          <w:tcPr>
            <w:tcW w:w="4410" w:type="dxa"/>
          </w:tcPr>
          <w:p w14:paraId="61645701" w14:textId="77777777" w:rsidR="00E66160" w:rsidRPr="00487CAB" w:rsidRDefault="00E66160" w:rsidP="00C84EC5">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2019</w:t>
            </w:r>
          </w:p>
        </w:tc>
        <w:tc>
          <w:tcPr>
            <w:tcW w:w="1260" w:type="dxa"/>
            <w:tcBorders>
              <w:bottom w:val="single" w:sz="4" w:space="0" w:color="auto"/>
            </w:tcBorders>
          </w:tcPr>
          <w:p w14:paraId="616AB55A" w14:textId="77777777" w:rsidR="00E66160" w:rsidRPr="00487CAB" w:rsidRDefault="00E66160" w:rsidP="00C84EC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5BC1E6D" w14:textId="77777777" w:rsidR="00E66160" w:rsidRPr="00487CAB" w:rsidRDefault="00E66160" w:rsidP="00C84EC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2CE8288B"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61683A61"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6948BED"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3BC90A7E" w14:textId="77777777" w:rsidR="00E66160" w:rsidRPr="00487CAB" w:rsidRDefault="00E66160" w:rsidP="00C84EC5">
            <w:pPr>
              <w:tabs>
                <w:tab w:val="decimal" w:pos="1150"/>
                <w:tab w:val="left" w:pos="2340"/>
                <w:tab w:val="right" w:pos="9180"/>
              </w:tabs>
              <w:rPr>
                <w:snapToGrid w:val="0"/>
                <w:color w:val="000000"/>
                <w:sz w:val="19"/>
                <w:szCs w:val="19"/>
              </w:rPr>
            </w:pPr>
            <w:r w:rsidRPr="00487CAB">
              <w:rPr>
                <w:snapToGrid w:val="0"/>
                <w:color w:val="000000"/>
                <w:sz w:val="19"/>
                <w:szCs w:val="19"/>
              </w:rPr>
              <w:tab/>
              <w:t>(701,454)</w:t>
            </w:r>
          </w:p>
        </w:tc>
        <w:tc>
          <w:tcPr>
            <w:tcW w:w="1800" w:type="dxa"/>
            <w:tcBorders>
              <w:bottom w:val="single" w:sz="4" w:space="0" w:color="auto"/>
            </w:tcBorders>
          </w:tcPr>
          <w:p w14:paraId="2AA4664E" w14:textId="77777777" w:rsidR="00E66160" w:rsidRPr="00487CAB" w:rsidRDefault="00E66160" w:rsidP="00C84EC5">
            <w:pPr>
              <w:tabs>
                <w:tab w:val="decimal" w:pos="1418"/>
                <w:tab w:val="right" w:pos="9180"/>
              </w:tabs>
              <w:rPr>
                <w:snapToGrid w:val="0"/>
                <w:color w:val="000000"/>
                <w:sz w:val="19"/>
                <w:szCs w:val="19"/>
              </w:rPr>
            </w:pPr>
            <w:r w:rsidRPr="00487CAB">
              <w:rPr>
                <w:snapToGrid w:val="0"/>
                <w:color w:val="000000"/>
                <w:sz w:val="19"/>
                <w:szCs w:val="19"/>
              </w:rPr>
              <w:tab/>
              <w:t>(701,454)</w:t>
            </w:r>
          </w:p>
        </w:tc>
      </w:tr>
      <w:tr w:rsidR="00E66160" w:rsidRPr="00487CAB" w14:paraId="3D75B8DE" w14:textId="77777777" w:rsidTr="003308AF">
        <w:tc>
          <w:tcPr>
            <w:tcW w:w="4410" w:type="dxa"/>
          </w:tcPr>
          <w:p w14:paraId="0B09F177" w14:textId="77777777" w:rsidR="00E66160" w:rsidRPr="00487CAB" w:rsidRDefault="00E66160" w:rsidP="00C84EC5">
            <w:pPr>
              <w:tabs>
                <w:tab w:val="left" w:pos="144"/>
                <w:tab w:val="left" w:pos="324"/>
                <w:tab w:val="right" w:pos="9180"/>
              </w:tabs>
              <w:rPr>
                <w:snapToGrid w:val="0"/>
                <w:color w:val="000000"/>
                <w:sz w:val="19"/>
                <w:szCs w:val="19"/>
              </w:rPr>
            </w:pPr>
            <w:r w:rsidRPr="00487CAB">
              <w:rPr>
                <w:snapToGrid w:val="0"/>
                <w:color w:val="000000"/>
                <w:sz w:val="19"/>
                <w:szCs w:val="19"/>
              </w:rPr>
              <w:t>Balance at March 31, 2019</w:t>
            </w:r>
          </w:p>
        </w:tc>
        <w:tc>
          <w:tcPr>
            <w:tcW w:w="1260" w:type="dxa"/>
            <w:tcBorders>
              <w:top w:val="single" w:sz="4" w:space="0" w:color="auto"/>
            </w:tcBorders>
          </w:tcPr>
          <w:p w14:paraId="17810F44" w14:textId="03378CDF" w:rsidR="00E66160" w:rsidRPr="00487CAB" w:rsidRDefault="00E66160" w:rsidP="00C84EC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w:t>
            </w:r>
            <w:r w:rsidR="004B6320">
              <w:rPr>
                <w:snapToGrid w:val="0"/>
                <w:color w:val="000000"/>
                <w:sz w:val="19"/>
                <w:szCs w:val="19"/>
              </w:rPr>
              <w:t>,</w:t>
            </w:r>
            <w:r>
              <w:rPr>
                <w:snapToGrid w:val="0"/>
                <w:color w:val="000000"/>
                <w:sz w:val="19"/>
                <w:szCs w:val="19"/>
              </w:rPr>
              <w:t>183</w:t>
            </w:r>
          </w:p>
        </w:tc>
        <w:tc>
          <w:tcPr>
            <w:tcW w:w="1080" w:type="dxa"/>
            <w:tcBorders>
              <w:top w:val="single" w:sz="4" w:space="0" w:color="auto"/>
            </w:tcBorders>
          </w:tcPr>
          <w:p w14:paraId="4D335D8C" w14:textId="1C571786" w:rsidR="00E66160" w:rsidRPr="00487CAB" w:rsidRDefault="00E66160" w:rsidP="00C84EC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2,072,108</w:t>
            </w:r>
          </w:p>
        </w:tc>
        <w:tc>
          <w:tcPr>
            <w:tcW w:w="1080" w:type="dxa"/>
            <w:tcBorders>
              <w:top w:val="single" w:sz="4" w:space="0" w:color="auto"/>
            </w:tcBorders>
          </w:tcPr>
          <w:p w14:paraId="4698A664" w14:textId="77777777"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556,489</w:t>
            </w:r>
          </w:p>
        </w:tc>
        <w:tc>
          <w:tcPr>
            <w:tcW w:w="1170" w:type="dxa"/>
            <w:tcBorders>
              <w:top w:val="single" w:sz="4" w:space="0" w:color="auto"/>
            </w:tcBorders>
          </w:tcPr>
          <w:p w14:paraId="69341EB2" w14:textId="0A15BB0D"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556</w:t>
            </w:r>
          </w:p>
        </w:tc>
        <w:tc>
          <w:tcPr>
            <w:tcW w:w="1440" w:type="dxa"/>
            <w:tcBorders>
              <w:top w:val="single" w:sz="4" w:space="0" w:color="auto"/>
            </w:tcBorders>
          </w:tcPr>
          <w:p w14:paraId="0F8A80BD" w14:textId="542E2A33" w:rsidR="00E66160" w:rsidRPr="00487CAB" w:rsidRDefault="00E66160" w:rsidP="00C84EC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37,898,525</w:t>
            </w:r>
          </w:p>
        </w:tc>
        <w:tc>
          <w:tcPr>
            <w:tcW w:w="1350" w:type="dxa"/>
            <w:tcBorders>
              <w:top w:val="single" w:sz="4" w:space="0" w:color="auto"/>
            </w:tcBorders>
          </w:tcPr>
          <w:p w14:paraId="4F797F9E" w14:textId="7EB59100" w:rsidR="00E66160" w:rsidRPr="00487CAB" w:rsidRDefault="00E66160" w:rsidP="00C84EC5">
            <w:pPr>
              <w:tabs>
                <w:tab w:val="decimal" w:pos="1150"/>
                <w:tab w:val="left" w:pos="2340"/>
                <w:tab w:val="right" w:pos="9180"/>
              </w:tabs>
              <w:rPr>
                <w:snapToGrid w:val="0"/>
                <w:color w:val="000000"/>
                <w:sz w:val="19"/>
                <w:szCs w:val="19"/>
              </w:rPr>
            </w:pPr>
            <w:r w:rsidRPr="00487CAB">
              <w:rPr>
                <w:snapToGrid w:val="0"/>
                <w:color w:val="000000"/>
                <w:sz w:val="19"/>
                <w:szCs w:val="19"/>
              </w:rPr>
              <w:tab/>
              <w:t>(41,178,338)</w:t>
            </w:r>
          </w:p>
        </w:tc>
        <w:tc>
          <w:tcPr>
            <w:tcW w:w="1800" w:type="dxa"/>
            <w:tcBorders>
              <w:top w:val="single" w:sz="4" w:space="0" w:color="auto"/>
            </w:tcBorders>
          </w:tcPr>
          <w:p w14:paraId="0321A9A4" w14:textId="16889E72" w:rsidR="00E66160" w:rsidRPr="00487CAB" w:rsidRDefault="00E66160" w:rsidP="00C84EC5">
            <w:pPr>
              <w:tabs>
                <w:tab w:val="decimal" w:pos="1418"/>
                <w:tab w:val="right" w:pos="9180"/>
              </w:tabs>
              <w:rPr>
                <w:snapToGrid w:val="0"/>
                <w:color w:val="000000"/>
                <w:sz w:val="19"/>
                <w:szCs w:val="19"/>
              </w:rPr>
            </w:pPr>
            <w:r w:rsidRPr="00487CAB">
              <w:rPr>
                <w:snapToGrid w:val="0"/>
                <w:color w:val="000000"/>
                <w:sz w:val="19"/>
                <w:szCs w:val="19"/>
              </w:rPr>
              <w:tab/>
              <w:t>(1,207,149)</w:t>
            </w:r>
          </w:p>
        </w:tc>
      </w:tr>
      <w:tr w:rsidR="004B6320" w:rsidRPr="00487CAB" w14:paraId="7CE94CF5" w14:textId="77777777" w:rsidTr="00047BFF">
        <w:tc>
          <w:tcPr>
            <w:tcW w:w="4410" w:type="dxa"/>
          </w:tcPr>
          <w:p w14:paraId="1532DECA" w14:textId="662ADB27" w:rsidR="004B6320" w:rsidRPr="00487CAB" w:rsidRDefault="004B6320" w:rsidP="00047BFF">
            <w:pPr>
              <w:tabs>
                <w:tab w:val="left" w:pos="144"/>
                <w:tab w:val="left" w:pos="324"/>
                <w:tab w:val="right" w:pos="9180"/>
              </w:tabs>
              <w:rPr>
                <w:snapToGrid w:val="0"/>
                <w:color w:val="000000"/>
                <w:sz w:val="19"/>
                <w:szCs w:val="19"/>
              </w:rPr>
            </w:pPr>
            <w:bookmarkStart w:id="8" w:name="_Hlk22049147"/>
            <w:bookmarkEnd w:id="7"/>
            <w:r w:rsidRPr="00487CAB">
              <w:rPr>
                <w:snapToGrid w:val="0"/>
                <w:color w:val="000000"/>
                <w:sz w:val="19"/>
                <w:szCs w:val="19"/>
              </w:rPr>
              <w:tab/>
              <w:t>Sale of convertible preferred stock</w:t>
            </w:r>
            <w:r>
              <w:rPr>
                <w:snapToGrid w:val="0"/>
                <w:color w:val="000000"/>
                <w:sz w:val="19"/>
                <w:szCs w:val="19"/>
              </w:rPr>
              <w:t xml:space="preserve"> for cash</w:t>
            </w:r>
          </w:p>
        </w:tc>
        <w:tc>
          <w:tcPr>
            <w:tcW w:w="1260" w:type="dxa"/>
          </w:tcPr>
          <w:p w14:paraId="5B99AB85" w14:textId="513DA4F3" w:rsidR="004B6320" w:rsidRPr="00487CAB" w:rsidRDefault="004B6320" w:rsidP="00047BFF">
            <w:pPr>
              <w:tabs>
                <w:tab w:val="decimal" w:pos="917"/>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500</w:t>
            </w:r>
          </w:p>
        </w:tc>
        <w:tc>
          <w:tcPr>
            <w:tcW w:w="1080" w:type="dxa"/>
          </w:tcPr>
          <w:p w14:paraId="3155F9BD" w14:textId="0186EA3E" w:rsidR="004B6320" w:rsidRPr="00487CAB" w:rsidRDefault="004B6320" w:rsidP="00047BFF">
            <w:pPr>
              <w:tabs>
                <w:tab w:val="decimal" w:pos="798"/>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438,700</w:t>
            </w:r>
          </w:p>
        </w:tc>
        <w:tc>
          <w:tcPr>
            <w:tcW w:w="1080" w:type="dxa"/>
          </w:tcPr>
          <w:p w14:paraId="4A5A9B21" w14:textId="0DF1CC09"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10FE282B" w14:textId="102D3629"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0157B1AC" w14:textId="15367632"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61,300</w:t>
            </w:r>
          </w:p>
        </w:tc>
        <w:tc>
          <w:tcPr>
            <w:tcW w:w="1350" w:type="dxa"/>
          </w:tcPr>
          <w:p w14:paraId="1C47C1DE" w14:textId="1D1B9845" w:rsidR="004B6320" w:rsidRPr="00487CAB" w:rsidRDefault="004B6320" w:rsidP="00047BFF">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07E525D7" w14:textId="6ABD6B8D" w:rsidR="004B6320" w:rsidRPr="00487CAB" w:rsidRDefault="004B6320" w:rsidP="00047BFF">
            <w:pPr>
              <w:tabs>
                <w:tab w:val="decimal" w:pos="1418"/>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500,000</w:t>
            </w:r>
          </w:p>
        </w:tc>
      </w:tr>
      <w:tr w:rsidR="004B6320" w:rsidRPr="00487CAB" w14:paraId="0B639CC2" w14:textId="77777777" w:rsidTr="00047BFF">
        <w:tc>
          <w:tcPr>
            <w:tcW w:w="4410" w:type="dxa"/>
          </w:tcPr>
          <w:p w14:paraId="0494CB20" w14:textId="77777777" w:rsidR="004B6320" w:rsidRPr="00487CAB" w:rsidRDefault="004B6320" w:rsidP="00047BFF">
            <w:pPr>
              <w:tabs>
                <w:tab w:val="left" w:pos="144"/>
                <w:tab w:val="left" w:pos="324"/>
                <w:tab w:val="right" w:pos="9180"/>
              </w:tabs>
              <w:rPr>
                <w:snapToGrid w:val="0"/>
                <w:color w:val="000000"/>
                <w:sz w:val="19"/>
                <w:szCs w:val="19"/>
              </w:rPr>
            </w:pPr>
            <w:r w:rsidRPr="00487CAB">
              <w:rPr>
                <w:snapToGrid w:val="0"/>
                <w:color w:val="000000"/>
                <w:sz w:val="19"/>
                <w:szCs w:val="19"/>
              </w:rPr>
              <w:tab/>
              <w:t>Conversion of preferred stock to common stock</w:t>
            </w:r>
          </w:p>
        </w:tc>
        <w:tc>
          <w:tcPr>
            <w:tcW w:w="1260" w:type="dxa"/>
          </w:tcPr>
          <w:p w14:paraId="5B414225" w14:textId="1B0C2DDE" w:rsidR="004B6320" w:rsidRPr="00487CAB" w:rsidRDefault="004B6320" w:rsidP="00047BFF">
            <w:pPr>
              <w:tabs>
                <w:tab w:val="decimal" w:pos="917"/>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(281)</w:t>
            </w:r>
          </w:p>
        </w:tc>
        <w:tc>
          <w:tcPr>
            <w:tcW w:w="1080" w:type="dxa"/>
          </w:tcPr>
          <w:p w14:paraId="71937621" w14:textId="17BF09EB" w:rsidR="004B6320" w:rsidRPr="00487CAB" w:rsidRDefault="004B6320" w:rsidP="00047BFF">
            <w:pPr>
              <w:tabs>
                <w:tab w:val="decimal" w:pos="798"/>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(172,941)</w:t>
            </w:r>
          </w:p>
        </w:tc>
        <w:tc>
          <w:tcPr>
            <w:tcW w:w="1080" w:type="dxa"/>
          </w:tcPr>
          <w:p w14:paraId="4127D762" w14:textId="0E6E4F72"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253,300</w:t>
            </w:r>
          </w:p>
        </w:tc>
        <w:tc>
          <w:tcPr>
            <w:tcW w:w="1170" w:type="dxa"/>
          </w:tcPr>
          <w:p w14:paraId="307EAD22" w14:textId="74226754"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25</w:t>
            </w:r>
            <w:r w:rsidR="00176E63">
              <w:rPr>
                <w:snapToGrid w:val="0"/>
                <w:color w:val="000000"/>
                <w:sz w:val="19"/>
                <w:szCs w:val="19"/>
              </w:rPr>
              <w:t>4</w:t>
            </w:r>
          </w:p>
        </w:tc>
        <w:tc>
          <w:tcPr>
            <w:tcW w:w="1440" w:type="dxa"/>
          </w:tcPr>
          <w:p w14:paraId="06C4C5BA" w14:textId="2B89BB41"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172,68</w:t>
            </w:r>
            <w:r w:rsidR="00176E63">
              <w:rPr>
                <w:snapToGrid w:val="0"/>
                <w:color w:val="000000"/>
                <w:sz w:val="19"/>
                <w:szCs w:val="19"/>
              </w:rPr>
              <w:t>7</w:t>
            </w:r>
          </w:p>
        </w:tc>
        <w:tc>
          <w:tcPr>
            <w:tcW w:w="1350" w:type="dxa"/>
          </w:tcPr>
          <w:p w14:paraId="45E211EA" w14:textId="77777777" w:rsidR="004B6320" w:rsidRPr="00487CAB" w:rsidRDefault="004B6320" w:rsidP="00047BFF">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0CD61155" w14:textId="77777777" w:rsidR="004B6320" w:rsidRPr="00487CAB" w:rsidRDefault="004B6320" w:rsidP="00047BFF">
            <w:pPr>
              <w:tabs>
                <w:tab w:val="decimal" w:pos="1418"/>
                <w:tab w:val="right" w:pos="9180"/>
              </w:tabs>
              <w:rPr>
                <w:snapToGrid w:val="0"/>
                <w:color w:val="000000"/>
                <w:sz w:val="19"/>
                <w:szCs w:val="19"/>
              </w:rPr>
            </w:pPr>
            <w:r w:rsidRPr="00487CAB">
              <w:rPr>
                <w:snapToGrid w:val="0"/>
                <w:color w:val="000000"/>
                <w:sz w:val="19"/>
                <w:szCs w:val="19"/>
              </w:rPr>
              <w:tab/>
              <w:t>-</w:t>
            </w:r>
          </w:p>
        </w:tc>
      </w:tr>
      <w:tr w:rsidR="004B6320" w:rsidRPr="00487CAB" w14:paraId="4E7ACE61" w14:textId="77777777" w:rsidTr="00047BFF">
        <w:tc>
          <w:tcPr>
            <w:tcW w:w="4410" w:type="dxa"/>
          </w:tcPr>
          <w:p w14:paraId="07817EC5" w14:textId="77777777" w:rsidR="004B6320" w:rsidRPr="00487CAB" w:rsidRDefault="004B6320" w:rsidP="00047BFF">
            <w:pPr>
              <w:tabs>
                <w:tab w:val="left" w:pos="144"/>
                <w:tab w:val="left" w:pos="324"/>
                <w:tab w:val="right" w:pos="9180"/>
              </w:tabs>
              <w:rPr>
                <w:snapToGrid w:val="0"/>
                <w:color w:val="000000"/>
                <w:sz w:val="19"/>
                <w:szCs w:val="19"/>
              </w:rPr>
            </w:pPr>
            <w:r w:rsidRPr="00487CAB">
              <w:rPr>
                <w:snapToGrid w:val="0"/>
                <w:color w:val="000000"/>
                <w:sz w:val="19"/>
                <w:szCs w:val="19"/>
              </w:rPr>
              <w:tab/>
              <w:t>Fractional shares issuable upon reverse stock split</w:t>
            </w:r>
          </w:p>
        </w:tc>
        <w:tc>
          <w:tcPr>
            <w:tcW w:w="1260" w:type="dxa"/>
          </w:tcPr>
          <w:p w14:paraId="0DE8F933" w14:textId="77777777" w:rsidR="004B6320" w:rsidRPr="00487CAB" w:rsidRDefault="004B6320" w:rsidP="00047BFF">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3DACE4C1" w14:textId="77777777" w:rsidR="004B6320" w:rsidRPr="00487CAB" w:rsidRDefault="004B6320" w:rsidP="00047BFF">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2CD0A80A" w14:textId="03376106"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5BCB5EFF" w14:textId="77777777"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240854E6" w14:textId="77777777"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Pr>
          <w:p w14:paraId="6EADC37C" w14:textId="77777777" w:rsidR="004B6320" w:rsidRPr="00487CAB" w:rsidRDefault="004B6320" w:rsidP="00047BFF">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1B315446" w14:textId="77777777" w:rsidR="004B6320" w:rsidRPr="00487CAB" w:rsidRDefault="004B6320" w:rsidP="00047BFF">
            <w:pPr>
              <w:tabs>
                <w:tab w:val="decimal" w:pos="1418"/>
                <w:tab w:val="right" w:pos="9180"/>
              </w:tabs>
              <w:rPr>
                <w:snapToGrid w:val="0"/>
                <w:color w:val="000000"/>
                <w:sz w:val="19"/>
                <w:szCs w:val="19"/>
              </w:rPr>
            </w:pPr>
            <w:r w:rsidRPr="00487CAB">
              <w:rPr>
                <w:snapToGrid w:val="0"/>
                <w:color w:val="000000"/>
                <w:sz w:val="19"/>
                <w:szCs w:val="19"/>
              </w:rPr>
              <w:tab/>
              <w:t>-</w:t>
            </w:r>
          </w:p>
        </w:tc>
      </w:tr>
      <w:tr w:rsidR="00DC20F0" w:rsidRPr="00487CAB" w14:paraId="25E93604" w14:textId="77777777" w:rsidTr="00047BFF">
        <w:tc>
          <w:tcPr>
            <w:tcW w:w="4410" w:type="dxa"/>
          </w:tcPr>
          <w:p w14:paraId="763CA138" w14:textId="423EFF18" w:rsidR="00DC20F0" w:rsidRPr="00487CAB" w:rsidRDefault="00DC20F0" w:rsidP="00047BFF">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260" w:type="dxa"/>
          </w:tcPr>
          <w:p w14:paraId="0F01E3CC" w14:textId="166445C6" w:rsidR="00DC20F0" w:rsidRPr="00487CAB" w:rsidRDefault="00DC20F0" w:rsidP="00047BFF">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Pr>
          <w:p w14:paraId="568CC5BA" w14:textId="5BA7A78B" w:rsidR="00DC20F0" w:rsidRPr="00487CAB" w:rsidRDefault="00DC20F0" w:rsidP="00047BFF">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718A4862" w14:textId="40AA937B" w:rsidR="00DC20F0" w:rsidRPr="00487CAB" w:rsidRDefault="00DC20F0" w:rsidP="00047BFF">
            <w:pPr>
              <w:tabs>
                <w:tab w:val="decimal" w:pos="1148"/>
                <w:tab w:val="decimal" w:pos="1422"/>
                <w:tab w:val="left" w:pos="2340"/>
                <w:tab w:val="right" w:pos="9180"/>
              </w:tabs>
              <w:rPr>
                <w:snapToGrid w:val="0"/>
                <w:color w:val="000000"/>
                <w:sz w:val="19"/>
                <w:szCs w:val="19"/>
              </w:rPr>
            </w:pPr>
            <w:r>
              <w:rPr>
                <w:snapToGrid w:val="0"/>
                <w:color w:val="000000"/>
                <w:sz w:val="19"/>
                <w:szCs w:val="19"/>
              </w:rPr>
              <w:tab/>
              <w:t>4,127</w:t>
            </w:r>
          </w:p>
        </w:tc>
        <w:tc>
          <w:tcPr>
            <w:tcW w:w="1170" w:type="dxa"/>
          </w:tcPr>
          <w:p w14:paraId="6107D34E" w14:textId="792735EE" w:rsidR="00DC20F0" w:rsidRPr="00487CAB" w:rsidRDefault="00DC20F0" w:rsidP="00047BFF">
            <w:pPr>
              <w:tabs>
                <w:tab w:val="decimal" w:pos="1148"/>
                <w:tab w:val="decimal" w:pos="1422"/>
                <w:tab w:val="left" w:pos="2340"/>
                <w:tab w:val="right" w:pos="9180"/>
              </w:tabs>
              <w:rPr>
                <w:snapToGrid w:val="0"/>
                <w:color w:val="000000"/>
                <w:sz w:val="19"/>
                <w:szCs w:val="19"/>
              </w:rPr>
            </w:pPr>
            <w:r>
              <w:rPr>
                <w:snapToGrid w:val="0"/>
                <w:color w:val="000000"/>
                <w:sz w:val="19"/>
                <w:szCs w:val="19"/>
              </w:rPr>
              <w:tab/>
              <w:t>4</w:t>
            </w:r>
          </w:p>
        </w:tc>
        <w:tc>
          <w:tcPr>
            <w:tcW w:w="1440" w:type="dxa"/>
          </w:tcPr>
          <w:p w14:paraId="04425359" w14:textId="2BFC1D95" w:rsidR="00DC20F0" w:rsidRPr="00487CAB" w:rsidRDefault="00DC20F0" w:rsidP="00047BFF">
            <w:pPr>
              <w:tabs>
                <w:tab w:val="decimal" w:pos="1148"/>
                <w:tab w:val="decimal" w:pos="1422"/>
                <w:tab w:val="left" w:pos="2340"/>
                <w:tab w:val="right" w:pos="9180"/>
              </w:tabs>
              <w:rPr>
                <w:snapToGrid w:val="0"/>
                <w:color w:val="000000"/>
                <w:sz w:val="19"/>
                <w:szCs w:val="19"/>
              </w:rPr>
            </w:pPr>
            <w:r>
              <w:rPr>
                <w:snapToGrid w:val="0"/>
                <w:color w:val="000000"/>
                <w:sz w:val="19"/>
                <w:szCs w:val="19"/>
              </w:rPr>
              <w:tab/>
              <w:t>5,996</w:t>
            </w:r>
          </w:p>
        </w:tc>
        <w:tc>
          <w:tcPr>
            <w:tcW w:w="1350" w:type="dxa"/>
          </w:tcPr>
          <w:p w14:paraId="7F84220B" w14:textId="7D567603" w:rsidR="00DC20F0" w:rsidRPr="00487CAB" w:rsidRDefault="00DC20F0" w:rsidP="00047BFF">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0B1B005A" w14:textId="179EBC60" w:rsidR="00DC20F0" w:rsidRPr="00487CAB" w:rsidRDefault="00DC20F0" w:rsidP="00047BFF">
            <w:pPr>
              <w:tabs>
                <w:tab w:val="decimal" w:pos="1418"/>
                <w:tab w:val="right" w:pos="9180"/>
              </w:tabs>
              <w:rPr>
                <w:snapToGrid w:val="0"/>
                <w:color w:val="000000"/>
                <w:sz w:val="19"/>
                <w:szCs w:val="19"/>
              </w:rPr>
            </w:pPr>
            <w:r>
              <w:rPr>
                <w:snapToGrid w:val="0"/>
                <w:color w:val="000000"/>
                <w:sz w:val="19"/>
                <w:szCs w:val="19"/>
              </w:rPr>
              <w:tab/>
              <w:t>6,000</w:t>
            </w:r>
          </w:p>
        </w:tc>
      </w:tr>
      <w:tr w:rsidR="004B6320" w:rsidRPr="00487CAB" w14:paraId="0A3841E2" w14:textId="77777777" w:rsidTr="00047BFF">
        <w:tc>
          <w:tcPr>
            <w:tcW w:w="4410" w:type="dxa"/>
          </w:tcPr>
          <w:p w14:paraId="584C4DFB" w14:textId="15D66AE8" w:rsidR="004B6320" w:rsidRPr="00487CAB" w:rsidRDefault="004B6320" w:rsidP="00047BFF">
            <w:pPr>
              <w:tabs>
                <w:tab w:val="left" w:pos="144"/>
                <w:tab w:val="left" w:pos="324"/>
                <w:tab w:val="right" w:pos="9180"/>
              </w:tabs>
              <w:rPr>
                <w:snapToGrid w:val="0"/>
                <w:color w:val="000000"/>
                <w:sz w:val="19"/>
                <w:szCs w:val="19"/>
              </w:rPr>
            </w:pPr>
            <w:r w:rsidRPr="00487CAB">
              <w:rPr>
                <w:snapToGrid w:val="0"/>
                <w:color w:val="000000"/>
                <w:sz w:val="19"/>
                <w:szCs w:val="19"/>
              </w:rPr>
              <w:tab/>
              <w:t>Stock</w:t>
            </w:r>
            <w:r w:rsidR="00085756">
              <w:rPr>
                <w:snapToGrid w:val="0"/>
                <w:color w:val="000000"/>
                <w:sz w:val="19"/>
                <w:szCs w:val="19"/>
              </w:rPr>
              <w:t xml:space="preserve"> option</w:t>
            </w:r>
            <w:r w:rsidRPr="00487CAB">
              <w:rPr>
                <w:snapToGrid w:val="0"/>
                <w:color w:val="000000"/>
                <w:sz w:val="19"/>
                <w:szCs w:val="19"/>
              </w:rPr>
              <w:t xml:space="preserve"> expense</w:t>
            </w:r>
          </w:p>
        </w:tc>
        <w:tc>
          <w:tcPr>
            <w:tcW w:w="1260" w:type="dxa"/>
          </w:tcPr>
          <w:p w14:paraId="025881DC" w14:textId="77777777" w:rsidR="004B6320" w:rsidRPr="00487CAB" w:rsidRDefault="004B6320" w:rsidP="00047BFF">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187A8913" w14:textId="77777777" w:rsidR="004B6320" w:rsidRPr="00487CAB" w:rsidRDefault="004B6320" w:rsidP="00047BFF">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2FE96191" w14:textId="77777777"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2750C2FB" w14:textId="77777777"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6054DFB6" w14:textId="49FCB9DA"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26,664</w:t>
            </w:r>
          </w:p>
        </w:tc>
        <w:tc>
          <w:tcPr>
            <w:tcW w:w="1350" w:type="dxa"/>
          </w:tcPr>
          <w:p w14:paraId="331742BA" w14:textId="77777777" w:rsidR="004B6320" w:rsidRPr="00487CAB" w:rsidRDefault="004B6320" w:rsidP="00047BFF">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1E67ABD8" w14:textId="7D6283EA" w:rsidR="004B6320" w:rsidRPr="00487CAB" w:rsidRDefault="004B6320" w:rsidP="00047BFF">
            <w:pPr>
              <w:tabs>
                <w:tab w:val="decimal" w:pos="1418"/>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26,664</w:t>
            </w:r>
          </w:p>
        </w:tc>
      </w:tr>
      <w:tr w:rsidR="004B6320" w:rsidRPr="00487CAB" w14:paraId="735AF418" w14:textId="77777777" w:rsidTr="0019075D">
        <w:tc>
          <w:tcPr>
            <w:tcW w:w="4410" w:type="dxa"/>
          </w:tcPr>
          <w:p w14:paraId="2B44285C" w14:textId="533F7491" w:rsidR="004B6320" w:rsidRPr="00487CAB" w:rsidRDefault="004B6320" w:rsidP="00047BFF">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2019</w:t>
            </w:r>
          </w:p>
        </w:tc>
        <w:tc>
          <w:tcPr>
            <w:tcW w:w="1260" w:type="dxa"/>
            <w:tcBorders>
              <w:bottom w:val="single" w:sz="4" w:space="0" w:color="auto"/>
            </w:tcBorders>
          </w:tcPr>
          <w:p w14:paraId="70CD202B" w14:textId="77777777" w:rsidR="004B6320" w:rsidRPr="00487CAB" w:rsidRDefault="004B6320" w:rsidP="00047BFF">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08580E28" w14:textId="77777777" w:rsidR="004B6320" w:rsidRPr="00487CAB" w:rsidRDefault="004B6320" w:rsidP="00047BFF">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3523C3D0" w14:textId="77777777"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381BCDA4" w14:textId="77777777"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1DACE692" w14:textId="77777777"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D16284A" w14:textId="634462F3" w:rsidR="004B6320" w:rsidRPr="00176E63" w:rsidRDefault="004B6320" w:rsidP="00047BFF">
            <w:pPr>
              <w:tabs>
                <w:tab w:val="decimal" w:pos="1150"/>
                <w:tab w:val="left" w:pos="2340"/>
                <w:tab w:val="right" w:pos="9180"/>
              </w:tabs>
              <w:rPr>
                <w:snapToGrid w:val="0"/>
                <w:color w:val="000000"/>
                <w:sz w:val="19"/>
                <w:szCs w:val="19"/>
              </w:rPr>
            </w:pPr>
            <w:r w:rsidRPr="00176E63">
              <w:rPr>
                <w:snapToGrid w:val="0"/>
                <w:color w:val="000000"/>
                <w:sz w:val="19"/>
                <w:szCs w:val="19"/>
              </w:rPr>
              <w:tab/>
            </w:r>
            <w:r w:rsidR="00176E63" w:rsidRPr="00176E63">
              <w:rPr>
                <w:snapToGrid w:val="0"/>
                <w:color w:val="000000"/>
                <w:sz w:val="19"/>
                <w:szCs w:val="19"/>
              </w:rPr>
              <w:t>(654,148)</w:t>
            </w:r>
          </w:p>
        </w:tc>
        <w:tc>
          <w:tcPr>
            <w:tcW w:w="1800" w:type="dxa"/>
            <w:tcBorders>
              <w:bottom w:val="single" w:sz="4" w:space="0" w:color="auto"/>
            </w:tcBorders>
          </w:tcPr>
          <w:p w14:paraId="261449AB" w14:textId="315342BD" w:rsidR="004B6320" w:rsidRPr="00176E63" w:rsidRDefault="004B6320" w:rsidP="00047BFF">
            <w:pPr>
              <w:tabs>
                <w:tab w:val="decimal" w:pos="1418"/>
                <w:tab w:val="right" w:pos="9180"/>
              </w:tabs>
              <w:rPr>
                <w:snapToGrid w:val="0"/>
                <w:color w:val="000000"/>
                <w:sz w:val="19"/>
                <w:szCs w:val="19"/>
              </w:rPr>
            </w:pPr>
            <w:r w:rsidRPr="00176E63">
              <w:rPr>
                <w:snapToGrid w:val="0"/>
                <w:color w:val="000000"/>
                <w:sz w:val="19"/>
                <w:szCs w:val="19"/>
              </w:rPr>
              <w:tab/>
            </w:r>
            <w:r w:rsidR="00176E63" w:rsidRPr="00176E63">
              <w:rPr>
                <w:snapToGrid w:val="0"/>
                <w:color w:val="000000"/>
                <w:sz w:val="19"/>
                <w:szCs w:val="19"/>
              </w:rPr>
              <w:t>(654,148)</w:t>
            </w:r>
          </w:p>
        </w:tc>
      </w:tr>
      <w:tr w:rsidR="004B6320" w:rsidRPr="00487CAB" w14:paraId="3F90B2CF" w14:textId="77777777" w:rsidTr="0019075D">
        <w:tc>
          <w:tcPr>
            <w:tcW w:w="4410" w:type="dxa"/>
          </w:tcPr>
          <w:p w14:paraId="035327CC" w14:textId="49DB4831" w:rsidR="004B6320" w:rsidRPr="00487CAB" w:rsidRDefault="004B6320" w:rsidP="00047BFF">
            <w:pPr>
              <w:tabs>
                <w:tab w:val="left" w:pos="144"/>
                <w:tab w:val="left" w:pos="324"/>
                <w:tab w:val="right" w:pos="9180"/>
              </w:tabs>
              <w:rPr>
                <w:snapToGrid w:val="0"/>
                <w:color w:val="000000"/>
                <w:sz w:val="19"/>
                <w:szCs w:val="19"/>
              </w:rPr>
            </w:pPr>
            <w:r w:rsidRPr="00487CAB">
              <w:rPr>
                <w:snapToGrid w:val="0"/>
                <w:color w:val="000000"/>
                <w:sz w:val="19"/>
                <w:szCs w:val="19"/>
              </w:rPr>
              <w:t xml:space="preserve">Balance at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2019</w:t>
            </w:r>
          </w:p>
        </w:tc>
        <w:tc>
          <w:tcPr>
            <w:tcW w:w="1260" w:type="dxa"/>
            <w:tcBorders>
              <w:top w:val="single" w:sz="4" w:space="0" w:color="auto"/>
            </w:tcBorders>
          </w:tcPr>
          <w:p w14:paraId="282A5FF4" w14:textId="10581398" w:rsidR="004B6320" w:rsidRPr="00487CAB" w:rsidRDefault="004B6320" w:rsidP="00047BFF">
            <w:pPr>
              <w:tabs>
                <w:tab w:val="decimal" w:pos="917"/>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3,402</w:t>
            </w:r>
          </w:p>
        </w:tc>
        <w:tc>
          <w:tcPr>
            <w:tcW w:w="1080" w:type="dxa"/>
            <w:tcBorders>
              <w:top w:val="single" w:sz="4" w:space="0" w:color="auto"/>
            </w:tcBorders>
          </w:tcPr>
          <w:p w14:paraId="7CAFD8E0" w14:textId="75556D9C" w:rsidR="004B6320" w:rsidRPr="00487CAB" w:rsidRDefault="00DC20F0" w:rsidP="00047BFF">
            <w:pPr>
              <w:tabs>
                <w:tab w:val="decimal" w:pos="798"/>
                <w:tab w:val="left" w:pos="2340"/>
                <w:tab w:val="right" w:pos="9180"/>
              </w:tabs>
              <w:rPr>
                <w:snapToGrid w:val="0"/>
                <w:color w:val="000000"/>
                <w:sz w:val="19"/>
                <w:szCs w:val="19"/>
              </w:rPr>
            </w:pPr>
            <w:r>
              <w:rPr>
                <w:snapToGrid w:val="0"/>
                <w:color w:val="000000"/>
                <w:sz w:val="19"/>
                <w:szCs w:val="19"/>
              </w:rPr>
              <w:t>2,337,867</w:t>
            </w:r>
          </w:p>
        </w:tc>
        <w:tc>
          <w:tcPr>
            <w:tcW w:w="1080" w:type="dxa"/>
            <w:tcBorders>
              <w:top w:val="single" w:sz="4" w:space="0" w:color="auto"/>
            </w:tcBorders>
          </w:tcPr>
          <w:p w14:paraId="011FF3ED" w14:textId="7A3EA753" w:rsidR="004B6320" w:rsidRPr="00487CAB" w:rsidRDefault="004B6320" w:rsidP="00047BF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DC20F0">
              <w:rPr>
                <w:snapToGrid w:val="0"/>
                <w:color w:val="000000"/>
                <w:sz w:val="19"/>
                <w:szCs w:val="19"/>
              </w:rPr>
              <w:t>813,916</w:t>
            </w:r>
          </w:p>
        </w:tc>
        <w:tc>
          <w:tcPr>
            <w:tcW w:w="1170" w:type="dxa"/>
            <w:tcBorders>
              <w:top w:val="single" w:sz="4" w:space="0" w:color="auto"/>
            </w:tcBorders>
          </w:tcPr>
          <w:p w14:paraId="41DD89F6" w14:textId="70FBCF32" w:rsidR="004B6320" w:rsidRPr="00176E63" w:rsidRDefault="004B6320" w:rsidP="00047BFF">
            <w:pPr>
              <w:tabs>
                <w:tab w:val="decimal" w:pos="1148"/>
                <w:tab w:val="decimal" w:pos="1422"/>
                <w:tab w:val="left" w:pos="2340"/>
                <w:tab w:val="right" w:pos="9180"/>
              </w:tabs>
              <w:rPr>
                <w:snapToGrid w:val="0"/>
                <w:color w:val="000000"/>
                <w:sz w:val="19"/>
                <w:szCs w:val="19"/>
              </w:rPr>
            </w:pPr>
            <w:r w:rsidRPr="00176E63">
              <w:rPr>
                <w:snapToGrid w:val="0"/>
                <w:color w:val="000000"/>
                <w:sz w:val="19"/>
                <w:szCs w:val="19"/>
              </w:rPr>
              <w:tab/>
            </w:r>
            <w:r w:rsidR="00DC20F0" w:rsidRPr="00176E63">
              <w:rPr>
                <w:snapToGrid w:val="0"/>
                <w:color w:val="000000"/>
                <w:sz w:val="19"/>
                <w:szCs w:val="19"/>
              </w:rPr>
              <w:t>81</w:t>
            </w:r>
            <w:r w:rsidR="00176E63" w:rsidRPr="00176E63">
              <w:rPr>
                <w:snapToGrid w:val="0"/>
                <w:color w:val="000000"/>
                <w:sz w:val="19"/>
                <w:szCs w:val="19"/>
              </w:rPr>
              <w:t>4</w:t>
            </w:r>
          </w:p>
        </w:tc>
        <w:tc>
          <w:tcPr>
            <w:tcW w:w="1440" w:type="dxa"/>
            <w:tcBorders>
              <w:top w:val="single" w:sz="4" w:space="0" w:color="auto"/>
            </w:tcBorders>
          </w:tcPr>
          <w:p w14:paraId="6B028B6A" w14:textId="07489E57" w:rsidR="004B6320" w:rsidRPr="00176E63" w:rsidRDefault="004B6320" w:rsidP="00047BFF">
            <w:pPr>
              <w:tabs>
                <w:tab w:val="decimal" w:pos="1148"/>
                <w:tab w:val="decimal" w:pos="1422"/>
                <w:tab w:val="left" w:pos="2340"/>
                <w:tab w:val="right" w:pos="9180"/>
              </w:tabs>
              <w:rPr>
                <w:snapToGrid w:val="0"/>
                <w:color w:val="000000"/>
                <w:sz w:val="19"/>
                <w:szCs w:val="19"/>
              </w:rPr>
            </w:pPr>
            <w:r w:rsidRPr="00176E63">
              <w:rPr>
                <w:snapToGrid w:val="0"/>
                <w:color w:val="000000"/>
                <w:sz w:val="19"/>
                <w:szCs w:val="19"/>
              </w:rPr>
              <w:tab/>
            </w:r>
            <w:r w:rsidR="00DC20F0" w:rsidRPr="00176E63">
              <w:rPr>
                <w:snapToGrid w:val="0"/>
                <w:color w:val="000000"/>
                <w:sz w:val="19"/>
                <w:szCs w:val="19"/>
              </w:rPr>
              <w:t>38,165,17</w:t>
            </w:r>
            <w:r w:rsidR="00176E63" w:rsidRPr="00176E63">
              <w:rPr>
                <w:snapToGrid w:val="0"/>
                <w:color w:val="000000"/>
                <w:sz w:val="19"/>
                <w:szCs w:val="19"/>
              </w:rPr>
              <w:t>2</w:t>
            </w:r>
          </w:p>
        </w:tc>
        <w:tc>
          <w:tcPr>
            <w:tcW w:w="1350" w:type="dxa"/>
            <w:tcBorders>
              <w:top w:val="single" w:sz="4" w:space="0" w:color="auto"/>
            </w:tcBorders>
          </w:tcPr>
          <w:p w14:paraId="5BAB6023" w14:textId="07EF15BF" w:rsidR="004B6320" w:rsidRPr="00176E63" w:rsidRDefault="004B6320" w:rsidP="00047BFF">
            <w:pPr>
              <w:tabs>
                <w:tab w:val="decimal" w:pos="1150"/>
                <w:tab w:val="left" w:pos="2340"/>
                <w:tab w:val="right" w:pos="9180"/>
              </w:tabs>
              <w:rPr>
                <w:snapToGrid w:val="0"/>
                <w:color w:val="000000"/>
                <w:sz w:val="19"/>
                <w:szCs w:val="19"/>
              </w:rPr>
            </w:pPr>
            <w:r w:rsidRPr="00176E63">
              <w:rPr>
                <w:snapToGrid w:val="0"/>
                <w:color w:val="000000"/>
                <w:sz w:val="19"/>
                <w:szCs w:val="19"/>
              </w:rPr>
              <w:tab/>
            </w:r>
            <w:r w:rsidR="00176E63" w:rsidRPr="00176E63">
              <w:rPr>
                <w:snapToGrid w:val="0"/>
                <w:color w:val="000000"/>
                <w:sz w:val="19"/>
                <w:szCs w:val="19"/>
              </w:rPr>
              <w:t>(41,832,486)</w:t>
            </w:r>
          </w:p>
        </w:tc>
        <w:tc>
          <w:tcPr>
            <w:tcW w:w="1800" w:type="dxa"/>
            <w:tcBorders>
              <w:top w:val="single" w:sz="4" w:space="0" w:color="auto"/>
            </w:tcBorders>
          </w:tcPr>
          <w:p w14:paraId="5893F7A7" w14:textId="7A220551" w:rsidR="004B6320" w:rsidRPr="00176E63" w:rsidRDefault="004B6320" w:rsidP="00047BFF">
            <w:pPr>
              <w:tabs>
                <w:tab w:val="decimal" w:pos="1418"/>
                <w:tab w:val="right" w:pos="9180"/>
              </w:tabs>
              <w:rPr>
                <w:snapToGrid w:val="0"/>
                <w:color w:val="000000"/>
                <w:sz w:val="19"/>
                <w:szCs w:val="19"/>
              </w:rPr>
            </w:pPr>
            <w:r w:rsidRPr="00176E63">
              <w:rPr>
                <w:snapToGrid w:val="0"/>
                <w:color w:val="000000"/>
                <w:sz w:val="19"/>
                <w:szCs w:val="19"/>
              </w:rPr>
              <w:tab/>
            </w:r>
            <w:r w:rsidR="00176E63" w:rsidRPr="00176E63">
              <w:rPr>
                <w:snapToGrid w:val="0"/>
                <w:color w:val="000000"/>
                <w:sz w:val="19"/>
                <w:szCs w:val="19"/>
              </w:rPr>
              <w:t>(1,328,633)</w:t>
            </w:r>
          </w:p>
        </w:tc>
      </w:tr>
      <w:bookmarkEnd w:id="8"/>
      <w:tr w:rsidR="00C571EA" w:rsidRPr="00487CAB" w14:paraId="72E288D5" w14:textId="77777777" w:rsidTr="0019075D">
        <w:tc>
          <w:tcPr>
            <w:tcW w:w="4410" w:type="dxa"/>
          </w:tcPr>
          <w:p w14:paraId="5E4E5CE1" w14:textId="77777777" w:rsidR="00C571EA" w:rsidRPr="00487CAB" w:rsidRDefault="00C571EA" w:rsidP="00737AB3">
            <w:pPr>
              <w:tabs>
                <w:tab w:val="left" w:pos="144"/>
                <w:tab w:val="left" w:pos="324"/>
                <w:tab w:val="right" w:pos="9180"/>
              </w:tabs>
              <w:rPr>
                <w:snapToGrid w:val="0"/>
                <w:color w:val="000000"/>
                <w:sz w:val="19"/>
                <w:szCs w:val="19"/>
              </w:rPr>
            </w:pPr>
            <w:r w:rsidRPr="00487CAB">
              <w:rPr>
                <w:snapToGrid w:val="0"/>
                <w:color w:val="000000"/>
                <w:sz w:val="19"/>
                <w:szCs w:val="19"/>
              </w:rPr>
              <w:tab/>
              <w:t>Sale of convertible preferred stock</w:t>
            </w:r>
            <w:r>
              <w:rPr>
                <w:snapToGrid w:val="0"/>
                <w:color w:val="000000"/>
                <w:sz w:val="19"/>
                <w:szCs w:val="19"/>
              </w:rPr>
              <w:t xml:space="preserve"> for cash</w:t>
            </w:r>
          </w:p>
        </w:tc>
        <w:tc>
          <w:tcPr>
            <w:tcW w:w="1260" w:type="dxa"/>
          </w:tcPr>
          <w:p w14:paraId="7F4E1DB8" w14:textId="14D2DDD0" w:rsidR="00C571EA" w:rsidRPr="00487CAB" w:rsidRDefault="00C571EA" w:rsidP="00737AB3">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700</w:t>
            </w:r>
          </w:p>
        </w:tc>
        <w:tc>
          <w:tcPr>
            <w:tcW w:w="1080" w:type="dxa"/>
          </w:tcPr>
          <w:p w14:paraId="72D710F4" w14:textId="12A5BD0A" w:rsidR="00C571EA" w:rsidRPr="00487CAB" w:rsidRDefault="00C571EA" w:rsidP="00737AB3">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700,000</w:t>
            </w:r>
          </w:p>
        </w:tc>
        <w:tc>
          <w:tcPr>
            <w:tcW w:w="1080" w:type="dxa"/>
          </w:tcPr>
          <w:p w14:paraId="3FB25D3F"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38B0166D"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56591396" w14:textId="10251C73"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350" w:type="dxa"/>
          </w:tcPr>
          <w:p w14:paraId="32513FFA" w14:textId="77777777" w:rsidR="00C571EA" w:rsidRPr="00487CAB" w:rsidRDefault="00C571EA" w:rsidP="00737AB3">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72103588" w14:textId="5C876690" w:rsidR="00C571EA" w:rsidRPr="00487CAB" w:rsidRDefault="00C571EA" w:rsidP="00737AB3">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700,000</w:t>
            </w:r>
          </w:p>
        </w:tc>
      </w:tr>
      <w:tr w:rsidR="00C571EA" w:rsidRPr="00487CAB" w14:paraId="1DFD6CB4" w14:textId="77777777" w:rsidTr="00737AB3">
        <w:tc>
          <w:tcPr>
            <w:tcW w:w="4410" w:type="dxa"/>
          </w:tcPr>
          <w:p w14:paraId="77A838E7" w14:textId="77777777" w:rsidR="00C571EA" w:rsidRPr="00487CAB" w:rsidRDefault="00C571EA" w:rsidP="00737AB3">
            <w:pPr>
              <w:tabs>
                <w:tab w:val="left" w:pos="144"/>
                <w:tab w:val="left" w:pos="324"/>
                <w:tab w:val="right" w:pos="9180"/>
              </w:tabs>
              <w:rPr>
                <w:snapToGrid w:val="0"/>
                <w:color w:val="000000"/>
                <w:sz w:val="19"/>
                <w:szCs w:val="19"/>
              </w:rPr>
            </w:pPr>
            <w:r w:rsidRPr="00487CAB">
              <w:rPr>
                <w:snapToGrid w:val="0"/>
                <w:color w:val="000000"/>
                <w:sz w:val="19"/>
                <w:szCs w:val="19"/>
              </w:rPr>
              <w:tab/>
              <w:t>Conversion of preferred stock to common stock</w:t>
            </w:r>
          </w:p>
        </w:tc>
        <w:tc>
          <w:tcPr>
            <w:tcW w:w="1260" w:type="dxa"/>
          </w:tcPr>
          <w:p w14:paraId="0B9BFAEB" w14:textId="6A3ACB77" w:rsidR="00C571EA" w:rsidRPr="00487CAB" w:rsidRDefault="00C571EA" w:rsidP="00737AB3">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(1,048)</w:t>
            </w:r>
          </w:p>
        </w:tc>
        <w:tc>
          <w:tcPr>
            <w:tcW w:w="1080" w:type="dxa"/>
          </w:tcPr>
          <w:p w14:paraId="79F5CCBA" w14:textId="7E3AC6D6" w:rsidR="00C571EA" w:rsidRPr="00487CAB" w:rsidRDefault="00C571EA" w:rsidP="00737AB3">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(716,044)</w:t>
            </w:r>
          </w:p>
        </w:tc>
        <w:tc>
          <w:tcPr>
            <w:tcW w:w="1080" w:type="dxa"/>
          </w:tcPr>
          <w:p w14:paraId="65BC0716" w14:textId="6B390B8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94,775,841</w:t>
            </w:r>
          </w:p>
        </w:tc>
        <w:tc>
          <w:tcPr>
            <w:tcW w:w="1170" w:type="dxa"/>
          </w:tcPr>
          <w:p w14:paraId="7968B938" w14:textId="1C8E8196"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94,776</w:t>
            </w:r>
          </w:p>
        </w:tc>
        <w:tc>
          <w:tcPr>
            <w:tcW w:w="1440" w:type="dxa"/>
          </w:tcPr>
          <w:p w14:paraId="41969E91" w14:textId="096239C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621,268</w:t>
            </w:r>
          </w:p>
        </w:tc>
        <w:tc>
          <w:tcPr>
            <w:tcW w:w="1350" w:type="dxa"/>
          </w:tcPr>
          <w:p w14:paraId="4A4DF904" w14:textId="77777777" w:rsidR="00C571EA" w:rsidRPr="00487CAB" w:rsidRDefault="00C571EA" w:rsidP="00737AB3">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2C56EE37" w14:textId="77777777" w:rsidR="00C571EA" w:rsidRPr="00487CAB" w:rsidRDefault="00C571EA" w:rsidP="00737AB3">
            <w:pPr>
              <w:tabs>
                <w:tab w:val="decimal" w:pos="1418"/>
                <w:tab w:val="right" w:pos="9180"/>
              </w:tabs>
              <w:rPr>
                <w:snapToGrid w:val="0"/>
                <w:color w:val="000000"/>
                <w:sz w:val="19"/>
                <w:szCs w:val="19"/>
              </w:rPr>
            </w:pPr>
            <w:r w:rsidRPr="00487CAB">
              <w:rPr>
                <w:snapToGrid w:val="0"/>
                <w:color w:val="000000"/>
                <w:sz w:val="19"/>
                <w:szCs w:val="19"/>
              </w:rPr>
              <w:tab/>
              <w:t>-</w:t>
            </w:r>
          </w:p>
        </w:tc>
      </w:tr>
      <w:tr w:rsidR="00C571EA" w:rsidRPr="00487CAB" w14:paraId="2C336861" w14:textId="77777777" w:rsidTr="00737AB3">
        <w:tc>
          <w:tcPr>
            <w:tcW w:w="4410" w:type="dxa"/>
          </w:tcPr>
          <w:p w14:paraId="2D2C9C38" w14:textId="77777777" w:rsidR="00C571EA" w:rsidRPr="00487CAB" w:rsidRDefault="00C571EA" w:rsidP="00737AB3">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260" w:type="dxa"/>
          </w:tcPr>
          <w:p w14:paraId="2371D402" w14:textId="77777777" w:rsidR="00C571EA" w:rsidRPr="00487CAB" w:rsidRDefault="00C571EA" w:rsidP="00737AB3">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Pr>
          <w:p w14:paraId="60DF0506"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6D0AF23" w14:textId="3DD34A66"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37,827</w:t>
            </w:r>
          </w:p>
        </w:tc>
        <w:tc>
          <w:tcPr>
            <w:tcW w:w="1170" w:type="dxa"/>
          </w:tcPr>
          <w:p w14:paraId="6EDBCA7F" w14:textId="142B50A2"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38</w:t>
            </w:r>
          </w:p>
        </w:tc>
        <w:tc>
          <w:tcPr>
            <w:tcW w:w="1440" w:type="dxa"/>
          </w:tcPr>
          <w:p w14:paraId="00F462DA" w14:textId="355982EB"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5,962</w:t>
            </w:r>
          </w:p>
        </w:tc>
        <w:tc>
          <w:tcPr>
            <w:tcW w:w="1350" w:type="dxa"/>
          </w:tcPr>
          <w:p w14:paraId="3A80EA49" w14:textId="77777777" w:rsidR="00C571EA" w:rsidRPr="00487CAB" w:rsidRDefault="00C571EA" w:rsidP="00737AB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7EA8C8FC" w14:textId="77777777" w:rsidR="00C571EA" w:rsidRPr="00487CAB" w:rsidRDefault="00C571EA" w:rsidP="00737AB3">
            <w:pPr>
              <w:tabs>
                <w:tab w:val="decimal" w:pos="1418"/>
                <w:tab w:val="right" w:pos="9180"/>
              </w:tabs>
              <w:rPr>
                <w:snapToGrid w:val="0"/>
                <w:color w:val="000000"/>
                <w:sz w:val="19"/>
                <w:szCs w:val="19"/>
              </w:rPr>
            </w:pPr>
            <w:r>
              <w:rPr>
                <w:snapToGrid w:val="0"/>
                <w:color w:val="000000"/>
                <w:sz w:val="19"/>
                <w:szCs w:val="19"/>
              </w:rPr>
              <w:tab/>
              <w:t>6,000</w:t>
            </w:r>
          </w:p>
        </w:tc>
      </w:tr>
      <w:tr w:rsidR="00C571EA" w:rsidRPr="00487CAB" w14:paraId="5F8ACBA0" w14:textId="77777777" w:rsidTr="00737AB3">
        <w:tc>
          <w:tcPr>
            <w:tcW w:w="4410" w:type="dxa"/>
          </w:tcPr>
          <w:p w14:paraId="4B381C64" w14:textId="77777777" w:rsidR="00C571EA" w:rsidRPr="00487CAB" w:rsidRDefault="00C571EA" w:rsidP="00737AB3">
            <w:pPr>
              <w:tabs>
                <w:tab w:val="left" w:pos="144"/>
                <w:tab w:val="left" w:pos="324"/>
                <w:tab w:val="right" w:pos="9180"/>
              </w:tabs>
              <w:rPr>
                <w:snapToGrid w:val="0"/>
                <w:color w:val="000000"/>
                <w:sz w:val="19"/>
                <w:szCs w:val="19"/>
              </w:rPr>
            </w:pPr>
            <w:r w:rsidRPr="00487CAB">
              <w:rPr>
                <w:snapToGrid w:val="0"/>
                <w:color w:val="000000"/>
                <w:sz w:val="19"/>
                <w:szCs w:val="19"/>
              </w:rPr>
              <w:tab/>
              <w:t>Stock</w:t>
            </w:r>
            <w:r>
              <w:rPr>
                <w:snapToGrid w:val="0"/>
                <w:color w:val="000000"/>
                <w:sz w:val="19"/>
                <w:szCs w:val="19"/>
              </w:rPr>
              <w:t xml:space="preserve"> option</w:t>
            </w:r>
            <w:r w:rsidRPr="00487CAB">
              <w:rPr>
                <w:snapToGrid w:val="0"/>
                <w:color w:val="000000"/>
                <w:sz w:val="19"/>
                <w:szCs w:val="19"/>
              </w:rPr>
              <w:t xml:space="preserve"> expense</w:t>
            </w:r>
          </w:p>
        </w:tc>
        <w:tc>
          <w:tcPr>
            <w:tcW w:w="1260" w:type="dxa"/>
          </w:tcPr>
          <w:p w14:paraId="42A60949" w14:textId="77777777" w:rsidR="00C571EA" w:rsidRPr="00487CAB" w:rsidRDefault="00C571EA" w:rsidP="00737AB3">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76BF1101" w14:textId="77777777" w:rsidR="00C571EA" w:rsidRPr="00487CAB" w:rsidRDefault="00C571EA" w:rsidP="00737AB3">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1AFC4B40"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5BDFA1B4"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2D4B4CDC" w14:textId="1B41733C"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26,348</w:t>
            </w:r>
          </w:p>
        </w:tc>
        <w:tc>
          <w:tcPr>
            <w:tcW w:w="1350" w:type="dxa"/>
          </w:tcPr>
          <w:p w14:paraId="3CD05EED" w14:textId="77777777" w:rsidR="00C571EA" w:rsidRPr="00487CAB" w:rsidRDefault="00C571EA" w:rsidP="00737AB3">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20D67D1F" w14:textId="30C990EC" w:rsidR="00C571EA" w:rsidRPr="00487CAB" w:rsidRDefault="00C571EA" w:rsidP="00737AB3">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26,348</w:t>
            </w:r>
          </w:p>
        </w:tc>
      </w:tr>
      <w:tr w:rsidR="0019075D" w:rsidRPr="00487CAB" w14:paraId="34860D4E" w14:textId="77777777" w:rsidTr="00737AB3">
        <w:tc>
          <w:tcPr>
            <w:tcW w:w="4410" w:type="dxa"/>
          </w:tcPr>
          <w:p w14:paraId="082DF265" w14:textId="47B0AF63" w:rsidR="0019075D" w:rsidRPr="00487CAB" w:rsidRDefault="0019075D" w:rsidP="00737AB3">
            <w:pPr>
              <w:tabs>
                <w:tab w:val="left" w:pos="144"/>
                <w:tab w:val="left" w:pos="324"/>
                <w:tab w:val="right" w:pos="9180"/>
              </w:tabs>
              <w:rPr>
                <w:snapToGrid w:val="0"/>
                <w:color w:val="000000"/>
                <w:sz w:val="19"/>
                <w:szCs w:val="19"/>
              </w:rPr>
            </w:pPr>
            <w:r>
              <w:rPr>
                <w:snapToGrid w:val="0"/>
                <w:color w:val="000000"/>
                <w:sz w:val="19"/>
                <w:szCs w:val="19"/>
              </w:rPr>
              <w:tab/>
              <w:t>Net loss for the three months ended</w:t>
            </w:r>
          </w:p>
        </w:tc>
        <w:tc>
          <w:tcPr>
            <w:tcW w:w="1260" w:type="dxa"/>
          </w:tcPr>
          <w:p w14:paraId="65B8C02A" w14:textId="77777777" w:rsidR="0019075D" w:rsidRPr="00487CAB" w:rsidRDefault="0019075D" w:rsidP="00737AB3">
            <w:pPr>
              <w:tabs>
                <w:tab w:val="decimal" w:pos="917"/>
                <w:tab w:val="left" w:pos="2340"/>
                <w:tab w:val="right" w:pos="9180"/>
              </w:tabs>
              <w:rPr>
                <w:snapToGrid w:val="0"/>
                <w:color w:val="000000"/>
                <w:sz w:val="19"/>
                <w:szCs w:val="19"/>
              </w:rPr>
            </w:pPr>
          </w:p>
        </w:tc>
        <w:tc>
          <w:tcPr>
            <w:tcW w:w="1080" w:type="dxa"/>
          </w:tcPr>
          <w:p w14:paraId="7BB1034A" w14:textId="77777777" w:rsidR="0019075D" w:rsidRPr="00487CAB" w:rsidRDefault="0019075D" w:rsidP="00737AB3">
            <w:pPr>
              <w:tabs>
                <w:tab w:val="decimal" w:pos="798"/>
                <w:tab w:val="left" w:pos="2340"/>
                <w:tab w:val="right" w:pos="9180"/>
              </w:tabs>
              <w:rPr>
                <w:snapToGrid w:val="0"/>
                <w:color w:val="000000"/>
                <w:sz w:val="19"/>
                <w:szCs w:val="19"/>
              </w:rPr>
            </w:pPr>
          </w:p>
        </w:tc>
        <w:tc>
          <w:tcPr>
            <w:tcW w:w="1080" w:type="dxa"/>
          </w:tcPr>
          <w:p w14:paraId="50D82DA3" w14:textId="77777777" w:rsidR="0019075D" w:rsidRPr="00487CAB" w:rsidRDefault="0019075D" w:rsidP="00737AB3">
            <w:pPr>
              <w:tabs>
                <w:tab w:val="decimal" w:pos="1148"/>
                <w:tab w:val="decimal" w:pos="1422"/>
                <w:tab w:val="left" w:pos="2340"/>
                <w:tab w:val="right" w:pos="9180"/>
              </w:tabs>
              <w:rPr>
                <w:snapToGrid w:val="0"/>
                <w:color w:val="000000"/>
                <w:sz w:val="19"/>
                <w:szCs w:val="19"/>
              </w:rPr>
            </w:pPr>
          </w:p>
        </w:tc>
        <w:tc>
          <w:tcPr>
            <w:tcW w:w="1170" w:type="dxa"/>
          </w:tcPr>
          <w:p w14:paraId="105B9485" w14:textId="77777777" w:rsidR="0019075D" w:rsidRPr="00487CAB" w:rsidRDefault="0019075D" w:rsidP="00737AB3">
            <w:pPr>
              <w:tabs>
                <w:tab w:val="decimal" w:pos="1148"/>
                <w:tab w:val="decimal" w:pos="1422"/>
                <w:tab w:val="left" w:pos="2340"/>
                <w:tab w:val="right" w:pos="9180"/>
              </w:tabs>
              <w:rPr>
                <w:snapToGrid w:val="0"/>
                <w:color w:val="000000"/>
                <w:sz w:val="19"/>
                <w:szCs w:val="19"/>
              </w:rPr>
            </w:pPr>
          </w:p>
        </w:tc>
        <w:tc>
          <w:tcPr>
            <w:tcW w:w="1440" w:type="dxa"/>
          </w:tcPr>
          <w:p w14:paraId="245D5EAD" w14:textId="77777777" w:rsidR="0019075D" w:rsidRPr="00487CAB" w:rsidRDefault="0019075D" w:rsidP="00737AB3">
            <w:pPr>
              <w:tabs>
                <w:tab w:val="decimal" w:pos="1148"/>
                <w:tab w:val="decimal" w:pos="1422"/>
                <w:tab w:val="left" w:pos="2340"/>
                <w:tab w:val="right" w:pos="9180"/>
              </w:tabs>
              <w:rPr>
                <w:snapToGrid w:val="0"/>
                <w:color w:val="000000"/>
                <w:sz w:val="19"/>
                <w:szCs w:val="19"/>
              </w:rPr>
            </w:pPr>
          </w:p>
        </w:tc>
        <w:tc>
          <w:tcPr>
            <w:tcW w:w="1350" w:type="dxa"/>
          </w:tcPr>
          <w:p w14:paraId="2D05DAB5" w14:textId="77777777" w:rsidR="0019075D" w:rsidRPr="00487CAB" w:rsidRDefault="0019075D" w:rsidP="00737AB3">
            <w:pPr>
              <w:tabs>
                <w:tab w:val="decimal" w:pos="1150"/>
                <w:tab w:val="left" w:pos="2340"/>
                <w:tab w:val="right" w:pos="9180"/>
              </w:tabs>
              <w:rPr>
                <w:snapToGrid w:val="0"/>
                <w:color w:val="000000"/>
                <w:sz w:val="19"/>
                <w:szCs w:val="19"/>
              </w:rPr>
            </w:pPr>
          </w:p>
        </w:tc>
        <w:tc>
          <w:tcPr>
            <w:tcW w:w="1800" w:type="dxa"/>
          </w:tcPr>
          <w:p w14:paraId="54A40CA6" w14:textId="77777777" w:rsidR="0019075D" w:rsidRPr="00487CAB" w:rsidRDefault="0019075D" w:rsidP="00737AB3">
            <w:pPr>
              <w:tabs>
                <w:tab w:val="decimal" w:pos="1418"/>
                <w:tab w:val="right" w:pos="9180"/>
              </w:tabs>
              <w:rPr>
                <w:snapToGrid w:val="0"/>
                <w:color w:val="000000"/>
                <w:sz w:val="19"/>
                <w:szCs w:val="19"/>
              </w:rPr>
            </w:pPr>
          </w:p>
        </w:tc>
      </w:tr>
      <w:tr w:rsidR="00C571EA" w:rsidRPr="00487CAB" w14:paraId="6B1B94B6" w14:textId="77777777" w:rsidTr="00737AB3">
        <w:tc>
          <w:tcPr>
            <w:tcW w:w="4410" w:type="dxa"/>
          </w:tcPr>
          <w:p w14:paraId="6AB2B042" w14:textId="5956A567" w:rsidR="00C571EA" w:rsidRPr="00487CAB" w:rsidRDefault="00C571EA" w:rsidP="00737AB3">
            <w:pPr>
              <w:tabs>
                <w:tab w:val="left" w:pos="144"/>
                <w:tab w:val="left" w:pos="324"/>
                <w:tab w:val="right" w:pos="9180"/>
              </w:tabs>
              <w:rPr>
                <w:snapToGrid w:val="0"/>
                <w:color w:val="000000"/>
                <w:sz w:val="19"/>
                <w:szCs w:val="19"/>
              </w:rPr>
            </w:pPr>
            <w:r w:rsidRPr="00487CAB">
              <w:rPr>
                <w:snapToGrid w:val="0"/>
                <w:color w:val="000000"/>
                <w:sz w:val="19"/>
                <w:szCs w:val="19"/>
              </w:rPr>
              <w:tab/>
            </w:r>
            <w:r w:rsidR="0019075D">
              <w:rPr>
                <w:snapToGrid w:val="0"/>
                <w:color w:val="000000"/>
                <w:sz w:val="19"/>
                <w:szCs w:val="19"/>
              </w:rPr>
              <w:t xml:space="preserve">   </w:t>
            </w:r>
            <w:r>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2019</w:t>
            </w:r>
          </w:p>
        </w:tc>
        <w:tc>
          <w:tcPr>
            <w:tcW w:w="1260" w:type="dxa"/>
            <w:tcBorders>
              <w:bottom w:val="single" w:sz="4" w:space="0" w:color="auto"/>
            </w:tcBorders>
          </w:tcPr>
          <w:p w14:paraId="6420CCD6" w14:textId="77777777" w:rsidR="00C571EA" w:rsidRPr="00487CAB" w:rsidRDefault="00C571EA" w:rsidP="00737AB3">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95F070E" w14:textId="77777777" w:rsidR="00C571EA" w:rsidRPr="00487CAB" w:rsidRDefault="00C571EA" w:rsidP="00737AB3">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2D9E91B5"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37489CA1"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7AD9816"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9B08EC2" w14:textId="11DD22B3" w:rsidR="00C571EA" w:rsidRPr="00176E63" w:rsidRDefault="00C571EA" w:rsidP="00737AB3">
            <w:pPr>
              <w:tabs>
                <w:tab w:val="decimal" w:pos="1150"/>
                <w:tab w:val="left" w:pos="2340"/>
                <w:tab w:val="right" w:pos="9180"/>
              </w:tabs>
              <w:rPr>
                <w:snapToGrid w:val="0"/>
                <w:color w:val="000000"/>
                <w:sz w:val="19"/>
                <w:szCs w:val="19"/>
              </w:rPr>
            </w:pPr>
            <w:r w:rsidRPr="00176E63">
              <w:rPr>
                <w:snapToGrid w:val="0"/>
                <w:color w:val="000000"/>
                <w:sz w:val="19"/>
                <w:szCs w:val="19"/>
              </w:rPr>
              <w:tab/>
              <w:t>(</w:t>
            </w:r>
            <w:r>
              <w:rPr>
                <w:snapToGrid w:val="0"/>
                <w:color w:val="000000"/>
                <w:sz w:val="19"/>
                <w:szCs w:val="19"/>
              </w:rPr>
              <w:t>424,434</w:t>
            </w:r>
            <w:r w:rsidRPr="00176E63">
              <w:rPr>
                <w:snapToGrid w:val="0"/>
                <w:color w:val="000000"/>
                <w:sz w:val="19"/>
                <w:szCs w:val="19"/>
              </w:rPr>
              <w:t>)</w:t>
            </w:r>
          </w:p>
        </w:tc>
        <w:tc>
          <w:tcPr>
            <w:tcW w:w="1800" w:type="dxa"/>
            <w:tcBorders>
              <w:bottom w:val="single" w:sz="4" w:space="0" w:color="auto"/>
            </w:tcBorders>
          </w:tcPr>
          <w:p w14:paraId="65619199" w14:textId="198A8D80" w:rsidR="00C571EA" w:rsidRPr="00176E63" w:rsidRDefault="00C571EA" w:rsidP="00737AB3">
            <w:pPr>
              <w:tabs>
                <w:tab w:val="decimal" w:pos="1418"/>
                <w:tab w:val="right" w:pos="9180"/>
              </w:tabs>
              <w:rPr>
                <w:snapToGrid w:val="0"/>
                <w:color w:val="000000"/>
                <w:sz w:val="19"/>
                <w:szCs w:val="19"/>
              </w:rPr>
            </w:pPr>
            <w:r w:rsidRPr="00176E63">
              <w:rPr>
                <w:snapToGrid w:val="0"/>
                <w:color w:val="000000"/>
                <w:sz w:val="19"/>
                <w:szCs w:val="19"/>
              </w:rPr>
              <w:tab/>
              <w:t>(</w:t>
            </w:r>
            <w:r>
              <w:rPr>
                <w:snapToGrid w:val="0"/>
                <w:color w:val="000000"/>
                <w:sz w:val="19"/>
                <w:szCs w:val="19"/>
              </w:rPr>
              <w:t>424,434</w:t>
            </w:r>
            <w:r w:rsidRPr="00176E63">
              <w:rPr>
                <w:snapToGrid w:val="0"/>
                <w:color w:val="000000"/>
                <w:sz w:val="19"/>
                <w:szCs w:val="19"/>
              </w:rPr>
              <w:t>)</w:t>
            </w:r>
          </w:p>
        </w:tc>
      </w:tr>
      <w:tr w:rsidR="00C571EA" w:rsidRPr="00487CAB" w14:paraId="5608129A" w14:textId="77777777" w:rsidTr="00737AB3">
        <w:tc>
          <w:tcPr>
            <w:tcW w:w="4410" w:type="dxa"/>
          </w:tcPr>
          <w:p w14:paraId="1C250D2B" w14:textId="0658ED28" w:rsidR="00C571EA" w:rsidRPr="00487CAB" w:rsidRDefault="00C571EA" w:rsidP="00737AB3">
            <w:pPr>
              <w:tabs>
                <w:tab w:val="left" w:pos="144"/>
                <w:tab w:val="left" w:pos="324"/>
                <w:tab w:val="right" w:pos="9180"/>
              </w:tabs>
              <w:rPr>
                <w:snapToGrid w:val="0"/>
                <w:color w:val="000000"/>
                <w:sz w:val="19"/>
                <w:szCs w:val="19"/>
              </w:rPr>
            </w:pPr>
            <w:r w:rsidRPr="00487CAB">
              <w:rPr>
                <w:snapToGrid w:val="0"/>
                <w:color w:val="000000"/>
                <w:sz w:val="19"/>
                <w:szCs w:val="19"/>
              </w:rPr>
              <w:t xml:space="preserve">Balance at </w:t>
            </w:r>
            <w:r>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2019</w:t>
            </w:r>
          </w:p>
        </w:tc>
        <w:tc>
          <w:tcPr>
            <w:tcW w:w="1260" w:type="dxa"/>
            <w:tcBorders>
              <w:top w:val="single" w:sz="4" w:space="0" w:color="auto"/>
              <w:bottom w:val="double" w:sz="4" w:space="0" w:color="auto"/>
            </w:tcBorders>
          </w:tcPr>
          <w:p w14:paraId="5476F89F" w14:textId="48265E17" w:rsidR="00C571EA" w:rsidRPr="00487CAB" w:rsidRDefault="00C571EA" w:rsidP="00737AB3">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w:t>
            </w:r>
            <w:r w:rsidR="0019075D">
              <w:rPr>
                <w:snapToGrid w:val="0"/>
                <w:color w:val="000000"/>
                <w:sz w:val="19"/>
                <w:szCs w:val="19"/>
              </w:rPr>
              <w:t>054</w:t>
            </w:r>
          </w:p>
        </w:tc>
        <w:tc>
          <w:tcPr>
            <w:tcW w:w="1080" w:type="dxa"/>
            <w:tcBorders>
              <w:top w:val="single" w:sz="4" w:space="0" w:color="auto"/>
              <w:bottom w:val="double" w:sz="4" w:space="0" w:color="auto"/>
            </w:tcBorders>
          </w:tcPr>
          <w:p w14:paraId="732CC8F8" w14:textId="0E1D57FD" w:rsidR="00C571EA" w:rsidRPr="00487CAB" w:rsidRDefault="00C571EA" w:rsidP="00737AB3">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19075D">
              <w:rPr>
                <w:snapToGrid w:val="0"/>
                <w:color w:val="000000"/>
                <w:sz w:val="19"/>
                <w:szCs w:val="19"/>
              </w:rPr>
              <w:t>2,321,823</w:t>
            </w:r>
          </w:p>
        </w:tc>
        <w:tc>
          <w:tcPr>
            <w:tcW w:w="1080" w:type="dxa"/>
            <w:tcBorders>
              <w:top w:val="single" w:sz="4" w:space="0" w:color="auto"/>
              <w:bottom w:val="double" w:sz="4" w:space="0" w:color="auto"/>
            </w:tcBorders>
          </w:tcPr>
          <w:p w14:paraId="1826D0CD" w14:textId="77E708EC"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19075D">
              <w:rPr>
                <w:snapToGrid w:val="0"/>
                <w:color w:val="000000"/>
                <w:sz w:val="19"/>
                <w:szCs w:val="19"/>
              </w:rPr>
              <w:t>95,627,584</w:t>
            </w:r>
          </w:p>
        </w:tc>
        <w:tc>
          <w:tcPr>
            <w:tcW w:w="1170" w:type="dxa"/>
            <w:tcBorders>
              <w:top w:val="single" w:sz="4" w:space="0" w:color="auto"/>
              <w:bottom w:val="double" w:sz="4" w:space="0" w:color="auto"/>
            </w:tcBorders>
          </w:tcPr>
          <w:p w14:paraId="242501F2" w14:textId="77318C45" w:rsidR="00C571EA" w:rsidRPr="00176E63" w:rsidRDefault="00C571EA" w:rsidP="00737AB3">
            <w:pPr>
              <w:tabs>
                <w:tab w:val="decimal" w:pos="1148"/>
                <w:tab w:val="decimal" w:pos="1422"/>
                <w:tab w:val="left" w:pos="2340"/>
                <w:tab w:val="right" w:pos="9180"/>
              </w:tabs>
              <w:rPr>
                <w:snapToGrid w:val="0"/>
                <w:color w:val="000000"/>
                <w:sz w:val="19"/>
                <w:szCs w:val="19"/>
              </w:rPr>
            </w:pPr>
            <w:r w:rsidRPr="00176E63">
              <w:rPr>
                <w:snapToGrid w:val="0"/>
                <w:color w:val="000000"/>
                <w:sz w:val="19"/>
                <w:szCs w:val="19"/>
              </w:rPr>
              <w:t>$</w:t>
            </w:r>
            <w:r w:rsidRPr="00176E63">
              <w:rPr>
                <w:snapToGrid w:val="0"/>
                <w:color w:val="000000"/>
                <w:sz w:val="19"/>
                <w:szCs w:val="19"/>
              </w:rPr>
              <w:tab/>
            </w:r>
            <w:r w:rsidR="0019075D">
              <w:rPr>
                <w:snapToGrid w:val="0"/>
                <w:color w:val="000000"/>
                <w:sz w:val="19"/>
                <w:szCs w:val="19"/>
              </w:rPr>
              <w:t>95,628</w:t>
            </w:r>
          </w:p>
        </w:tc>
        <w:tc>
          <w:tcPr>
            <w:tcW w:w="1440" w:type="dxa"/>
            <w:tcBorders>
              <w:top w:val="single" w:sz="4" w:space="0" w:color="auto"/>
              <w:bottom w:val="double" w:sz="4" w:space="0" w:color="auto"/>
            </w:tcBorders>
          </w:tcPr>
          <w:p w14:paraId="3AC8609B" w14:textId="4C5E9FE1" w:rsidR="00C571EA" w:rsidRPr="00176E63" w:rsidRDefault="00C571EA" w:rsidP="00737AB3">
            <w:pPr>
              <w:tabs>
                <w:tab w:val="decimal" w:pos="1148"/>
                <w:tab w:val="decimal" w:pos="1422"/>
                <w:tab w:val="left" w:pos="2340"/>
                <w:tab w:val="right" w:pos="9180"/>
              </w:tabs>
              <w:rPr>
                <w:snapToGrid w:val="0"/>
                <w:color w:val="000000"/>
                <w:sz w:val="19"/>
                <w:szCs w:val="19"/>
              </w:rPr>
            </w:pPr>
            <w:r w:rsidRPr="00176E63">
              <w:rPr>
                <w:snapToGrid w:val="0"/>
                <w:color w:val="000000"/>
                <w:sz w:val="19"/>
                <w:szCs w:val="19"/>
              </w:rPr>
              <w:t>$</w:t>
            </w:r>
            <w:r w:rsidRPr="00176E63">
              <w:rPr>
                <w:snapToGrid w:val="0"/>
                <w:color w:val="000000"/>
                <w:sz w:val="19"/>
                <w:szCs w:val="19"/>
              </w:rPr>
              <w:tab/>
            </w:r>
            <w:r w:rsidR="0019075D">
              <w:rPr>
                <w:snapToGrid w:val="0"/>
                <w:color w:val="000000"/>
                <w:sz w:val="19"/>
                <w:szCs w:val="19"/>
              </w:rPr>
              <w:t>38,818,750</w:t>
            </w:r>
          </w:p>
        </w:tc>
        <w:tc>
          <w:tcPr>
            <w:tcW w:w="1350" w:type="dxa"/>
            <w:tcBorders>
              <w:top w:val="single" w:sz="4" w:space="0" w:color="auto"/>
              <w:bottom w:val="double" w:sz="4" w:space="0" w:color="auto"/>
            </w:tcBorders>
          </w:tcPr>
          <w:p w14:paraId="342EDCEC" w14:textId="48988677" w:rsidR="00C571EA" w:rsidRPr="00176E63" w:rsidRDefault="00C571EA" w:rsidP="00737AB3">
            <w:pPr>
              <w:tabs>
                <w:tab w:val="decimal" w:pos="1150"/>
                <w:tab w:val="left" w:pos="2340"/>
                <w:tab w:val="right" w:pos="9180"/>
              </w:tabs>
              <w:rPr>
                <w:snapToGrid w:val="0"/>
                <w:color w:val="000000"/>
                <w:sz w:val="19"/>
                <w:szCs w:val="19"/>
              </w:rPr>
            </w:pPr>
            <w:r w:rsidRPr="00176E63">
              <w:rPr>
                <w:snapToGrid w:val="0"/>
                <w:color w:val="000000"/>
                <w:sz w:val="19"/>
                <w:szCs w:val="19"/>
              </w:rPr>
              <w:t>$</w:t>
            </w:r>
            <w:r w:rsidRPr="00176E63">
              <w:rPr>
                <w:snapToGrid w:val="0"/>
                <w:color w:val="000000"/>
                <w:sz w:val="19"/>
                <w:szCs w:val="19"/>
              </w:rPr>
              <w:tab/>
              <w:t>(</w:t>
            </w:r>
            <w:r w:rsidR="0019075D">
              <w:rPr>
                <w:snapToGrid w:val="0"/>
                <w:color w:val="000000"/>
                <w:sz w:val="19"/>
                <w:szCs w:val="19"/>
              </w:rPr>
              <w:t>42,256,920</w:t>
            </w:r>
            <w:r w:rsidRPr="00176E63">
              <w:rPr>
                <w:snapToGrid w:val="0"/>
                <w:color w:val="000000"/>
                <w:sz w:val="19"/>
                <w:szCs w:val="19"/>
              </w:rPr>
              <w:t>)</w:t>
            </w:r>
          </w:p>
        </w:tc>
        <w:tc>
          <w:tcPr>
            <w:tcW w:w="1800" w:type="dxa"/>
            <w:tcBorders>
              <w:top w:val="single" w:sz="4" w:space="0" w:color="auto"/>
              <w:bottom w:val="double" w:sz="4" w:space="0" w:color="auto"/>
            </w:tcBorders>
          </w:tcPr>
          <w:p w14:paraId="04DE0F92" w14:textId="413D9B0B" w:rsidR="00C571EA" w:rsidRPr="00176E63" w:rsidRDefault="00C571EA" w:rsidP="00737AB3">
            <w:pPr>
              <w:tabs>
                <w:tab w:val="decimal" w:pos="1418"/>
                <w:tab w:val="right" w:pos="9180"/>
              </w:tabs>
              <w:rPr>
                <w:snapToGrid w:val="0"/>
                <w:color w:val="000000"/>
                <w:sz w:val="19"/>
                <w:szCs w:val="19"/>
              </w:rPr>
            </w:pPr>
            <w:r w:rsidRPr="00176E63">
              <w:rPr>
                <w:snapToGrid w:val="0"/>
                <w:color w:val="000000"/>
                <w:sz w:val="19"/>
                <w:szCs w:val="19"/>
              </w:rPr>
              <w:t>$</w:t>
            </w:r>
            <w:r w:rsidRPr="00176E63">
              <w:rPr>
                <w:snapToGrid w:val="0"/>
                <w:color w:val="000000"/>
                <w:sz w:val="19"/>
                <w:szCs w:val="19"/>
              </w:rPr>
              <w:tab/>
              <w:t>(1,</w:t>
            </w:r>
            <w:r w:rsidR="0019075D">
              <w:rPr>
                <w:snapToGrid w:val="0"/>
                <w:color w:val="000000"/>
                <w:sz w:val="19"/>
                <w:szCs w:val="19"/>
              </w:rPr>
              <w:t>020,719</w:t>
            </w:r>
            <w:r w:rsidRPr="00176E63">
              <w:rPr>
                <w:snapToGrid w:val="0"/>
                <w:color w:val="000000"/>
                <w:sz w:val="19"/>
                <w:szCs w:val="19"/>
              </w:rPr>
              <w:t>)</w:t>
            </w:r>
          </w:p>
        </w:tc>
      </w:tr>
      <w:tr w:rsidR="00DC20F0" w:rsidRPr="00487CAB" w14:paraId="11707799" w14:textId="77777777" w:rsidTr="00DC20F0">
        <w:tc>
          <w:tcPr>
            <w:tcW w:w="4410" w:type="dxa"/>
          </w:tcPr>
          <w:p w14:paraId="6CAED541" w14:textId="77777777" w:rsidR="00DC20F0" w:rsidRPr="00487CAB" w:rsidRDefault="00DC20F0" w:rsidP="00C84EC5">
            <w:pPr>
              <w:tabs>
                <w:tab w:val="left" w:pos="144"/>
                <w:tab w:val="left" w:pos="324"/>
                <w:tab w:val="right" w:pos="9180"/>
              </w:tabs>
              <w:rPr>
                <w:snapToGrid w:val="0"/>
                <w:color w:val="000000"/>
                <w:sz w:val="19"/>
                <w:szCs w:val="19"/>
              </w:rPr>
            </w:pPr>
          </w:p>
        </w:tc>
        <w:tc>
          <w:tcPr>
            <w:tcW w:w="1260" w:type="dxa"/>
          </w:tcPr>
          <w:p w14:paraId="0A380F89" w14:textId="77777777" w:rsidR="00DC20F0" w:rsidRPr="00487CAB" w:rsidRDefault="00DC20F0" w:rsidP="00C84EC5">
            <w:pPr>
              <w:tabs>
                <w:tab w:val="decimal" w:pos="917"/>
                <w:tab w:val="left" w:pos="2340"/>
                <w:tab w:val="right" w:pos="9180"/>
              </w:tabs>
              <w:rPr>
                <w:snapToGrid w:val="0"/>
                <w:color w:val="000000"/>
                <w:sz w:val="19"/>
                <w:szCs w:val="19"/>
              </w:rPr>
            </w:pPr>
          </w:p>
        </w:tc>
        <w:tc>
          <w:tcPr>
            <w:tcW w:w="1080" w:type="dxa"/>
          </w:tcPr>
          <w:p w14:paraId="23B8A40F" w14:textId="77777777" w:rsidR="00DC20F0" w:rsidRPr="00487CAB" w:rsidRDefault="00DC20F0" w:rsidP="00C84EC5">
            <w:pPr>
              <w:tabs>
                <w:tab w:val="decimal" w:pos="798"/>
                <w:tab w:val="left" w:pos="2340"/>
                <w:tab w:val="right" w:pos="9180"/>
              </w:tabs>
              <w:rPr>
                <w:snapToGrid w:val="0"/>
                <w:color w:val="000000"/>
                <w:sz w:val="19"/>
                <w:szCs w:val="19"/>
              </w:rPr>
            </w:pPr>
          </w:p>
        </w:tc>
        <w:tc>
          <w:tcPr>
            <w:tcW w:w="1080" w:type="dxa"/>
          </w:tcPr>
          <w:p w14:paraId="7D7A8A25" w14:textId="77777777" w:rsidR="00DC20F0" w:rsidRPr="00487CAB" w:rsidRDefault="00DC20F0" w:rsidP="00C84EC5">
            <w:pPr>
              <w:tabs>
                <w:tab w:val="decimal" w:pos="1148"/>
                <w:tab w:val="decimal" w:pos="1422"/>
                <w:tab w:val="left" w:pos="2340"/>
                <w:tab w:val="right" w:pos="9180"/>
              </w:tabs>
              <w:rPr>
                <w:snapToGrid w:val="0"/>
                <w:color w:val="000000"/>
                <w:sz w:val="19"/>
                <w:szCs w:val="19"/>
              </w:rPr>
            </w:pPr>
          </w:p>
        </w:tc>
        <w:tc>
          <w:tcPr>
            <w:tcW w:w="1170" w:type="dxa"/>
          </w:tcPr>
          <w:p w14:paraId="61129E35" w14:textId="77777777" w:rsidR="00DC20F0" w:rsidRPr="00487CAB" w:rsidRDefault="00DC20F0" w:rsidP="00C84EC5">
            <w:pPr>
              <w:tabs>
                <w:tab w:val="decimal" w:pos="1148"/>
                <w:tab w:val="decimal" w:pos="1422"/>
                <w:tab w:val="left" w:pos="2340"/>
                <w:tab w:val="right" w:pos="9180"/>
              </w:tabs>
              <w:rPr>
                <w:snapToGrid w:val="0"/>
                <w:color w:val="000000"/>
                <w:sz w:val="19"/>
                <w:szCs w:val="19"/>
              </w:rPr>
            </w:pPr>
          </w:p>
        </w:tc>
        <w:tc>
          <w:tcPr>
            <w:tcW w:w="1440" w:type="dxa"/>
          </w:tcPr>
          <w:p w14:paraId="224C3F55" w14:textId="77777777" w:rsidR="00DC20F0" w:rsidRPr="00487CAB" w:rsidRDefault="00DC20F0" w:rsidP="00C84EC5">
            <w:pPr>
              <w:tabs>
                <w:tab w:val="decimal" w:pos="1148"/>
                <w:tab w:val="decimal" w:pos="1422"/>
                <w:tab w:val="left" w:pos="2340"/>
                <w:tab w:val="right" w:pos="9180"/>
              </w:tabs>
              <w:rPr>
                <w:snapToGrid w:val="0"/>
                <w:color w:val="000000"/>
                <w:sz w:val="19"/>
                <w:szCs w:val="19"/>
              </w:rPr>
            </w:pPr>
          </w:p>
        </w:tc>
        <w:tc>
          <w:tcPr>
            <w:tcW w:w="1350" w:type="dxa"/>
          </w:tcPr>
          <w:p w14:paraId="62265ED1" w14:textId="77777777" w:rsidR="00DC20F0" w:rsidRPr="00487CAB" w:rsidRDefault="00DC20F0" w:rsidP="00C84EC5">
            <w:pPr>
              <w:tabs>
                <w:tab w:val="decimal" w:pos="1150"/>
                <w:tab w:val="left" w:pos="2340"/>
                <w:tab w:val="right" w:pos="9180"/>
              </w:tabs>
              <w:rPr>
                <w:snapToGrid w:val="0"/>
                <w:color w:val="000000"/>
                <w:sz w:val="19"/>
                <w:szCs w:val="19"/>
              </w:rPr>
            </w:pPr>
          </w:p>
        </w:tc>
        <w:tc>
          <w:tcPr>
            <w:tcW w:w="1800" w:type="dxa"/>
          </w:tcPr>
          <w:p w14:paraId="751067F1" w14:textId="77777777" w:rsidR="00DC20F0" w:rsidRPr="00487CAB" w:rsidRDefault="00DC20F0" w:rsidP="00C84EC5">
            <w:pPr>
              <w:tabs>
                <w:tab w:val="decimal" w:pos="1418"/>
                <w:tab w:val="right" w:pos="9180"/>
              </w:tabs>
              <w:rPr>
                <w:snapToGrid w:val="0"/>
                <w:color w:val="000000"/>
                <w:sz w:val="19"/>
                <w:szCs w:val="19"/>
              </w:rPr>
            </w:pPr>
          </w:p>
        </w:tc>
      </w:tr>
      <w:tr w:rsidR="00A379C9" w:rsidRPr="00487CAB" w14:paraId="0999F4C4" w14:textId="77777777" w:rsidTr="00A379C9">
        <w:tc>
          <w:tcPr>
            <w:tcW w:w="4410" w:type="dxa"/>
          </w:tcPr>
          <w:p w14:paraId="469DEDA0" w14:textId="77777777" w:rsidR="00A379C9" w:rsidRPr="00487CAB" w:rsidRDefault="00A379C9" w:rsidP="00C84EC5">
            <w:pPr>
              <w:tabs>
                <w:tab w:val="left" w:pos="144"/>
                <w:tab w:val="left" w:pos="324"/>
                <w:tab w:val="right" w:pos="9180"/>
              </w:tabs>
              <w:rPr>
                <w:snapToGrid w:val="0"/>
                <w:color w:val="000000"/>
                <w:sz w:val="19"/>
                <w:szCs w:val="19"/>
              </w:rPr>
            </w:pPr>
          </w:p>
        </w:tc>
        <w:tc>
          <w:tcPr>
            <w:tcW w:w="1260" w:type="dxa"/>
          </w:tcPr>
          <w:p w14:paraId="33B1E21A" w14:textId="77777777" w:rsidR="00A379C9" w:rsidRPr="00487CAB" w:rsidRDefault="00A379C9" w:rsidP="00C84EC5">
            <w:pPr>
              <w:tabs>
                <w:tab w:val="decimal" w:pos="917"/>
                <w:tab w:val="left" w:pos="2340"/>
                <w:tab w:val="right" w:pos="9180"/>
              </w:tabs>
              <w:rPr>
                <w:snapToGrid w:val="0"/>
                <w:color w:val="000000"/>
                <w:sz w:val="19"/>
                <w:szCs w:val="19"/>
              </w:rPr>
            </w:pPr>
          </w:p>
        </w:tc>
        <w:tc>
          <w:tcPr>
            <w:tcW w:w="1080" w:type="dxa"/>
          </w:tcPr>
          <w:p w14:paraId="4A3BC427" w14:textId="77777777" w:rsidR="00A379C9" w:rsidRPr="00487CAB" w:rsidRDefault="00A379C9" w:rsidP="00C84EC5">
            <w:pPr>
              <w:tabs>
                <w:tab w:val="decimal" w:pos="798"/>
                <w:tab w:val="left" w:pos="2340"/>
                <w:tab w:val="right" w:pos="9180"/>
              </w:tabs>
              <w:rPr>
                <w:snapToGrid w:val="0"/>
                <w:color w:val="000000"/>
                <w:sz w:val="19"/>
                <w:szCs w:val="19"/>
              </w:rPr>
            </w:pPr>
          </w:p>
        </w:tc>
        <w:tc>
          <w:tcPr>
            <w:tcW w:w="1080" w:type="dxa"/>
          </w:tcPr>
          <w:p w14:paraId="71E0FBA9" w14:textId="77777777" w:rsidR="00A379C9" w:rsidRPr="00487CAB" w:rsidRDefault="00A379C9" w:rsidP="00C84EC5">
            <w:pPr>
              <w:tabs>
                <w:tab w:val="decimal" w:pos="1148"/>
                <w:tab w:val="decimal" w:pos="1422"/>
                <w:tab w:val="left" w:pos="2340"/>
                <w:tab w:val="right" w:pos="9180"/>
              </w:tabs>
              <w:rPr>
                <w:snapToGrid w:val="0"/>
                <w:color w:val="000000"/>
                <w:sz w:val="19"/>
                <w:szCs w:val="19"/>
              </w:rPr>
            </w:pPr>
          </w:p>
        </w:tc>
        <w:tc>
          <w:tcPr>
            <w:tcW w:w="1170" w:type="dxa"/>
          </w:tcPr>
          <w:p w14:paraId="5F236706" w14:textId="77777777" w:rsidR="00A379C9" w:rsidRPr="00487CAB" w:rsidRDefault="00A379C9" w:rsidP="00C84EC5">
            <w:pPr>
              <w:tabs>
                <w:tab w:val="decimal" w:pos="1148"/>
                <w:tab w:val="decimal" w:pos="1422"/>
                <w:tab w:val="left" w:pos="2340"/>
                <w:tab w:val="right" w:pos="9180"/>
              </w:tabs>
              <w:rPr>
                <w:snapToGrid w:val="0"/>
                <w:color w:val="000000"/>
                <w:sz w:val="19"/>
                <w:szCs w:val="19"/>
              </w:rPr>
            </w:pPr>
          </w:p>
        </w:tc>
        <w:tc>
          <w:tcPr>
            <w:tcW w:w="1440" w:type="dxa"/>
          </w:tcPr>
          <w:p w14:paraId="6C3428EB" w14:textId="77777777" w:rsidR="00A379C9" w:rsidRPr="00487CAB" w:rsidRDefault="00A379C9" w:rsidP="00C84EC5">
            <w:pPr>
              <w:tabs>
                <w:tab w:val="decimal" w:pos="1148"/>
                <w:tab w:val="decimal" w:pos="1422"/>
                <w:tab w:val="left" w:pos="2340"/>
                <w:tab w:val="right" w:pos="9180"/>
              </w:tabs>
              <w:rPr>
                <w:snapToGrid w:val="0"/>
                <w:color w:val="000000"/>
                <w:sz w:val="19"/>
                <w:szCs w:val="19"/>
              </w:rPr>
            </w:pPr>
          </w:p>
        </w:tc>
        <w:tc>
          <w:tcPr>
            <w:tcW w:w="1350" w:type="dxa"/>
          </w:tcPr>
          <w:p w14:paraId="2812B41C" w14:textId="77777777" w:rsidR="00A379C9" w:rsidRPr="00487CAB" w:rsidRDefault="00A379C9" w:rsidP="00C84EC5">
            <w:pPr>
              <w:tabs>
                <w:tab w:val="decimal" w:pos="1150"/>
                <w:tab w:val="left" w:pos="2340"/>
                <w:tab w:val="right" w:pos="9180"/>
              </w:tabs>
              <w:rPr>
                <w:snapToGrid w:val="0"/>
                <w:color w:val="000000"/>
                <w:sz w:val="19"/>
                <w:szCs w:val="19"/>
              </w:rPr>
            </w:pPr>
          </w:p>
        </w:tc>
        <w:tc>
          <w:tcPr>
            <w:tcW w:w="1800" w:type="dxa"/>
          </w:tcPr>
          <w:p w14:paraId="70947002" w14:textId="77777777" w:rsidR="00A379C9" w:rsidRPr="00487CAB" w:rsidRDefault="00A379C9" w:rsidP="00C84EC5">
            <w:pPr>
              <w:tabs>
                <w:tab w:val="decimal" w:pos="1418"/>
                <w:tab w:val="right" w:pos="9180"/>
              </w:tabs>
              <w:rPr>
                <w:snapToGrid w:val="0"/>
                <w:color w:val="000000"/>
                <w:sz w:val="19"/>
                <w:szCs w:val="19"/>
              </w:rPr>
            </w:pPr>
          </w:p>
        </w:tc>
      </w:tr>
    </w:tbl>
    <w:p w14:paraId="6B1CBF36" w14:textId="48E06A43" w:rsidR="00117D5D" w:rsidRDefault="00117D5D" w:rsidP="00E66160">
      <w:pPr>
        <w:tabs>
          <w:tab w:val="decimal" w:pos="1152"/>
          <w:tab w:val="left" w:pos="2340"/>
          <w:tab w:val="right" w:pos="9180"/>
        </w:tabs>
        <w:rPr>
          <w:snapToGrid w:val="0"/>
          <w:color w:val="000000"/>
        </w:rPr>
      </w:pPr>
    </w:p>
    <w:bookmarkEnd w:id="6"/>
    <w:p w14:paraId="5E8148BF" w14:textId="77777777" w:rsidR="00117D5D" w:rsidRPr="00487CAB" w:rsidRDefault="00117D5D" w:rsidP="00E66160">
      <w:pPr>
        <w:tabs>
          <w:tab w:val="decimal" w:pos="1152"/>
          <w:tab w:val="left" w:pos="2340"/>
          <w:tab w:val="right" w:pos="9180"/>
        </w:tabs>
        <w:rPr>
          <w:snapToGrid w:val="0"/>
          <w:color w:val="000000"/>
        </w:rPr>
      </w:pPr>
    </w:p>
    <w:p w14:paraId="48439698" w14:textId="77777777" w:rsidR="00C571EA" w:rsidRDefault="00E66160" w:rsidP="00975313">
      <w:pPr>
        <w:tabs>
          <w:tab w:val="left" w:pos="1080"/>
          <w:tab w:val="left" w:pos="1260"/>
          <w:tab w:val="left" w:pos="2340"/>
          <w:tab w:val="right" w:pos="9180"/>
        </w:tabs>
        <w:ind w:right="-360"/>
        <w:jc w:val="center"/>
        <w:rPr>
          <w:snapToGrid w:val="0"/>
          <w:color w:val="000000"/>
        </w:rPr>
        <w:sectPr w:rsidR="00C571EA"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r w:rsidRPr="00487CAB">
        <w:rPr>
          <w:snapToGrid w:val="0"/>
          <w:color w:val="000000"/>
        </w:rPr>
        <w:t>See accompanying notes to consolidated financial statements</w:t>
      </w:r>
    </w:p>
    <w:p w14:paraId="71033FAE" w14:textId="77777777" w:rsidR="00C571EA" w:rsidRPr="00487CAB" w:rsidRDefault="00C571EA" w:rsidP="00C571EA">
      <w:pPr>
        <w:jc w:val="center"/>
        <w:rPr>
          <w:b/>
        </w:rPr>
      </w:pPr>
      <w:r w:rsidRPr="00487CAB">
        <w:rPr>
          <w:b/>
        </w:rPr>
        <w:lastRenderedPageBreak/>
        <w:t>GEOVAX LABS, INC.</w:t>
      </w:r>
    </w:p>
    <w:p w14:paraId="24AEEFBF" w14:textId="77777777" w:rsidR="00C571EA" w:rsidRPr="00487CAB" w:rsidRDefault="00C571EA" w:rsidP="00C571EA">
      <w:pPr>
        <w:jc w:val="center"/>
        <w:rPr>
          <w:b/>
        </w:rPr>
      </w:pPr>
      <w:r w:rsidRPr="00487CAB">
        <w:rPr>
          <w:b/>
        </w:rPr>
        <w:t>CONDENSED CONSOLIDATED STATEMENTS OF CHANGES IN STOCKHOLDERS’ EQUITY (DEFICIENCY)</w:t>
      </w:r>
    </w:p>
    <w:p w14:paraId="66303DD6" w14:textId="77777777" w:rsidR="00C571EA" w:rsidRPr="00487CAB" w:rsidRDefault="00C571EA" w:rsidP="00C571EA">
      <w:pPr>
        <w:jc w:val="center"/>
        <w:rPr>
          <w:b/>
        </w:rPr>
      </w:pPr>
      <w:r w:rsidRPr="00487CAB">
        <w:rPr>
          <w:b/>
        </w:rPr>
        <w:t>(Unaudited)</w:t>
      </w:r>
    </w:p>
    <w:p w14:paraId="63C13792" w14:textId="77777777" w:rsidR="00C571EA" w:rsidRDefault="00C571EA" w:rsidP="00C571EA">
      <w:pPr>
        <w:tabs>
          <w:tab w:val="decimal" w:pos="1152"/>
          <w:tab w:val="left" w:pos="2340"/>
          <w:tab w:val="right" w:pos="9180"/>
        </w:tabs>
        <w:rPr>
          <w:snapToGrid w:val="0"/>
          <w:color w:val="000000"/>
          <w:sz w:val="19"/>
          <w:szCs w:val="19"/>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260"/>
        <w:gridCol w:w="1080"/>
        <w:gridCol w:w="1080"/>
        <w:gridCol w:w="1170"/>
        <w:gridCol w:w="1440"/>
        <w:gridCol w:w="1350"/>
        <w:gridCol w:w="1800"/>
      </w:tblGrid>
      <w:tr w:rsidR="00C571EA" w:rsidRPr="00487CAB" w14:paraId="41A8808A" w14:textId="77777777" w:rsidTr="00737AB3">
        <w:tc>
          <w:tcPr>
            <w:tcW w:w="4410" w:type="dxa"/>
          </w:tcPr>
          <w:p w14:paraId="3421647A" w14:textId="77777777" w:rsidR="00C571EA" w:rsidRPr="00487CAB" w:rsidRDefault="00C571EA" w:rsidP="00737AB3">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00185CB0" w14:textId="0271E720" w:rsidR="00C571EA" w:rsidRPr="00487CAB" w:rsidRDefault="00C571EA" w:rsidP="00737AB3">
            <w:pPr>
              <w:tabs>
                <w:tab w:val="right" w:pos="9180"/>
              </w:tabs>
              <w:jc w:val="center"/>
              <w:rPr>
                <w:snapToGrid w:val="0"/>
                <w:color w:val="000000"/>
                <w:sz w:val="19"/>
                <w:szCs w:val="19"/>
              </w:rPr>
            </w:pPr>
            <w:r>
              <w:rPr>
                <w:snapToGrid w:val="0"/>
                <w:color w:val="000000"/>
                <w:sz w:val="19"/>
                <w:szCs w:val="19"/>
              </w:rPr>
              <w:t xml:space="preserve">Three-Month and </w:t>
            </w:r>
            <w:r w:rsidR="0019075D">
              <w:rPr>
                <w:snapToGrid w:val="0"/>
                <w:color w:val="000000"/>
                <w:sz w:val="19"/>
                <w:szCs w:val="19"/>
              </w:rPr>
              <w:t>Nine</w:t>
            </w:r>
            <w:r>
              <w:rPr>
                <w:snapToGrid w:val="0"/>
                <w:color w:val="000000"/>
                <w:sz w:val="19"/>
                <w:szCs w:val="19"/>
              </w:rPr>
              <w:t xml:space="preserve">-Month Periods Ended </w:t>
            </w:r>
            <w:r w:rsidR="0019075D">
              <w:rPr>
                <w:snapToGrid w:val="0"/>
                <w:color w:val="000000"/>
                <w:sz w:val="19"/>
                <w:szCs w:val="19"/>
              </w:rPr>
              <w:t>September</w:t>
            </w:r>
            <w:r>
              <w:rPr>
                <w:snapToGrid w:val="0"/>
                <w:color w:val="000000"/>
                <w:sz w:val="19"/>
                <w:szCs w:val="19"/>
              </w:rPr>
              <w:t xml:space="preserve"> 30, 2018</w:t>
            </w:r>
          </w:p>
        </w:tc>
      </w:tr>
      <w:tr w:rsidR="00C571EA" w:rsidRPr="00487CAB" w14:paraId="0BF58F64" w14:textId="77777777" w:rsidTr="00737AB3">
        <w:tc>
          <w:tcPr>
            <w:tcW w:w="4410" w:type="dxa"/>
          </w:tcPr>
          <w:p w14:paraId="7857F53D" w14:textId="77777777" w:rsidR="00C571EA" w:rsidRPr="00487CAB" w:rsidRDefault="00C571EA" w:rsidP="00737AB3">
            <w:pPr>
              <w:tabs>
                <w:tab w:val="left" w:pos="144"/>
                <w:tab w:val="left" w:pos="324"/>
                <w:tab w:val="right" w:pos="9180"/>
              </w:tabs>
              <w:rPr>
                <w:snapToGrid w:val="0"/>
                <w:color w:val="000000"/>
                <w:sz w:val="19"/>
                <w:szCs w:val="19"/>
              </w:rPr>
            </w:pPr>
          </w:p>
        </w:tc>
        <w:tc>
          <w:tcPr>
            <w:tcW w:w="2340" w:type="dxa"/>
            <w:gridSpan w:val="2"/>
            <w:tcBorders>
              <w:top w:val="single" w:sz="4" w:space="0" w:color="auto"/>
            </w:tcBorders>
          </w:tcPr>
          <w:p w14:paraId="61681B18" w14:textId="77777777" w:rsidR="00C571EA" w:rsidRPr="00487CAB" w:rsidRDefault="00C571EA" w:rsidP="00737AB3">
            <w:pPr>
              <w:tabs>
                <w:tab w:val="left" w:pos="2340"/>
                <w:tab w:val="right" w:pos="9180"/>
              </w:tabs>
              <w:jc w:val="center"/>
              <w:rPr>
                <w:snapToGrid w:val="0"/>
                <w:color w:val="000000"/>
                <w:sz w:val="19"/>
                <w:szCs w:val="19"/>
              </w:rPr>
            </w:pPr>
          </w:p>
        </w:tc>
        <w:tc>
          <w:tcPr>
            <w:tcW w:w="1080" w:type="dxa"/>
            <w:tcBorders>
              <w:top w:val="single" w:sz="4" w:space="0" w:color="auto"/>
            </w:tcBorders>
          </w:tcPr>
          <w:p w14:paraId="71E46452" w14:textId="77777777" w:rsidR="00C571EA" w:rsidRPr="00487CAB" w:rsidRDefault="00C571EA" w:rsidP="00737AB3">
            <w:pPr>
              <w:tabs>
                <w:tab w:val="decimal" w:pos="1148"/>
                <w:tab w:val="right" w:pos="9180"/>
              </w:tabs>
              <w:jc w:val="center"/>
              <w:rPr>
                <w:snapToGrid w:val="0"/>
                <w:color w:val="000000"/>
                <w:sz w:val="19"/>
                <w:szCs w:val="19"/>
              </w:rPr>
            </w:pPr>
          </w:p>
        </w:tc>
        <w:tc>
          <w:tcPr>
            <w:tcW w:w="1170" w:type="dxa"/>
            <w:tcBorders>
              <w:top w:val="single" w:sz="4" w:space="0" w:color="auto"/>
            </w:tcBorders>
          </w:tcPr>
          <w:p w14:paraId="61E9A09D" w14:textId="77777777" w:rsidR="00C571EA" w:rsidRPr="00487CAB" w:rsidRDefault="00C571EA" w:rsidP="00737AB3">
            <w:pPr>
              <w:tabs>
                <w:tab w:val="decimal" w:pos="1148"/>
                <w:tab w:val="right" w:pos="9180"/>
              </w:tabs>
              <w:jc w:val="center"/>
              <w:rPr>
                <w:snapToGrid w:val="0"/>
                <w:color w:val="000000"/>
                <w:sz w:val="19"/>
                <w:szCs w:val="19"/>
              </w:rPr>
            </w:pPr>
          </w:p>
        </w:tc>
        <w:tc>
          <w:tcPr>
            <w:tcW w:w="1440" w:type="dxa"/>
            <w:tcBorders>
              <w:top w:val="single" w:sz="4" w:space="0" w:color="auto"/>
            </w:tcBorders>
          </w:tcPr>
          <w:p w14:paraId="5AC38691" w14:textId="77777777" w:rsidR="00C571EA" w:rsidRPr="00487CAB" w:rsidRDefault="00C571EA" w:rsidP="00737AB3">
            <w:pPr>
              <w:tabs>
                <w:tab w:val="decimal" w:pos="1148"/>
                <w:tab w:val="right" w:pos="9180"/>
              </w:tabs>
              <w:jc w:val="center"/>
              <w:rPr>
                <w:snapToGrid w:val="0"/>
                <w:color w:val="000000"/>
                <w:sz w:val="19"/>
                <w:szCs w:val="19"/>
              </w:rPr>
            </w:pPr>
          </w:p>
        </w:tc>
        <w:tc>
          <w:tcPr>
            <w:tcW w:w="1350" w:type="dxa"/>
            <w:tcBorders>
              <w:top w:val="single" w:sz="4" w:space="0" w:color="auto"/>
            </w:tcBorders>
          </w:tcPr>
          <w:p w14:paraId="1A0E5939" w14:textId="77777777" w:rsidR="00C571EA" w:rsidRPr="00487CAB" w:rsidRDefault="00C571EA" w:rsidP="00737AB3">
            <w:pPr>
              <w:tabs>
                <w:tab w:val="right" w:pos="9180"/>
              </w:tabs>
              <w:jc w:val="center"/>
              <w:rPr>
                <w:snapToGrid w:val="0"/>
                <w:color w:val="000000"/>
                <w:sz w:val="19"/>
                <w:szCs w:val="19"/>
              </w:rPr>
            </w:pPr>
          </w:p>
        </w:tc>
        <w:tc>
          <w:tcPr>
            <w:tcW w:w="1800" w:type="dxa"/>
            <w:tcBorders>
              <w:top w:val="single" w:sz="4" w:space="0" w:color="auto"/>
            </w:tcBorders>
          </w:tcPr>
          <w:p w14:paraId="33818C71" w14:textId="77777777" w:rsidR="00C571EA" w:rsidRPr="00487CAB" w:rsidRDefault="00C571EA" w:rsidP="00737AB3">
            <w:pPr>
              <w:tabs>
                <w:tab w:val="right" w:pos="9180"/>
              </w:tabs>
              <w:jc w:val="center"/>
              <w:rPr>
                <w:snapToGrid w:val="0"/>
                <w:color w:val="000000"/>
                <w:sz w:val="19"/>
                <w:szCs w:val="19"/>
              </w:rPr>
            </w:pPr>
            <w:r w:rsidRPr="00487CAB">
              <w:rPr>
                <w:snapToGrid w:val="0"/>
                <w:color w:val="000000"/>
                <w:sz w:val="19"/>
                <w:szCs w:val="19"/>
              </w:rPr>
              <w:t>Total</w:t>
            </w:r>
          </w:p>
        </w:tc>
      </w:tr>
      <w:tr w:rsidR="00C571EA" w:rsidRPr="00487CAB" w14:paraId="75B28361" w14:textId="77777777" w:rsidTr="00737AB3">
        <w:tc>
          <w:tcPr>
            <w:tcW w:w="4410" w:type="dxa"/>
          </w:tcPr>
          <w:p w14:paraId="668A959D" w14:textId="77777777" w:rsidR="00C571EA" w:rsidRPr="00487CAB" w:rsidRDefault="00C571EA" w:rsidP="00737AB3">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6D9AA144" w14:textId="77777777" w:rsidR="00C571EA" w:rsidRPr="00487CAB" w:rsidRDefault="00C571EA" w:rsidP="00737AB3">
            <w:pPr>
              <w:tabs>
                <w:tab w:val="left" w:pos="2340"/>
                <w:tab w:val="right" w:pos="9180"/>
              </w:tabs>
              <w:jc w:val="center"/>
              <w:rPr>
                <w:snapToGrid w:val="0"/>
                <w:color w:val="000000"/>
                <w:sz w:val="19"/>
                <w:szCs w:val="19"/>
              </w:rPr>
            </w:pPr>
            <w:r w:rsidRPr="00487CAB">
              <w:rPr>
                <w:snapToGrid w:val="0"/>
                <w:color w:val="000000"/>
                <w:sz w:val="19"/>
                <w:szCs w:val="19"/>
              </w:rPr>
              <w:t>Preferred Stock</w:t>
            </w:r>
            <w:r>
              <w:rPr>
                <w:snapToGrid w:val="0"/>
                <w:color w:val="000000"/>
                <w:sz w:val="19"/>
                <w:szCs w:val="19"/>
              </w:rPr>
              <w:t xml:space="preserve"> (Note 9)</w:t>
            </w:r>
          </w:p>
        </w:tc>
        <w:tc>
          <w:tcPr>
            <w:tcW w:w="2250" w:type="dxa"/>
            <w:gridSpan w:val="2"/>
            <w:tcBorders>
              <w:bottom w:val="single" w:sz="4" w:space="0" w:color="auto"/>
            </w:tcBorders>
          </w:tcPr>
          <w:p w14:paraId="6029A9DC" w14:textId="77777777" w:rsidR="00C571EA" w:rsidRPr="00487CAB" w:rsidRDefault="00C571EA" w:rsidP="00737AB3">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39663603" w14:textId="77777777" w:rsidR="00C571EA" w:rsidRPr="00487CAB" w:rsidRDefault="00C571EA" w:rsidP="00737AB3">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2132E9CF" w14:textId="77777777" w:rsidR="00C571EA" w:rsidRPr="00487CAB" w:rsidRDefault="00C571EA" w:rsidP="00737AB3">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39406013" w14:textId="77777777" w:rsidR="00C571EA" w:rsidRPr="00487CAB" w:rsidRDefault="00C571EA" w:rsidP="00737AB3">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C571EA" w:rsidRPr="00487CAB" w14:paraId="5A6E24CD" w14:textId="77777777" w:rsidTr="00737AB3">
        <w:tc>
          <w:tcPr>
            <w:tcW w:w="4410" w:type="dxa"/>
          </w:tcPr>
          <w:p w14:paraId="5C670F35" w14:textId="77777777" w:rsidR="00C571EA" w:rsidRPr="00487CAB" w:rsidRDefault="00C571EA" w:rsidP="00737AB3">
            <w:pPr>
              <w:tabs>
                <w:tab w:val="left" w:pos="144"/>
                <w:tab w:val="left" w:pos="324"/>
                <w:tab w:val="right" w:pos="9180"/>
              </w:tabs>
              <w:rPr>
                <w:snapToGrid w:val="0"/>
                <w:color w:val="000000"/>
                <w:sz w:val="19"/>
                <w:szCs w:val="19"/>
              </w:rPr>
            </w:pPr>
          </w:p>
        </w:tc>
        <w:tc>
          <w:tcPr>
            <w:tcW w:w="1260" w:type="dxa"/>
            <w:tcBorders>
              <w:top w:val="single" w:sz="4" w:space="0" w:color="auto"/>
              <w:bottom w:val="single" w:sz="4" w:space="0" w:color="auto"/>
            </w:tcBorders>
          </w:tcPr>
          <w:p w14:paraId="78BF3E8A" w14:textId="77777777" w:rsidR="00C571EA" w:rsidRPr="00487CAB" w:rsidRDefault="00C571EA" w:rsidP="00737AB3">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080" w:type="dxa"/>
            <w:tcBorders>
              <w:top w:val="single" w:sz="4" w:space="0" w:color="auto"/>
              <w:bottom w:val="single" w:sz="4" w:space="0" w:color="auto"/>
            </w:tcBorders>
          </w:tcPr>
          <w:p w14:paraId="5BCF2F9D" w14:textId="77777777" w:rsidR="00C571EA" w:rsidRPr="00487CAB" w:rsidRDefault="00C571EA" w:rsidP="00737AB3">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36628110" w14:textId="77777777" w:rsidR="00C571EA" w:rsidRPr="00487CAB" w:rsidRDefault="00C571EA" w:rsidP="00737AB3">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BFE1348" w14:textId="77777777" w:rsidR="00C571EA" w:rsidRPr="00487CAB" w:rsidRDefault="00C571EA" w:rsidP="00737AB3">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5D36B481" w14:textId="77777777" w:rsidR="00C571EA" w:rsidRPr="00487CAB" w:rsidRDefault="00C571EA" w:rsidP="00737AB3">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16B7A2BD" w14:textId="77777777" w:rsidR="00C571EA" w:rsidRPr="00487CAB" w:rsidRDefault="00C571EA" w:rsidP="00737AB3">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1DEAF964" w14:textId="77777777" w:rsidR="00C571EA" w:rsidRPr="00487CAB" w:rsidRDefault="00C571EA" w:rsidP="00737AB3">
            <w:pPr>
              <w:tabs>
                <w:tab w:val="left" w:pos="2340"/>
                <w:tab w:val="right" w:pos="9180"/>
              </w:tabs>
              <w:jc w:val="center"/>
              <w:rPr>
                <w:snapToGrid w:val="0"/>
                <w:color w:val="000000"/>
                <w:sz w:val="19"/>
                <w:szCs w:val="19"/>
              </w:rPr>
            </w:pPr>
            <w:r w:rsidRPr="00487CAB">
              <w:rPr>
                <w:snapToGrid w:val="0"/>
                <w:color w:val="000000"/>
                <w:sz w:val="19"/>
                <w:szCs w:val="19"/>
              </w:rPr>
              <w:t>Equity (Deficiency)</w:t>
            </w:r>
          </w:p>
        </w:tc>
      </w:tr>
      <w:tr w:rsidR="00C571EA" w:rsidRPr="00487CAB" w14:paraId="491A9D43" w14:textId="77777777" w:rsidTr="00737AB3">
        <w:tc>
          <w:tcPr>
            <w:tcW w:w="4410" w:type="dxa"/>
          </w:tcPr>
          <w:p w14:paraId="4E86C482" w14:textId="77777777" w:rsidR="00C571EA" w:rsidRPr="00487CAB" w:rsidRDefault="00C571EA" w:rsidP="00737AB3">
            <w:pPr>
              <w:tabs>
                <w:tab w:val="left" w:pos="144"/>
                <w:tab w:val="left" w:pos="324"/>
                <w:tab w:val="right" w:pos="9180"/>
              </w:tabs>
              <w:rPr>
                <w:snapToGrid w:val="0"/>
                <w:color w:val="000000"/>
                <w:sz w:val="19"/>
                <w:szCs w:val="19"/>
              </w:rPr>
            </w:pPr>
            <w:r w:rsidRPr="00487CAB">
              <w:rPr>
                <w:snapToGrid w:val="0"/>
                <w:color w:val="000000"/>
                <w:sz w:val="19"/>
                <w:szCs w:val="19"/>
              </w:rPr>
              <w:t>Balance at December 31, 201</w:t>
            </w:r>
            <w:r>
              <w:rPr>
                <w:snapToGrid w:val="0"/>
                <w:color w:val="000000"/>
                <w:sz w:val="19"/>
                <w:szCs w:val="19"/>
              </w:rPr>
              <w:t>7</w:t>
            </w:r>
          </w:p>
        </w:tc>
        <w:tc>
          <w:tcPr>
            <w:tcW w:w="1260" w:type="dxa"/>
            <w:tcBorders>
              <w:top w:val="single" w:sz="4" w:space="0" w:color="auto"/>
            </w:tcBorders>
          </w:tcPr>
          <w:p w14:paraId="232D889E" w14:textId="77777777" w:rsidR="00C571EA" w:rsidRPr="00487CAB" w:rsidRDefault="00C571EA" w:rsidP="00737AB3">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3,670</w:t>
            </w:r>
          </w:p>
        </w:tc>
        <w:tc>
          <w:tcPr>
            <w:tcW w:w="1080" w:type="dxa"/>
            <w:tcBorders>
              <w:top w:val="single" w:sz="4" w:space="0" w:color="auto"/>
            </w:tcBorders>
          </w:tcPr>
          <w:p w14:paraId="24DEE3A0" w14:textId="77777777" w:rsidR="00C571EA" w:rsidRPr="00487CAB" w:rsidRDefault="00C571EA" w:rsidP="00737AB3">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1,899,085</w:t>
            </w:r>
          </w:p>
        </w:tc>
        <w:tc>
          <w:tcPr>
            <w:tcW w:w="1080" w:type="dxa"/>
            <w:tcBorders>
              <w:top w:val="single" w:sz="4" w:space="0" w:color="auto"/>
            </w:tcBorders>
          </w:tcPr>
          <w:p w14:paraId="15CF3CE1"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213,474</w:t>
            </w:r>
          </w:p>
        </w:tc>
        <w:tc>
          <w:tcPr>
            <w:tcW w:w="1170" w:type="dxa"/>
            <w:tcBorders>
              <w:top w:val="single" w:sz="4" w:space="0" w:color="auto"/>
            </w:tcBorders>
          </w:tcPr>
          <w:p w14:paraId="4A5F4FB7"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213</w:t>
            </w:r>
          </w:p>
        </w:tc>
        <w:tc>
          <w:tcPr>
            <w:tcW w:w="1440" w:type="dxa"/>
            <w:tcBorders>
              <w:top w:val="single" w:sz="4" w:space="0" w:color="auto"/>
            </w:tcBorders>
          </w:tcPr>
          <w:p w14:paraId="4582005D"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35,696,435</w:t>
            </w:r>
          </w:p>
        </w:tc>
        <w:tc>
          <w:tcPr>
            <w:tcW w:w="1350" w:type="dxa"/>
            <w:tcBorders>
              <w:top w:val="single" w:sz="4" w:space="0" w:color="auto"/>
            </w:tcBorders>
          </w:tcPr>
          <w:p w14:paraId="2754C44E" w14:textId="77777777" w:rsidR="00C571EA" w:rsidRPr="00487CAB" w:rsidRDefault="00C571EA" w:rsidP="00737AB3">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37,916,790</w:t>
            </w:r>
            <w:r w:rsidRPr="00487CAB">
              <w:rPr>
                <w:snapToGrid w:val="0"/>
                <w:color w:val="000000"/>
                <w:sz w:val="19"/>
                <w:szCs w:val="19"/>
              </w:rPr>
              <w:t>)</w:t>
            </w:r>
          </w:p>
        </w:tc>
        <w:tc>
          <w:tcPr>
            <w:tcW w:w="1800" w:type="dxa"/>
            <w:tcBorders>
              <w:top w:val="single" w:sz="4" w:space="0" w:color="auto"/>
            </w:tcBorders>
          </w:tcPr>
          <w:p w14:paraId="79FBB9FA" w14:textId="77777777" w:rsidR="00C571EA" w:rsidRPr="00487CAB" w:rsidRDefault="00C571EA" w:rsidP="00737AB3">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w:t>
            </w:r>
            <w:r>
              <w:rPr>
                <w:snapToGrid w:val="0"/>
                <w:color w:val="000000"/>
                <w:sz w:val="19"/>
                <w:szCs w:val="19"/>
              </w:rPr>
              <w:t>321,057</w:t>
            </w:r>
            <w:r w:rsidRPr="00487CAB">
              <w:rPr>
                <w:snapToGrid w:val="0"/>
                <w:color w:val="000000"/>
                <w:sz w:val="19"/>
                <w:szCs w:val="19"/>
              </w:rPr>
              <w:t>)</w:t>
            </w:r>
          </w:p>
        </w:tc>
      </w:tr>
      <w:tr w:rsidR="00C571EA" w:rsidRPr="00487CAB" w14:paraId="0DA2356B" w14:textId="77777777" w:rsidTr="00737AB3">
        <w:tc>
          <w:tcPr>
            <w:tcW w:w="4410" w:type="dxa"/>
          </w:tcPr>
          <w:p w14:paraId="1D0FED7B" w14:textId="77777777" w:rsidR="00C571EA" w:rsidRPr="00487CAB" w:rsidRDefault="00C571EA" w:rsidP="00737AB3">
            <w:pPr>
              <w:tabs>
                <w:tab w:val="left" w:pos="144"/>
                <w:tab w:val="left" w:pos="324"/>
                <w:tab w:val="right" w:pos="9180"/>
              </w:tabs>
              <w:rPr>
                <w:snapToGrid w:val="0"/>
                <w:color w:val="000000"/>
                <w:sz w:val="19"/>
                <w:szCs w:val="19"/>
              </w:rPr>
            </w:pPr>
            <w:r>
              <w:rPr>
                <w:snapToGrid w:val="0"/>
                <w:color w:val="000000"/>
                <w:sz w:val="19"/>
                <w:szCs w:val="19"/>
              </w:rPr>
              <w:tab/>
              <w:t>Sale of convertible preferred stock for cash</w:t>
            </w:r>
          </w:p>
        </w:tc>
        <w:tc>
          <w:tcPr>
            <w:tcW w:w="1260" w:type="dxa"/>
          </w:tcPr>
          <w:p w14:paraId="07164EDF" w14:textId="77777777" w:rsidR="00C571EA" w:rsidRPr="00487CAB" w:rsidRDefault="00C571EA" w:rsidP="00737AB3">
            <w:pPr>
              <w:tabs>
                <w:tab w:val="decimal" w:pos="917"/>
                <w:tab w:val="left" w:pos="2340"/>
                <w:tab w:val="right" w:pos="9180"/>
              </w:tabs>
              <w:rPr>
                <w:snapToGrid w:val="0"/>
                <w:color w:val="000000"/>
                <w:sz w:val="19"/>
                <w:szCs w:val="19"/>
              </w:rPr>
            </w:pPr>
            <w:r>
              <w:rPr>
                <w:snapToGrid w:val="0"/>
                <w:color w:val="000000"/>
                <w:sz w:val="19"/>
                <w:szCs w:val="19"/>
              </w:rPr>
              <w:tab/>
              <w:t>600</w:t>
            </w:r>
          </w:p>
        </w:tc>
        <w:tc>
          <w:tcPr>
            <w:tcW w:w="1080" w:type="dxa"/>
          </w:tcPr>
          <w:p w14:paraId="7DDC638D"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ab/>
              <w:t>590,000</w:t>
            </w:r>
          </w:p>
        </w:tc>
        <w:tc>
          <w:tcPr>
            <w:tcW w:w="1080" w:type="dxa"/>
          </w:tcPr>
          <w:p w14:paraId="0AE40E50"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A05D0BA"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C255C37"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350" w:type="dxa"/>
          </w:tcPr>
          <w:p w14:paraId="404F925B" w14:textId="77777777" w:rsidR="00C571EA" w:rsidRPr="00487CAB" w:rsidRDefault="00C571EA" w:rsidP="00737AB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47AE87F2" w14:textId="77777777" w:rsidR="00C571EA" w:rsidRPr="00487CAB" w:rsidRDefault="00C571EA" w:rsidP="00737AB3">
            <w:pPr>
              <w:tabs>
                <w:tab w:val="decimal" w:pos="1418"/>
                <w:tab w:val="right" w:pos="9180"/>
              </w:tabs>
              <w:rPr>
                <w:snapToGrid w:val="0"/>
                <w:color w:val="000000"/>
                <w:sz w:val="19"/>
                <w:szCs w:val="19"/>
              </w:rPr>
            </w:pPr>
            <w:r>
              <w:rPr>
                <w:snapToGrid w:val="0"/>
                <w:color w:val="000000"/>
                <w:sz w:val="19"/>
                <w:szCs w:val="19"/>
              </w:rPr>
              <w:tab/>
              <w:t>590,000</w:t>
            </w:r>
          </w:p>
        </w:tc>
      </w:tr>
      <w:tr w:rsidR="00C571EA" w:rsidRPr="00487CAB" w14:paraId="17F5DF35" w14:textId="77777777" w:rsidTr="00737AB3">
        <w:tc>
          <w:tcPr>
            <w:tcW w:w="4410" w:type="dxa"/>
          </w:tcPr>
          <w:p w14:paraId="22E80FEE" w14:textId="77777777" w:rsidR="00C571EA" w:rsidRPr="00487CAB" w:rsidRDefault="00C571EA" w:rsidP="00737AB3">
            <w:pPr>
              <w:tabs>
                <w:tab w:val="left" w:pos="144"/>
                <w:tab w:val="left" w:pos="324"/>
                <w:tab w:val="right" w:pos="9180"/>
              </w:tabs>
              <w:rPr>
                <w:snapToGrid w:val="0"/>
                <w:color w:val="000000"/>
                <w:sz w:val="19"/>
                <w:szCs w:val="19"/>
              </w:rPr>
            </w:pPr>
            <w:r>
              <w:rPr>
                <w:snapToGrid w:val="0"/>
                <w:color w:val="000000"/>
                <w:sz w:val="19"/>
                <w:szCs w:val="19"/>
              </w:rPr>
              <w:tab/>
              <w:t>Conversion of preferred stock to common stock</w:t>
            </w:r>
          </w:p>
        </w:tc>
        <w:tc>
          <w:tcPr>
            <w:tcW w:w="1260" w:type="dxa"/>
          </w:tcPr>
          <w:p w14:paraId="3BB7F0EF" w14:textId="77777777" w:rsidR="00C571EA" w:rsidRPr="00487CAB" w:rsidRDefault="00C571EA" w:rsidP="00737AB3">
            <w:pPr>
              <w:tabs>
                <w:tab w:val="decimal" w:pos="917"/>
                <w:tab w:val="left" w:pos="2340"/>
                <w:tab w:val="right" w:pos="9180"/>
              </w:tabs>
              <w:rPr>
                <w:snapToGrid w:val="0"/>
                <w:color w:val="000000"/>
                <w:sz w:val="19"/>
                <w:szCs w:val="19"/>
              </w:rPr>
            </w:pPr>
            <w:r>
              <w:rPr>
                <w:snapToGrid w:val="0"/>
                <w:color w:val="000000"/>
                <w:sz w:val="19"/>
                <w:szCs w:val="19"/>
              </w:rPr>
              <w:tab/>
              <w:t>(450)</w:t>
            </w:r>
          </w:p>
        </w:tc>
        <w:tc>
          <w:tcPr>
            <w:tcW w:w="1080" w:type="dxa"/>
          </w:tcPr>
          <w:p w14:paraId="1AA2C1A4"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ab/>
              <w:t>(441,000)</w:t>
            </w:r>
          </w:p>
        </w:tc>
        <w:tc>
          <w:tcPr>
            <w:tcW w:w="1080" w:type="dxa"/>
          </w:tcPr>
          <w:p w14:paraId="70EB689F"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60,000</w:t>
            </w:r>
          </w:p>
        </w:tc>
        <w:tc>
          <w:tcPr>
            <w:tcW w:w="1170" w:type="dxa"/>
          </w:tcPr>
          <w:p w14:paraId="121996DF"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60</w:t>
            </w:r>
          </w:p>
        </w:tc>
        <w:tc>
          <w:tcPr>
            <w:tcW w:w="1440" w:type="dxa"/>
          </w:tcPr>
          <w:p w14:paraId="7ABDAD45"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440,940</w:t>
            </w:r>
          </w:p>
        </w:tc>
        <w:tc>
          <w:tcPr>
            <w:tcW w:w="1350" w:type="dxa"/>
          </w:tcPr>
          <w:p w14:paraId="59AD1C1D" w14:textId="77777777" w:rsidR="00C571EA" w:rsidRPr="00487CAB" w:rsidRDefault="00C571EA" w:rsidP="00737AB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611C5BAD" w14:textId="77777777" w:rsidR="00C571EA" w:rsidRPr="00487CAB" w:rsidRDefault="00C571EA" w:rsidP="00737AB3">
            <w:pPr>
              <w:tabs>
                <w:tab w:val="decimal" w:pos="1418"/>
                <w:tab w:val="right" w:pos="9180"/>
              </w:tabs>
              <w:rPr>
                <w:snapToGrid w:val="0"/>
                <w:color w:val="000000"/>
                <w:sz w:val="19"/>
                <w:szCs w:val="19"/>
              </w:rPr>
            </w:pPr>
            <w:r>
              <w:rPr>
                <w:snapToGrid w:val="0"/>
                <w:color w:val="000000"/>
                <w:sz w:val="19"/>
                <w:szCs w:val="19"/>
              </w:rPr>
              <w:tab/>
              <w:t>-</w:t>
            </w:r>
          </w:p>
        </w:tc>
      </w:tr>
      <w:tr w:rsidR="00C571EA" w:rsidRPr="00487CAB" w14:paraId="36355616" w14:textId="77777777" w:rsidTr="00737AB3">
        <w:tc>
          <w:tcPr>
            <w:tcW w:w="4410" w:type="dxa"/>
          </w:tcPr>
          <w:p w14:paraId="4E80A22F" w14:textId="77777777" w:rsidR="00C571EA" w:rsidRDefault="00C571EA" w:rsidP="00737AB3">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260" w:type="dxa"/>
          </w:tcPr>
          <w:p w14:paraId="37DACC2D" w14:textId="77777777" w:rsidR="00C571EA" w:rsidRPr="00487CAB" w:rsidRDefault="00C571EA" w:rsidP="00737AB3">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Pr>
          <w:p w14:paraId="5FD7B1CA"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70CC6B3F"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10,000</w:t>
            </w:r>
          </w:p>
        </w:tc>
        <w:tc>
          <w:tcPr>
            <w:tcW w:w="1170" w:type="dxa"/>
          </w:tcPr>
          <w:p w14:paraId="6D3B3A0F"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10</w:t>
            </w:r>
          </w:p>
        </w:tc>
        <w:tc>
          <w:tcPr>
            <w:tcW w:w="1440" w:type="dxa"/>
          </w:tcPr>
          <w:p w14:paraId="142F3A21"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199,990</w:t>
            </w:r>
          </w:p>
        </w:tc>
        <w:tc>
          <w:tcPr>
            <w:tcW w:w="1350" w:type="dxa"/>
          </w:tcPr>
          <w:p w14:paraId="72D5AE05" w14:textId="77777777" w:rsidR="00C571EA" w:rsidRPr="00487CAB" w:rsidRDefault="00C571EA" w:rsidP="00737AB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0A81F233" w14:textId="77777777" w:rsidR="00C571EA" w:rsidRPr="00487CAB" w:rsidRDefault="00C571EA" w:rsidP="00737AB3">
            <w:pPr>
              <w:tabs>
                <w:tab w:val="decimal" w:pos="1418"/>
                <w:tab w:val="right" w:pos="9180"/>
              </w:tabs>
              <w:rPr>
                <w:snapToGrid w:val="0"/>
                <w:color w:val="000000"/>
                <w:sz w:val="19"/>
                <w:szCs w:val="19"/>
              </w:rPr>
            </w:pPr>
            <w:r>
              <w:rPr>
                <w:snapToGrid w:val="0"/>
                <w:color w:val="000000"/>
                <w:sz w:val="19"/>
                <w:szCs w:val="19"/>
              </w:rPr>
              <w:tab/>
              <w:t>200,000</w:t>
            </w:r>
          </w:p>
        </w:tc>
      </w:tr>
      <w:tr w:rsidR="00C571EA" w:rsidRPr="00487CAB" w14:paraId="5F3536A6" w14:textId="77777777" w:rsidTr="00737AB3">
        <w:tc>
          <w:tcPr>
            <w:tcW w:w="4410" w:type="dxa"/>
          </w:tcPr>
          <w:p w14:paraId="37344F60" w14:textId="77777777" w:rsidR="00C571EA" w:rsidRDefault="00C571EA" w:rsidP="00737AB3">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260" w:type="dxa"/>
          </w:tcPr>
          <w:p w14:paraId="6CD5F75B" w14:textId="77777777" w:rsidR="00C571EA" w:rsidRPr="00487CAB" w:rsidRDefault="00C571EA" w:rsidP="00737AB3">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Pr>
          <w:p w14:paraId="677F43F6"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85F0F68"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11DED6DC"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2CE573BD"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23,978</w:t>
            </w:r>
          </w:p>
        </w:tc>
        <w:tc>
          <w:tcPr>
            <w:tcW w:w="1350" w:type="dxa"/>
          </w:tcPr>
          <w:p w14:paraId="7995EDE0" w14:textId="77777777" w:rsidR="00C571EA" w:rsidRPr="00487CAB" w:rsidRDefault="00C571EA" w:rsidP="00737AB3">
            <w:pPr>
              <w:tabs>
                <w:tab w:val="decimal" w:pos="1150"/>
                <w:tab w:val="left" w:pos="2340"/>
                <w:tab w:val="right" w:pos="9180"/>
              </w:tabs>
              <w:rPr>
                <w:snapToGrid w:val="0"/>
                <w:color w:val="000000"/>
                <w:sz w:val="19"/>
                <w:szCs w:val="19"/>
              </w:rPr>
            </w:pPr>
            <w:r>
              <w:rPr>
                <w:snapToGrid w:val="0"/>
                <w:color w:val="000000"/>
                <w:sz w:val="19"/>
                <w:szCs w:val="19"/>
              </w:rPr>
              <w:tab/>
            </w:r>
          </w:p>
        </w:tc>
        <w:tc>
          <w:tcPr>
            <w:tcW w:w="1800" w:type="dxa"/>
          </w:tcPr>
          <w:p w14:paraId="07D3B0E0" w14:textId="77777777" w:rsidR="00C571EA" w:rsidRPr="00487CAB" w:rsidRDefault="00C571EA" w:rsidP="00737AB3">
            <w:pPr>
              <w:tabs>
                <w:tab w:val="decimal" w:pos="1418"/>
                <w:tab w:val="right" w:pos="9180"/>
              </w:tabs>
              <w:rPr>
                <w:snapToGrid w:val="0"/>
                <w:color w:val="000000"/>
                <w:sz w:val="19"/>
                <w:szCs w:val="19"/>
              </w:rPr>
            </w:pPr>
            <w:r>
              <w:rPr>
                <w:snapToGrid w:val="0"/>
                <w:color w:val="000000"/>
                <w:sz w:val="19"/>
                <w:szCs w:val="19"/>
              </w:rPr>
              <w:tab/>
              <w:t>23,978</w:t>
            </w:r>
          </w:p>
        </w:tc>
      </w:tr>
      <w:tr w:rsidR="00C571EA" w:rsidRPr="00487CAB" w14:paraId="11F3BE9C" w14:textId="77777777" w:rsidTr="00737AB3">
        <w:tc>
          <w:tcPr>
            <w:tcW w:w="4410" w:type="dxa"/>
          </w:tcPr>
          <w:p w14:paraId="177E5DC4" w14:textId="77777777" w:rsidR="00C571EA" w:rsidRPr="00487CAB" w:rsidRDefault="00C571EA" w:rsidP="00737AB3">
            <w:pPr>
              <w:tabs>
                <w:tab w:val="left" w:pos="144"/>
                <w:tab w:val="left" w:pos="324"/>
                <w:tab w:val="right" w:pos="9180"/>
              </w:tabs>
              <w:rPr>
                <w:snapToGrid w:val="0"/>
                <w:color w:val="000000"/>
                <w:sz w:val="19"/>
                <w:szCs w:val="19"/>
              </w:rPr>
            </w:pPr>
            <w:r>
              <w:rPr>
                <w:snapToGrid w:val="0"/>
                <w:color w:val="000000"/>
                <w:sz w:val="19"/>
                <w:szCs w:val="19"/>
              </w:rPr>
              <w:tab/>
              <w:t>Net loss for the three months ended March 31, 2018</w:t>
            </w:r>
          </w:p>
        </w:tc>
        <w:tc>
          <w:tcPr>
            <w:tcW w:w="1260" w:type="dxa"/>
          </w:tcPr>
          <w:p w14:paraId="65DFEB69" w14:textId="77777777" w:rsidR="00C571EA" w:rsidRPr="00487CAB" w:rsidRDefault="00C571EA" w:rsidP="00737AB3">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Pr>
          <w:p w14:paraId="5A5718B9"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5A5C5B87"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4304095"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6A2A553D"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350" w:type="dxa"/>
          </w:tcPr>
          <w:p w14:paraId="7514FF71" w14:textId="77777777" w:rsidR="00C571EA" w:rsidRPr="00487CAB" w:rsidRDefault="00C571EA" w:rsidP="00737AB3">
            <w:pPr>
              <w:tabs>
                <w:tab w:val="decimal" w:pos="1150"/>
                <w:tab w:val="left" w:pos="2340"/>
                <w:tab w:val="right" w:pos="9180"/>
              </w:tabs>
              <w:rPr>
                <w:snapToGrid w:val="0"/>
                <w:color w:val="000000"/>
                <w:sz w:val="19"/>
                <w:szCs w:val="19"/>
              </w:rPr>
            </w:pPr>
            <w:r>
              <w:rPr>
                <w:snapToGrid w:val="0"/>
                <w:color w:val="000000"/>
                <w:sz w:val="19"/>
                <w:szCs w:val="19"/>
              </w:rPr>
              <w:tab/>
              <w:t>(621,813)</w:t>
            </w:r>
          </w:p>
        </w:tc>
        <w:tc>
          <w:tcPr>
            <w:tcW w:w="1800" w:type="dxa"/>
          </w:tcPr>
          <w:p w14:paraId="41987CAD" w14:textId="77777777" w:rsidR="00C571EA" w:rsidRPr="00487CAB" w:rsidRDefault="00C571EA" w:rsidP="00737AB3">
            <w:pPr>
              <w:tabs>
                <w:tab w:val="decimal" w:pos="1418"/>
                <w:tab w:val="right" w:pos="9180"/>
              </w:tabs>
              <w:rPr>
                <w:snapToGrid w:val="0"/>
                <w:color w:val="000000"/>
                <w:sz w:val="19"/>
                <w:szCs w:val="19"/>
              </w:rPr>
            </w:pPr>
            <w:r>
              <w:rPr>
                <w:snapToGrid w:val="0"/>
                <w:color w:val="000000"/>
                <w:sz w:val="19"/>
                <w:szCs w:val="19"/>
              </w:rPr>
              <w:tab/>
              <w:t>(621,813)</w:t>
            </w:r>
          </w:p>
        </w:tc>
      </w:tr>
      <w:tr w:rsidR="00C571EA" w:rsidRPr="00487CAB" w14:paraId="6EBAA533" w14:textId="77777777" w:rsidTr="00737AB3">
        <w:tc>
          <w:tcPr>
            <w:tcW w:w="4410" w:type="dxa"/>
          </w:tcPr>
          <w:p w14:paraId="4EE41E45" w14:textId="77777777" w:rsidR="00C571EA" w:rsidRPr="00487CAB" w:rsidRDefault="00C571EA" w:rsidP="00737AB3">
            <w:pPr>
              <w:tabs>
                <w:tab w:val="left" w:pos="144"/>
                <w:tab w:val="left" w:pos="324"/>
                <w:tab w:val="right" w:pos="9180"/>
              </w:tabs>
              <w:rPr>
                <w:snapToGrid w:val="0"/>
                <w:color w:val="000000"/>
                <w:sz w:val="19"/>
                <w:szCs w:val="19"/>
              </w:rPr>
            </w:pPr>
            <w:r w:rsidRPr="00487CAB">
              <w:rPr>
                <w:snapToGrid w:val="0"/>
                <w:color w:val="000000"/>
                <w:sz w:val="19"/>
                <w:szCs w:val="19"/>
              </w:rPr>
              <w:t xml:space="preserve">Balance at </w:t>
            </w:r>
            <w:r>
              <w:rPr>
                <w:snapToGrid w:val="0"/>
                <w:color w:val="000000"/>
                <w:sz w:val="19"/>
                <w:szCs w:val="19"/>
              </w:rPr>
              <w:t>March</w:t>
            </w:r>
            <w:r w:rsidRPr="00487CAB">
              <w:rPr>
                <w:snapToGrid w:val="0"/>
                <w:color w:val="000000"/>
                <w:sz w:val="19"/>
                <w:szCs w:val="19"/>
              </w:rPr>
              <w:t xml:space="preserve"> 31, 2018</w:t>
            </w:r>
          </w:p>
        </w:tc>
        <w:tc>
          <w:tcPr>
            <w:tcW w:w="1260" w:type="dxa"/>
            <w:tcBorders>
              <w:top w:val="single" w:sz="4" w:space="0" w:color="auto"/>
            </w:tcBorders>
          </w:tcPr>
          <w:p w14:paraId="206A0E5E" w14:textId="77777777" w:rsidR="00C571EA" w:rsidRPr="00487CAB" w:rsidRDefault="00C571EA" w:rsidP="00737AB3">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3,820</w:t>
            </w:r>
          </w:p>
        </w:tc>
        <w:tc>
          <w:tcPr>
            <w:tcW w:w="1080" w:type="dxa"/>
            <w:tcBorders>
              <w:top w:val="single" w:sz="4" w:space="0" w:color="auto"/>
            </w:tcBorders>
          </w:tcPr>
          <w:p w14:paraId="1FB5E2B3"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2,048,085</w:t>
            </w:r>
          </w:p>
        </w:tc>
        <w:tc>
          <w:tcPr>
            <w:tcW w:w="1080" w:type="dxa"/>
            <w:tcBorders>
              <w:top w:val="single" w:sz="4" w:space="0" w:color="auto"/>
            </w:tcBorders>
          </w:tcPr>
          <w:p w14:paraId="1FC6A97F"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283,474</w:t>
            </w:r>
          </w:p>
        </w:tc>
        <w:tc>
          <w:tcPr>
            <w:tcW w:w="1170" w:type="dxa"/>
            <w:tcBorders>
              <w:top w:val="single" w:sz="4" w:space="0" w:color="auto"/>
            </w:tcBorders>
          </w:tcPr>
          <w:p w14:paraId="23613705"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283</w:t>
            </w:r>
          </w:p>
        </w:tc>
        <w:tc>
          <w:tcPr>
            <w:tcW w:w="1440" w:type="dxa"/>
            <w:tcBorders>
              <w:top w:val="single" w:sz="4" w:space="0" w:color="auto"/>
            </w:tcBorders>
          </w:tcPr>
          <w:p w14:paraId="63887209"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36,361,343</w:t>
            </w:r>
          </w:p>
        </w:tc>
        <w:tc>
          <w:tcPr>
            <w:tcW w:w="1350" w:type="dxa"/>
            <w:tcBorders>
              <w:top w:val="single" w:sz="4" w:space="0" w:color="auto"/>
            </w:tcBorders>
          </w:tcPr>
          <w:p w14:paraId="048BBE75" w14:textId="77777777" w:rsidR="00C571EA" w:rsidRPr="00487CAB" w:rsidRDefault="00C571EA" w:rsidP="00737AB3">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38,538,603</w:t>
            </w:r>
            <w:r w:rsidRPr="00487CAB">
              <w:rPr>
                <w:snapToGrid w:val="0"/>
                <w:color w:val="000000"/>
                <w:sz w:val="19"/>
                <w:szCs w:val="19"/>
              </w:rPr>
              <w:t>)</w:t>
            </w:r>
          </w:p>
        </w:tc>
        <w:tc>
          <w:tcPr>
            <w:tcW w:w="1800" w:type="dxa"/>
            <w:tcBorders>
              <w:top w:val="single" w:sz="4" w:space="0" w:color="auto"/>
            </w:tcBorders>
          </w:tcPr>
          <w:p w14:paraId="0016334C" w14:textId="77777777" w:rsidR="00C571EA" w:rsidRPr="00487CAB" w:rsidRDefault="00C571EA" w:rsidP="00737AB3">
            <w:pPr>
              <w:tabs>
                <w:tab w:val="decimal" w:pos="1418"/>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128,892</w:t>
            </w:r>
            <w:r w:rsidRPr="00487CAB">
              <w:rPr>
                <w:snapToGrid w:val="0"/>
                <w:color w:val="000000"/>
                <w:sz w:val="19"/>
                <w:szCs w:val="19"/>
              </w:rPr>
              <w:t>)</w:t>
            </w:r>
          </w:p>
        </w:tc>
      </w:tr>
      <w:tr w:rsidR="00C571EA" w:rsidRPr="00487CAB" w14:paraId="45521383" w14:textId="77777777" w:rsidTr="00737AB3">
        <w:tc>
          <w:tcPr>
            <w:tcW w:w="4410" w:type="dxa"/>
          </w:tcPr>
          <w:p w14:paraId="09609762" w14:textId="77777777" w:rsidR="00C571EA" w:rsidRPr="00487CAB" w:rsidRDefault="00C571EA" w:rsidP="00737AB3">
            <w:pPr>
              <w:tabs>
                <w:tab w:val="left" w:pos="144"/>
                <w:tab w:val="left" w:pos="324"/>
                <w:tab w:val="right" w:pos="9180"/>
              </w:tabs>
              <w:rPr>
                <w:snapToGrid w:val="0"/>
                <w:color w:val="000000"/>
                <w:sz w:val="19"/>
                <w:szCs w:val="19"/>
              </w:rPr>
            </w:pPr>
            <w:bookmarkStart w:id="9" w:name="_Hlk22049740"/>
            <w:r>
              <w:rPr>
                <w:snapToGrid w:val="0"/>
                <w:color w:val="000000"/>
                <w:sz w:val="19"/>
                <w:szCs w:val="19"/>
              </w:rPr>
              <w:tab/>
              <w:t>Conversion of preferred stock to common stock</w:t>
            </w:r>
          </w:p>
        </w:tc>
        <w:tc>
          <w:tcPr>
            <w:tcW w:w="1260" w:type="dxa"/>
          </w:tcPr>
          <w:p w14:paraId="599C4379" w14:textId="77777777" w:rsidR="00C571EA" w:rsidRPr="00487CAB" w:rsidRDefault="00C571EA" w:rsidP="00737AB3">
            <w:pPr>
              <w:tabs>
                <w:tab w:val="decimal" w:pos="917"/>
                <w:tab w:val="left" w:pos="2340"/>
                <w:tab w:val="right" w:pos="9180"/>
              </w:tabs>
              <w:rPr>
                <w:snapToGrid w:val="0"/>
                <w:color w:val="000000"/>
                <w:sz w:val="19"/>
                <w:szCs w:val="19"/>
              </w:rPr>
            </w:pPr>
            <w:r>
              <w:rPr>
                <w:snapToGrid w:val="0"/>
                <w:color w:val="000000"/>
                <w:sz w:val="19"/>
                <w:szCs w:val="19"/>
              </w:rPr>
              <w:tab/>
              <w:t>(345)</w:t>
            </w:r>
          </w:p>
        </w:tc>
        <w:tc>
          <w:tcPr>
            <w:tcW w:w="1080" w:type="dxa"/>
          </w:tcPr>
          <w:p w14:paraId="5AD54DA0"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ab/>
              <w:t>(338,100)</w:t>
            </w:r>
          </w:p>
        </w:tc>
        <w:tc>
          <w:tcPr>
            <w:tcW w:w="1080" w:type="dxa"/>
          </w:tcPr>
          <w:p w14:paraId="440FD6B4"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46,000</w:t>
            </w:r>
          </w:p>
        </w:tc>
        <w:tc>
          <w:tcPr>
            <w:tcW w:w="1170" w:type="dxa"/>
          </w:tcPr>
          <w:p w14:paraId="2EACA097"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46</w:t>
            </w:r>
          </w:p>
        </w:tc>
        <w:tc>
          <w:tcPr>
            <w:tcW w:w="1440" w:type="dxa"/>
          </w:tcPr>
          <w:p w14:paraId="2F999B98"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338,054</w:t>
            </w:r>
          </w:p>
        </w:tc>
        <w:tc>
          <w:tcPr>
            <w:tcW w:w="1350" w:type="dxa"/>
          </w:tcPr>
          <w:p w14:paraId="32F2EEC9" w14:textId="77777777" w:rsidR="00C571EA" w:rsidRPr="00487CAB" w:rsidRDefault="00C571EA" w:rsidP="00737AB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CBF6352" w14:textId="77777777" w:rsidR="00C571EA" w:rsidRPr="00487CAB" w:rsidRDefault="00C571EA" w:rsidP="00737AB3">
            <w:pPr>
              <w:tabs>
                <w:tab w:val="decimal" w:pos="1418"/>
                <w:tab w:val="right" w:pos="9180"/>
              </w:tabs>
              <w:rPr>
                <w:snapToGrid w:val="0"/>
                <w:color w:val="000000"/>
                <w:sz w:val="19"/>
                <w:szCs w:val="19"/>
              </w:rPr>
            </w:pPr>
            <w:r>
              <w:rPr>
                <w:snapToGrid w:val="0"/>
                <w:color w:val="000000"/>
                <w:sz w:val="19"/>
                <w:szCs w:val="19"/>
              </w:rPr>
              <w:tab/>
              <w:t>-</w:t>
            </w:r>
          </w:p>
        </w:tc>
      </w:tr>
      <w:tr w:rsidR="00C571EA" w:rsidRPr="00487CAB" w14:paraId="2DAECF58" w14:textId="77777777" w:rsidTr="00737AB3">
        <w:tc>
          <w:tcPr>
            <w:tcW w:w="4410" w:type="dxa"/>
          </w:tcPr>
          <w:p w14:paraId="78C35071" w14:textId="77777777" w:rsidR="00C571EA" w:rsidRDefault="00C571EA" w:rsidP="00737AB3">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260" w:type="dxa"/>
          </w:tcPr>
          <w:p w14:paraId="77F206AB" w14:textId="77777777" w:rsidR="00C571EA" w:rsidRPr="00487CAB" w:rsidRDefault="00C571EA" w:rsidP="00737AB3">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Pr>
          <w:p w14:paraId="1AF6C5A2"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0808A6E8"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4EF7B798"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04B2D98"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23,221</w:t>
            </w:r>
          </w:p>
        </w:tc>
        <w:tc>
          <w:tcPr>
            <w:tcW w:w="1350" w:type="dxa"/>
          </w:tcPr>
          <w:p w14:paraId="2F20DEDC" w14:textId="77777777" w:rsidR="00C571EA" w:rsidRPr="00487CAB" w:rsidRDefault="00C571EA" w:rsidP="00737AB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1B127212" w14:textId="77777777" w:rsidR="00C571EA" w:rsidRPr="00487CAB" w:rsidRDefault="00C571EA" w:rsidP="00737AB3">
            <w:pPr>
              <w:tabs>
                <w:tab w:val="decimal" w:pos="1418"/>
                <w:tab w:val="right" w:pos="9180"/>
              </w:tabs>
              <w:rPr>
                <w:snapToGrid w:val="0"/>
                <w:color w:val="000000"/>
                <w:sz w:val="19"/>
                <w:szCs w:val="19"/>
              </w:rPr>
            </w:pPr>
            <w:r>
              <w:rPr>
                <w:snapToGrid w:val="0"/>
                <w:color w:val="000000"/>
                <w:sz w:val="19"/>
                <w:szCs w:val="19"/>
              </w:rPr>
              <w:tab/>
              <w:t>23,221</w:t>
            </w:r>
          </w:p>
        </w:tc>
      </w:tr>
      <w:tr w:rsidR="00C571EA" w:rsidRPr="00487CAB" w14:paraId="5C6E1659" w14:textId="77777777" w:rsidTr="0019075D">
        <w:tc>
          <w:tcPr>
            <w:tcW w:w="4410" w:type="dxa"/>
          </w:tcPr>
          <w:p w14:paraId="26551C4A" w14:textId="77777777" w:rsidR="00C571EA" w:rsidRPr="00487CAB" w:rsidRDefault="00C571EA" w:rsidP="00737AB3">
            <w:pPr>
              <w:tabs>
                <w:tab w:val="left" w:pos="144"/>
                <w:tab w:val="left" w:pos="324"/>
                <w:tab w:val="right" w:pos="9180"/>
              </w:tabs>
              <w:rPr>
                <w:snapToGrid w:val="0"/>
                <w:color w:val="000000"/>
                <w:sz w:val="19"/>
                <w:szCs w:val="19"/>
              </w:rPr>
            </w:pPr>
            <w:r>
              <w:rPr>
                <w:snapToGrid w:val="0"/>
                <w:color w:val="000000"/>
                <w:sz w:val="19"/>
                <w:szCs w:val="19"/>
              </w:rPr>
              <w:tab/>
              <w:t>Net loss for the three months ended June 30, 2018</w:t>
            </w:r>
          </w:p>
        </w:tc>
        <w:tc>
          <w:tcPr>
            <w:tcW w:w="1260" w:type="dxa"/>
            <w:tcBorders>
              <w:bottom w:val="single" w:sz="4" w:space="0" w:color="auto"/>
            </w:tcBorders>
          </w:tcPr>
          <w:p w14:paraId="2A2B1B00" w14:textId="77777777" w:rsidR="00C571EA" w:rsidRPr="00487CAB" w:rsidRDefault="00C571EA" w:rsidP="00737AB3">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Borders>
              <w:bottom w:val="single" w:sz="4" w:space="0" w:color="auto"/>
            </w:tcBorders>
          </w:tcPr>
          <w:p w14:paraId="52B799DA" w14:textId="77777777" w:rsidR="00C571EA" w:rsidRPr="00487CAB" w:rsidRDefault="00C571EA" w:rsidP="00737AB3">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bottom w:val="single" w:sz="4" w:space="0" w:color="auto"/>
            </w:tcBorders>
          </w:tcPr>
          <w:p w14:paraId="68962BA4"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Borders>
              <w:bottom w:val="single" w:sz="4" w:space="0" w:color="auto"/>
            </w:tcBorders>
          </w:tcPr>
          <w:p w14:paraId="64151E8C"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Borders>
              <w:bottom w:val="single" w:sz="4" w:space="0" w:color="auto"/>
            </w:tcBorders>
          </w:tcPr>
          <w:p w14:paraId="1941D740"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350" w:type="dxa"/>
            <w:tcBorders>
              <w:bottom w:val="single" w:sz="4" w:space="0" w:color="auto"/>
            </w:tcBorders>
          </w:tcPr>
          <w:p w14:paraId="0DEB656E" w14:textId="77777777" w:rsidR="00C571EA" w:rsidRPr="00487CAB" w:rsidRDefault="00C571EA" w:rsidP="00737AB3">
            <w:pPr>
              <w:tabs>
                <w:tab w:val="decimal" w:pos="1150"/>
                <w:tab w:val="left" w:pos="2340"/>
                <w:tab w:val="right" w:pos="9180"/>
              </w:tabs>
              <w:rPr>
                <w:snapToGrid w:val="0"/>
                <w:color w:val="000000"/>
                <w:sz w:val="19"/>
                <w:szCs w:val="19"/>
              </w:rPr>
            </w:pPr>
            <w:r>
              <w:rPr>
                <w:snapToGrid w:val="0"/>
                <w:color w:val="000000"/>
                <w:sz w:val="19"/>
                <w:szCs w:val="19"/>
              </w:rPr>
              <w:tab/>
              <w:t>(637,043)</w:t>
            </w:r>
          </w:p>
        </w:tc>
        <w:tc>
          <w:tcPr>
            <w:tcW w:w="1800" w:type="dxa"/>
            <w:tcBorders>
              <w:bottom w:val="single" w:sz="4" w:space="0" w:color="auto"/>
            </w:tcBorders>
          </w:tcPr>
          <w:p w14:paraId="1A9EE2C3" w14:textId="77777777" w:rsidR="00C571EA" w:rsidRPr="00487CAB" w:rsidRDefault="00C571EA" w:rsidP="00737AB3">
            <w:pPr>
              <w:tabs>
                <w:tab w:val="decimal" w:pos="1418"/>
                <w:tab w:val="right" w:pos="9180"/>
              </w:tabs>
              <w:rPr>
                <w:snapToGrid w:val="0"/>
                <w:color w:val="000000"/>
                <w:sz w:val="19"/>
                <w:szCs w:val="19"/>
              </w:rPr>
            </w:pPr>
            <w:r>
              <w:rPr>
                <w:snapToGrid w:val="0"/>
                <w:color w:val="000000"/>
                <w:sz w:val="19"/>
                <w:szCs w:val="19"/>
              </w:rPr>
              <w:tab/>
              <w:t>(637,043)</w:t>
            </w:r>
          </w:p>
        </w:tc>
      </w:tr>
      <w:tr w:rsidR="00C571EA" w:rsidRPr="00487CAB" w14:paraId="288F6FF7" w14:textId="77777777" w:rsidTr="0019075D">
        <w:tc>
          <w:tcPr>
            <w:tcW w:w="4410" w:type="dxa"/>
          </w:tcPr>
          <w:p w14:paraId="065C476D" w14:textId="77777777" w:rsidR="00C571EA" w:rsidRPr="00487CAB" w:rsidRDefault="00C571EA" w:rsidP="00737AB3">
            <w:pPr>
              <w:tabs>
                <w:tab w:val="left" w:pos="144"/>
                <w:tab w:val="left" w:pos="324"/>
                <w:tab w:val="right" w:pos="9180"/>
              </w:tabs>
              <w:rPr>
                <w:snapToGrid w:val="0"/>
                <w:color w:val="000000"/>
                <w:sz w:val="19"/>
                <w:szCs w:val="19"/>
              </w:rPr>
            </w:pPr>
            <w:r w:rsidRPr="00487CAB">
              <w:rPr>
                <w:snapToGrid w:val="0"/>
                <w:color w:val="000000"/>
                <w:sz w:val="19"/>
                <w:szCs w:val="19"/>
              </w:rPr>
              <w:t xml:space="preserve">Balance at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2018</w:t>
            </w:r>
          </w:p>
        </w:tc>
        <w:tc>
          <w:tcPr>
            <w:tcW w:w="1260" w:type="dxa"/>
            <w:tcBorders>
              <w:top w:val="single" w:sz="4" w:space="0" w:color="auto"/>
            </w:tcBorders>
          </w:tcPr>
          <w:p w14:paraId="1D2CD413" w14:textId="77777777" w:rsidR="00C571EA" w:rsidRPr="00487CAB" w:rsidRDefault="00C571EA" w:rsidP="00737AB3">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3,475</w:t>
            </w:r>
          </w:p>
        </w:tc>
        <w:tc>
          <w:tcPr>
            <w:tcW w:w="1080" w:type="dxa"/>
            <w:tcBorders>
              <w:top w:val="single" w:sz="4" w:space="0" w:color="auto"/>
            </w:tcBorders>
          </w:tcPr>
          <w:p w14:paraId="5BD0AE93" w14:textId="56C7E5C0" w:rsidR="00C571EA" w:rsidRPr="00487CAB" w:rsidRDefault="00C571EA" w:rsidP="00737AB3">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1,709,985</w:t>
            </w:r>
          </w:p>
        </w:tc>
        <w:tc>
          <w:tcPr>
            <w:tcW w:w="1080" w:type="dxa"/>
            <w:tcBorders>
              <w:top w:val="single" w:sz="4" w:space="0" w:color="auto"/>
            </w:tcBorders>
          </w:tcPr>
          <w:p w14:paraId="6FC616CA" w14:textId="77777777"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329,474</w:t>
            </w:r>
          </w:p>
        </w:tc>
        <w:tc>
          <w:tcPr>
            <w:tcW w:w="1170" w:type="dxa"/>
            <w:tcBorders>
              <w:top w:val="single" w:sz="4" w:space="0" w:color="auto"/>
            </w:tcBorders>
          </w:tcPr>
          <w:p w14:paraId="1D6537F9" w14:textId="4DC5C952"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329</w:t>
            </w:r>
          </w:p>
        </w:tc>
        <w:tc>
          <w:tcPr>
            <w:tcW w:w="1440" w:type="dxa"/>
            <w:tcBorders>
              <w:top w:val="single" w:sz="4" w:space="0" w:color="auto"/>
            </w:tcBorders>
          </w:tcPr>
          <w:p w14:paraId="4F211735" w14:textId="37C92F13" w:rsidR="00C571EA" w:rsidRPr="00487CAB" w:rsidRDefault="00C571EA"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36,722,618</w:t>
            </w:r>
          </w:p>
        </w:tc>
        <w:tc>
          <w:tcPr>
            <w:tcW w:w="1350" w:type="dxa"/>
            <w:tcBorders>
              <w:top w:val="single" w:sz="4" w:space="0" w:color="auto"/>
            </w:tcBorders>
          </w:tcPr>
          <w:p w14:paraId="43843E98" w14:textId="3C1FAF0A" w:rsidR="00C571EA" w:rsidRPr="00487CAB" w:rsidRDefault="00C571EA" w:rsidP="00737AB3">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39,175,646</w:t>
            </w:r>
            <w:r w:rsidRPr="00487CAB">
              <w:rPr>
                <w:snapToGrid w:val="0"/>
                <w:color w:val="000000"/>
                <w:sz w:val="19"/>
                <w:szCs w:val="19"/>
              </w:rPr>
              <w:t>)</w:t>
            </w:r>
          </w:p>
        </w:tc>
        <w:tc>
          <w:tcPr>
            <w:tcW w:w="1800" w:type="dxa"/>
            <w:tcBorders>
              <w:top w:val="single" w:sz="4" w:space="0" w:color="auto"/>
            </w:tcBorders>
          </w:tcPr>
          <w:p w14:paraId="43622E1A" w14:textId="268AE2E2" w:rsidR="00C571EA" w:rsidRPr="00487CAB" w:rsidRDefault="00C571EA" w:rsidP="00737AB3">
            <w:pPr>
              <w:tabs>
                <w:tab w:val="decimal" w:pos="1418"/>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742,714</w:t>
            </w:r>
            <w:r w:rsidRPr="00487CAB">
              <w:rPr>
                <w:snapToGrid w:val="0"/>
                <w:color w:val="000000"/>
                <w:sz w:val="19"/>
                <w:szCs w:val="19"/>
              </w:rPr>
              <w:t>)</w:t>
            </w:r>
          </w:p>
        </w:tc>
      </w:tr>
      <w:bookmarkEnd w:id="9"/>
      <w:tr w:rsidR="0019075D" w:rsidRPr="00487CAB" w14:paraId="6756C272" w14:textId="77777777" w:rsidTr="0019075D">
        <w:tc>
          <w:tcPr>
            <w:tcW w:w="4410" w:type="dxa"/>
          </w:tcPr>
          <w:p w14:paraId="38F67EB8" w14:textId="571AF836" w:rsidR="0019075D" w:rsidRPr="00487CAB" w:rsidRDefault="0019075D" w:rsidP="00737AB3">
            <w:pPr>
              <w:tabs>
                <w:tab w:val="left" w:pos="144"/>
                <w:tab w:val="left" w:pos="324"/>
                <w:tab w:val="right" w:pos="9180"/>
              </w:tabs>
              <w:rPr>
                <w:snapToGrid w:val="0"/>
                <w:color w:val="000000"/>
                <w:sz w:val="19"/>
                <w:szCs w:val="19"/>
              </w:rPr>
            </w:pPr>
            <w:r>
              <w:rPr>
                <w:snapToGrid w:val="0"/>
                <w:color w:val="000000"/>
                <w:sz w:val="19"/>
                <w:szCs w:val="19"/>
              </w:rPr>
              <w:tab/>
              <w:t>Sale of convertible preferred stock for cash</w:t>
            </w:r>
          </w:p>
        </w:tc>
        <w:tc>
          <w:tcPr>
            <w:tcW w:w="1260" w:type="dxa"/>
          </w:tcPr>
          <w:p w14:paraId="6368226C" w14:textId="7F10B8D9" w:rsidR="0019075D" w:rsidRPr="00487CAB" w:rsidRDefault="0019075D" w:rsidP="00737AB3">
            <w:pPr>
              <w:tabs>
                <w:tab w:val="decimal" w:pos="917"/>
                <w:tab w:val="left" w:pos="2340"/>
                <w:tab w:val="right" w:pos="9180"/>
              </w:tabs>
              <w:rPr>
                <w:snapToGrid w:val="0"/>
                <w:color w:val="000000"/>
                <w:sz w:val="19"/>
                <w:szCs w:val="19"/>
              </w:rPr>
            </w:pPr>
            <w:r>
              <w:rPr>
                <w:snapToGrid w:val="0"/>
                <w:color w:val="000000"/>
                <w:sz w:val="19"/>
                <w:szCs w:val="19"/>
              </w:rPr>
              <w:tab/>
              <w:t>600</w:t>
            </w:r>
          </w:p>
        </w:tc>
        <w:tc>
          <w:tcPr>
            <w:tcW w:w="1080" w:type="dxa"/>
          </w:tcPr>
          <w:p w14:paraId="2CFD7150" w14:textId="2CE74C9B" w:rsidR="0019075D" w:rsidRPr="00487CAB" w:rsidRDefault="0019075D" w:rsidP="00737AB3">
            <w:pPr>
              <w:tabs>
                <w:tab w:val="decimal" w:pos="798"/>
                <w:tab w:val="left" w:pos="2340"/>
                <w:tab w:val="right" w:pos="9180"/>
              </w:tabs>
              <w:rPr>
                <w:snapToGrid w:val="0"/>
                <w:color w:val="000000"/>
                <w:sz w:val="19"/>
                <w:szCs w:val="19"/>
              </w:rPr>
            </w:pPr>
            <w:r>
              <w:rPr>
                <w:snapToGrid w:val="0"/>
                <w:color w:val="000000"/>
                <w:sz w:val="19"/>
                <w:szCs w:val="19"/>
              </w:rPr>
              <w:tab/>
              <w:t>600,000</w:t>
            </w:r>
          </w:p>
        </w:tc>
        <w:tc>
          <w:tcPr>
            <w:tcW w:w="1080" w:type="dxa"/>
          </w:tcPr>
          <w:p w14:paraId="11F0C901" w14:textId="220168B9" w:rsidR="0019075D" w:rsidRPr="00487CAB"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5D5BF504" w14:textId="70836139" w:rsidR="0019075D" w:rsidRPr="00487CAB"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2BD38980" w14:textId="76E55371" w:rsidR="0019075D" w:rsidRPr="00487CAB"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350" w:type="dxa"/>
          </w:tcPr>
          <w:p w14:paraId="6D4EAE51" w14:textId="77777777" w:rsidR="0019075D" w:rsidRPr="00487CAB" w:rsidRDefault="0019075D" w:rsidP="00737AB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7E8249D1" w14:textId="3679446B" w:rsidR="0019075D" w:rsidRPr="00487CAB" w:rsidRDefault="0019075D" w:rsidP="00737AB3">
            <w:pPr>
              <w:tabs>
                <w:tab w:val="decimal" w:pos="1418"/>
                <w:tab w:val="right" w:pos="9180"/>
              </w:tabs>
              <w:rPr>
                <w:snapToGrid w:val="0"/>
                <w:color w:val="000000"/>
                <w:sz w:val="19"/>
                <w:szCs w:val="19"/>
              </w:rPr>
            </w:pPr>
            <w:r>
              <w:rPr>
                <w:snapToGrid w:val="0"/>
                <w:color w:val="000000"/>
                <w:sz w:val="19"/>
                <w:szCs w:val="19"/>
              </w:rPr>
              <w:tab/>
              <w:t>600,000</w:t>
            </w:r>
          </w:p>
        </w:tc>
      </w:tr>
      <w:tr w:rsidR="0019075D" w:rsidRPr="00487CAB" w14:paraId="67F53696" w14:textId="77777777" w:rsidTr="00737AB3">
        <w:tc>
          <w:tcPr>
            <w:tcW w:w="4410" w:type="dxa"/>
          </w:tcPr>
          <w:p w14:paraId="75F69BEB" w14:textId="1BB4EC35" w:rsidR="0019075D" w:rsidRDefault="0019075D" w:rsidP="00737AB3">
            <w:pPr>
              <w:tabs>
                <w:tab w:val="left" w:pos="144"/>
                <w:tab w:val="left" w:pos="324"/>
                <w:tab w:val="right" w:pos="9180"/>
              </w:tabs>
              <w:rPr>
                <w:snapToGrid w:val="0"/>
                <w:color w:val="000000"/>
                <w:sz w:val="19"/>
                <w:szCs w:val="19"/>
              </w:rPr>
            </w:pPr>
            <w:r>
              <w:rPr>
                <w:snapToGrid w:val="0"/>
                <w:color w:val="000000"/>
                <w:sz w:val="19"/>
                <w:szCs w:val="19"/>
              </w:rPr>
              <w:tab/>
              <w:t>Conversion of preferred stock to common stock</w:t>
            </w:r>
          </w:p>
        </w:tc>
        <w:tc>
          <w:tcPr>
            <w:tcW w:w="1260" w:type="dxa"/>
          </w:tcPr>
          <w:p w14:paraId="10C88A66" w14:textId="597D250D" w:rsidR="0019075D" w:rsidRDefault="0019075D" w:rsidP="00737AB3">
            <w:pPr>
              <w:tabs>
                <w:tab w:val="decimal" w:pos="917"/>
                <w:tab w:val="left" w:pos="2340"/>
                <w:tab w:val="right" w:pos="9180"/>
              </w:tabs>
              <w:rPr>
                <w:snapToGrid w:val="0"/>
                <w:color w:val="000000"/>
                <w:sz w:val="19"/>
                <w:szCs w:val="19"/>
              </w:rPr>
            </w:pPr>
            <w:r>
              <w:rPr>
                <w:snapToGrid w:val="0"/>
                <w:color w:val="000000"/>
                <w:sz w:val="19"/>
                <w:szCs w:val="19"/>
              </w:rPr>
              <w:tab/>
              <w:t>(205)</w:t>
            </w:r>
          </w:p>
        </w:tc>
        <w:tc>
          <w:tcPr>
            <w:tcW w:w="1080" w:type="dxa"/>
          </w:tcPr>
          <w:p w14:paraId="787220A0" w14:textId="275E8A22" w:rsidR="0019075D" w:rsidRDefault="0019075D" w:rsidP="00737AB3">
            <w:pPr>
              <w:tabs>
                <w:tab w:val="decimal" w:pos="798"/>
                <w:tab w:val="left" w:pos="2340"/>
                <w:tab w:val="right" w:pos="9180"/>
              </w:tabs>
              <w:rPr>
                <w:snapToGrid w:val="0"/>
                <w:color w:val="000000"/>
                <w:sz w:val="19"/>
                <w:szCs w:val="19"/>
              </w:rPr>
            </w:pPr>
            <w:r>
              <w:rPr>
                <w:snapToGrid w:val="0"/>
                <w:color w:val="000000"/>
                <w:sz w:val="19"/>
                <w:szCs w:val="19"/>
              </w:rPr>
              <w:tab/>
              <w:t>(200,900)</w:t>
            </w:r>
          </w:p>
        </w:tc>
        <w:tc>
          <w:tcPr>
            <w:tcW w:w="1080" w:type="dxa"/>
          </w:tcPr>
          <w:p w14:paraId="4D5A9575" w14:textId="1E0CD68E" w:rsidR="0019075D"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27,333</w:t>
            </w:r>
          </w:p>
        </w:tc>
        <w:tc>
          <w:tcPr>
            <w:tcW w:w="1170" w:type="dxa"/>
          </w:tcPr>
          <w:p w14:paraId="272482BF" w14:textId="6156E66D" w:rsidR="0019075D"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28</w:t>
            </w:r>
          </w:p>
        </w:tc>
        <w:tc>
          <w:tcPr>
            <w:tcW w:w="1440" w:type="dxa"/>
          </w:tcPr>
          <w:p w14:paraId="3EB899AD" w14:textId="5FA73559" w:rsidR="0019075D"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200,87</w:t>
            </w:r>
            <w:r w:rsidR="00960667">
              <w:rPr>
                <w:snapToGrid w:val="0"/>
                <w:color w:val="000000"/>
                <w:sz w:val="19"/>
                <w:szCs w:val="19"/>
              </w:rPr>
              <w:t>2</w:t>
            </w:r>
          </w:p>
        </w:tc>
        <w:tc>
          <w:tcPr>
            <w:tcW w:w="1350" w:type="dxa"/>
          </w:tcPr>
          <w:p w14:paraId="4AEC55D8" w14:textId="3B2FFD0D" w:rsidR="0019075D" w:rsidRDefault="0019075D" w:rsidP="00737AB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67A60AB2" w14:textId="4B66854D" w:rsidR="0019075D" w:rsidRDefault="0019075D" w:rsidP="00737AB3">
            <w:pPr>
              <w:tabs>
                <w:tab w:val="decimal" w:pos="1418"/>
                <w:tab w:val="right" w:pos="9180"/>
              </w:tabs>
              <w:rPr>
                <w:snapToGrid w:val="0"/>
                <w:color w:val="000000"/>
                <w:sz w:val="19"/>
                <w:szCs w:val="19"/>
              </w:rPr>
            </w:pPr>
            <w:r>
              <w:rPr>
                <w:snapToGrid w:val="0"/>
                <w:color w:val="000000"/>
                <w:sz w:val="19"/>
                <w:szCs w:val="19"/>
              </w:rPr>
              <w:tab/>
              <w:t>-</w:t>
            </w:r>
          </w:p>
        </w:tc>
      </w:tr>
      <w:tr w:rsidR="0019075D" w:rsidRPr="00487CAB" w14:paraId="12D34A3F" w14:textId="77777777" w:rsidTr="00737AB3">
        <w:tc>
          <w:tcPr>
            <w:tcW w:w="4410" w:type="dxa"/>
          </w:tcPr>
          <w:p w14:paraId="066E826F" w14:textId="77777777" w:rsidR="0019075D" w:rsidRDefault="0019075D" w:rsidP="00737AB3">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260" w:type="dxa"/>
          </w:tcPr>
          <w:p w14:paraId="588E88D5" w14:textId="77777777" w:rsidR="0019075D" w:rsidRPr="00487CAB" w:rsidRDefault="0019075D" w:rsidP="00737AB3">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Pr>
          <w:p w14:paraId="6F24292B" w14:textId="77777777" w:rsidR="0019075D" w:rsidRPr="00487CAB" w:rsidRDefault="0019075D" w:rsidP="00737AB3">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594C55FF" w14:textId="77777777" w:rsidR="0019075D" w:rsidRPr="00487CAB"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08C0FBF" w14:textId="77777777" w:rsidR="0019075D" w:rsidRPr="00487CAB"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844F2BE" w14:textId="123A94A3" w:rsidR="0019075D" w:rsidRPr="00487CAB"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85,370</w:t>
            </w:r>
          </w:p>
        </w:tc>
        <w:tc>
          <w:tcPr>
            <w:tcW w:w="1350" w:type="dxa"/>
          </w:tcPr>
          <w:p w14:paraId="0821537F" w14:textId="77777777" w:rsidR="0019075D" w:rsidRPr="00487CAB" w:rsidRDefault="0019075D" w:rsidP="00737AB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018CD4FB" w14:textId="480902F1" w:rsidR="0019075D" w:rsidRPr="00487CAB" w:rsidRDefault="0019075D" w:rsidP="00737AB3">
            <w:pPr>
              <w:tabs>
                <w:tab w:val="decimal" w:pos="1418"/>
                <w:tab w:val="right" w:pos="9180"/>
              </w:tabs>
              <w:rPr>
                <w:snapToGrid w:val="0"/>
                <w:color w:val="000000"/>
                <w:sz w:val="19"/>
                <w:szCs w:val="19"/>
              </w:rPr>
            </w:pPr>
            <w:r>
              <w:rPr>
                <w:snapToGrid w:val="0"/>
                <w:color w:val="000000"/>
                <w:sz w:val="19"/>
                <w:szCs w:val="19"/>
              </w:rPr>
              <w:tab/>
              <w:t>85,370</w:t>
            </w:r>
          </w:p>
        </w:tc>
      </w:tr>
      <w:tr w:rsidR="0019075D" w:rsidRPr="00487CAB" w14:paraId="733A3D82" w14:textId="77777777" w:rsidTr="00737AB3">
        <w:tc>
          <w:tcPr>
            <w:tcW w:w="4410" w:type="dxa"/>
          </w:tcPr>
          <w:p w14:paraId="66C85DD3" w14:textId="3C3DB0B3" w:rsidR="0019075D" w:rsidRDefault="0019075D" w:rsidP="00737AB3">
            <w:pPr>
              <w:tabs>
                <w:tab w:val="left" w:pos="144"/>
                <w:tab w:val="left" w:pos="324"/>
                <w:tab w:val="right" w:pos="9180"/>
              </w:tabs>
              <w:rPr>
                <w:snapToGrid w:val="0"/>
                <w:color w:val="000000"/>
                <w:sz w:val="19"/>
                <w:szCs w:val="19"/>
              </w:rPr>
            </w:pPr>
            <w:r>
              <w:rPr>
                <w:snapToGrid w:val="0"/>
                <w:color w:val="000000"/>
                <w:sz w:val="19"/>
                <w:szCs w:val="19"/>
              </w:rPr>
              <w:tab/>
              <w:t>Net loss for the three months ended</w:t>
            </w:r>
          </w:p>
        </w:tc>
        <w:tc>
          <w:tcPr>
            <w:tcW w:w="1260" w:type="dxa"/>
          </w:tcPr>
          <w:p w14:paraId="2FC442B1" w14:textId="77777777" w:rsidR="0019075D" w:rsidRDefault="0019075D" w:rsidP="00737AB3">
            <w:pPr>
              <w:tabs>
                <w:tab w:val="decimal" w:pos="917"/>
                <w:tab w:val="left" w:pos="2340"/>
                <w:tab w:val="right" w:pos="9180"/>
              </w:tabs>
              <w:rPr>
                <w:snapToGrid w:val="0"/>
                <w:color w:val="000000"/>
                <w:sz w:val="19"/>
                <w:szCs w:val="19"/>
              </w:rPr>
            </w:pPr>
          </w:p>
        </w:tc>
        <w:tc>
          <w:tcPr>
            <w:tcW w:w="1080" w:type="dxa"/>
          </w:tcPr>
          <w:p w14:paraId="173F4E61" w14:textId="77777777" w:rsidR="0019075D" w:rsidRDefault="0019075D" w:rsidP="00737AB3">
            <w:pPr>
              <w:tabs>
                <w:tab w:val="decimal" w:pos="798"/>
                <w:tab w:val="left" w:pos="2340"/>
                <w:tab w:val="right" w:pos="9180"/>
              </w:tabs>
              <w:rPr>
                <w:snapToGrid w:val="0"/>
                <w:color w:val="000000"/>
                <w:sz w:val="19"/>
                <w:szCs w:val="19"/>
              </w:rPr>
            </w:pPr>
          </w:p>
        </w:tc>
        <w:tc>
          <w:tcPr>
            <w:tcW w:w="1080" w:type="dxa"/>
          </w:tcPr>
          <w:p w14:paraId="72AE9D0D" w14:textId="77777777" w:rsidR="0019075D" w:rsidRDefault="0019075D" w:rsidP="00737AB3">
            <w:pPr>
              <w:tabs>
                <w:tab w:val="decimal" w:pos="1148"/>
                <w:tab w:val="decimal" w:pos="1422"/>
                <w:tab w:val="left" w:pos="2340"/>
                <w:tab w:val="right" w:pos="9180"/>
              </w:tabs>
              <w:rPr>
                <w:snapToGrid w:val="0"/>
                <w:color w:val="000000"/>
                <w:sz w:val="19"/>
                <w:szCs w:val="19"/>
              </w:rPr>
            </w:pPr>
          </w:p>
        </w:tc>
        <w:tc>
          <w:tcPr>
            <w:tcW w:w="1170" w:type="dxa"/>
          </w:tcPr>
          <w:p w14:paraId="2FCBF64F" w14:textId="77777777" w:rsidR="0019075D" w:rsidRDefault="0019075D" w:rsidP="00737AB3">
            <w:pPr>
              <w:tabs>
                <w:tab w:val="decimal" w:pos="1148"/>
                <w:tab w:val="decimal" w:pos="1422"/>
                <w:tab w:val="left" w:pos="2340"/>
                <w:tab w:val="right" w:pos="9180"/>
              </w:tabs>
              <w:rPr>
                <w:snapToGrid w:val="0"/>
                <w:color w:val="000000"/>
                <w:sz w:val="19"/>
                <w:szCs w:val="19"/>
              </w:rPr>
            </w:pPr>
          </w:p>
        </w:tc>
        <w:tc>
          <w:tcPr>
            <w:tcW w:w="1440" w:type="dxa"/>
          </w:tcPr>
          <w:p w14:paraId="3EB4EE78" w14:textId="77777777" w:rsidR="0019075D" w:rsidRDefault="0019075D" w:rsidP="00737AB3">
            <w:pPr>
              <w:tabs>
                <w:tab w:val="decimal" w:pos="1148"/>
                <w:tab w:val="decimal" w:pos="1422"/>
                <w:tab w:val="left" w:pos="2340"/>
                <w:tab w:val="right" w:pos="9180"/>
              </w:tabs>
              <w:rPr>
                <w:snapToGrid w:val="0"/>
                <w:color w:val="000000"/>
                <w:sz w:val="19"/>
                <w:szCs w:val="19"/>
              </w:rPr>
            </w:pPr>
          </w:p>
        </w:tc>
        <w:tc>
          <w:tcPr>
            <w:tcW w:w="1350" w:type="dxa"/>
          </w:tcPr>
          <w:p w14:paraId="3E2D4D28" w14:textId="77777777" w:rsidR="0019075D" w:rsidRDefault="0019075D" w:rsidP="00737AB3">
            <w:pPr>
              <w:tabs>
                <w:tab w:val="decimal" w:pos="1150"/>
                <w:tab w:val="left" w:pos="2340"/>
                <w:tab w:val="right" w:pos="9180"/>
              </w:tabs>
              <w:rPr>
                <w:snapToGrid w:val="0"/>
                <w:color w:val="000000"/>
                <w:sz w:val="19"/>
                <w:szCs w:val="19"/>
              </w:rPr>
            </w:pPr>
          </w:p>
        </w:tc>
        <w:tc>
          <w:tcPr>
            <w:tcW w:w="1800" w:type="dxa"/>
          </w:tcPr>
          <w:p w14:paraId="6AF5D005" w14:textId="77777777" w:rsidR="0019075D" w:rsidRDefault="0019075D" w:rsidP="00737AB3">
            <w:pPr>
              <w:tabs>
                <w:tab w:val="decimal" w:pos="1418"/>
                <w:tab w:val="right" w:pos="9180"/>
              </w:tabs>
              <w:rPr>
                <w:snapToGrid w:val="0"/>
                <w:color w:val="000000"/>
                <w:sz w:val="19"/>
                <w:szCs w:val="19"/>
              </w:rPr>
            </w:pPr>
          </w:p>
        </w:tc>
      </w:tr>
      <w:tr w:rsidR="0019075D" w:rsidRPr="00487CAB" w14:paraId="2899CCBC" w14:textId="77777777" w:rsidTr="00737AB3">
        <w:tc>
          <w:tcPr>
            <w:tcW w:w="4410" w:type="dxa"/>
          </w:tcPr>
          <w:p w14:paraId="4ED41B0B" w14:textId="40D53BC0" w:rsidR="0019075D" w:rsidRPr="00487CAB" w:rsidRDefault="0019075D" w:rsidP="00737AB3">
            <w:pPr>
              <w:tabs>
                <w:tab w:val="left" w:pos="144"/>
                <w:tab w:val="left" w:pos="324"/>
                <w:tab w:val="right" w:pos="9180"/>
              </w:tabs>
              <w:rPr>
                <w:snapToGrid w:val="0"/>
                <w:color w:val="000000"/>
                <w:sz w:val="19"/>
                <w:szCs w:val="19"/>
              </w:rPr>
            </w:pPr>
            <w:r>
              <w:rPr>
                <w:snapToGrid w:val="0"/>
                <w:color w:val="000000"/>
                <w:sz w:val="19"/>
                <w:szCs w:val="19"/>
              </w:rPr>
              <w:tab/>
              <w:t xml:space="preserve">   September 30, 2018</w:t>
            </w:r>
          </w:p>
        </w:tc>
        <w:tc>
          <w:tcPr>
            <w:tcW w:w="1260" w:type="dxa"/>
            <w:tcBorders>
              <w:bottom w:val="single" w:sz="4" w:space="0" w:color="auto"/>
            </w:tcBorders>
          </w:tcPr>
          <w:p w14:paraId="3A1E5744" w14:textId="77777777" w:rsidR="0019075D" w:rsidRPr="00487CAB" w:rsidRDefault="0019075D" w:rsidP="00737AB3">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Borders>
              <w:bottom w:val="single" w:sz="4" w:space="0" w:color="auto"/>
            </w:tcBorders>
          </w:tcPr>
          <w:p w14:paraId="39069AD4" w14:textId="77777777" w:rsidR="0019075D" w:rsidRPr="00487CAB" w:rsidRDefault="0019075D" w:rsidP="00737AB3">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bottom w:val="single" w:sz="4" w:space="0" w:color="auto"/>
            </w:tcBorders>
          </w:tcPr>
          <w:p w14:paraId="4D6E89A9" w14:textId="77777777" w:rsidR="0019075D" w:rsidRPr="00487CAB"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Borders>
              <w:bottom w:val="single" w:sz="4" w:space="0" w:color="auto"/>
            </w:tcBorders>
          </w:tcPr>
          <w:p w14:paraId="24A3FFA6" w14:textId="77777777" w:rsidR="0019075D" w:rsidRPr="00487CAB"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Borders>
              <w:bottom w:val="single" w:sz="4" w:space="0" w:color="auto"/>
            </w:tcBorders>
          </w:tcPr>
          <w:p w14:paraId="42934252" w14:textId="77777777" w:rsidR="0019075D" w:rsidRPr="00487CAB" w:rsidRDefault="0019075D" w:rsidP="00737AB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350" w:type="dxa"/>
            <w:tcBorders>
              <w:bottom w:val="single" w:sz="4" w:space="0" w:color="auto"/>
            </w:tcBorders>
          </w:tcPr>
          <w:p w14:paraId="2664146A" w14:textId="77B1164B" w:rsidR="0019075D" w:rsidRPr="00487CAB" w:rsidRDefault="0019075D" w:rsidP="00737AB3">
            <w:pPr>
              <w:tabs>
                <w:tab w:val="decimal" w:pos="1150"/>
                <w:tab w:val="left" w:pos="2340"/>
                <w:tab w:val="right" w:pos="9180"/>
              </w:tabs>
              <w:rPr>
                <w:snapToGrid w:val="0"/>
                <w:color w:val="000000"/>
                <w:sz w:val="19"/>
                <w:szCs w:val="19"/>
              </w:rPr>
            </w:pPr>
            <w:r>
              <w:rPr>
                <w:snapToGrid w:val="0"/>
                <w:color w:val="000000"/>
                <w:sz w:val="19"/>
                <w:szCs w:val="19"/>
              </w:rPr>
              <w:tab/>
              <w:t>(666,893)</w:t>
            </w:r>
          </w:p>
        </w:tc>
        <w:tc>
          <w:tcPr>
            <w:tcW w:w="1800" w:type="dxa"/>
            <w:tcBorders>
              <w:bottom w:val="single" w:sz="4" w:space="0" w:color="auto"/>
            </w:tcBorders>
          </w:tcPr>
          <w:p w14:paraId="686FEB11" w14:textId="55321E94" w:rsidR="0019075D" w:rsidRPr="00487CAB" w:rsidRDefault="0019075D" w:rsidP="00737AB3">
            <w:pPr>
              <w:tabs>
                <w:tab w:val="decimal" w:pos="1418"/>
                <w:tab w:val="right" w:pos="9180"/>
              </w:tabs>
              <w:rPr>
                <w:snapToGrid w:val="0"/>
                <w:color w:val="000000"/>
                <w:sz w:val="19"/>
                <w:szCs w:val="19"/>
              </w:rPr>
            </w:pPr>
            <w:r>
              <w:rPr>
                <w:snapToGrid w:val="0"/>
                <w:color w:val="000000"/>
                <w:sz w:val="19"/>
                <w:szCs w:val="19"/>
              </w:rPr>
              <w:tab/>
              <w:t>(666,893)</w:t>
            </w:r>
          </w:p>
        </w:tc>
      </w:tr>
      <w:tr w:rsidR="0019075D" w:rsidRPr="00487CAB" w14:paraId="59C92CBF" w14:textId="77777777" w:rsidTr="00737AB3">
        <w:tc>
          <w:tcPr>
            <w:tcW w:w="4410" w:type="dxa"/>
          </w:tcPr>
          <w:p w14:paraId="2F500ECE" w14:textId="4CD06408" w:rsidR="0019075D" w:rsidRPr="00487CAB" w:rsidRDefault="0019075D" w:rsidP="00737AB3">
            <w:pPr>
              <w:tabs>
                <w:tab w:val="left" w:pos="144"/>
                <w:tab w:val="left" w:pos="324"/>
                <w:tab w:val="right" w:pos="9180"/>
              </w:tabs>
              <w:rPr>
                <w:snapToGrid w:val="0"/>
                <w:color w:val="000000"/>
                <w:sz w:val="19"/>
                <w:szCs w:val="19"/>
              </w:rPr>
            </w:pPr>
            <w:r w:rsidRPr="00487CAB">
              <w:rPr>
                <w:snapToGrid w:val="0"/>
                <w:color w:val="000000"/>
                <w:sz w:val="19"/>
                <w:szCs w:val="19"/>
              </w:rPr>
              <w:t xml:space="preserve">Balance at </w:t>
            </w:r>
            <w:r>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2018</w:t>
            </w:r>
          </w:p>
        </w:tc>
        <w:tc>
          <w:tcPr>
            <w:tcW w:w="1260" w:type="dxa"/>
            <w:tcBorders>
              <w:top w:val="single" w:sz="4" w:space="0" w:color="auto"/>
              <w:bottom w:val="double" w:sz="4" w:space="0" w:color="auto"/>
            </w:tcBorders>
          </w:tcPr>
          <w:p w14:paraId="2D54CBC1" w14:textId="28D7437F" w:rsidR="0019075D" w:rsidRPr="00487CAB" w:rsidRDefault="0019075D" w:rsidP="00737AB3">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3,870</w:t>
            </w:r>
          </w:p>
        </w:tc>
        <w:tc>
          <w:tcPr>
            <w:tcW w:w="1080" w:type="dxa"/>
            <w:tcBorders>
              <w:top w:val="single" w:sz="4" w:space="0" w:color="auto"/>
              <w:bottom w:val="double" w:sz="4" w:space="0" w:color="auto"/>
            </w:tcBorders>
          </w:tcPr>
          <w:p w14:paraId="29197991" w14:textId="32DB754B" w:rsidR="0019075D" w:rsidRPr="00487CAB" w:rsidRDefault="0019075D" w:rsidP="00737AB3">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2,109,085</w:t>
            </w:r>
          </w:p>
        </w:tc>
        <w:tc>
          <w:tcPr>
            <w:tcW w:w="1080" w:type="dxa"/>
            <w:tcBorders>
              <w:top w:val="single" w:sz="4" w:space="0" w:color="auto"/>
              <w:bottom w:val="double" w:sz="4" w:space="0" w:color="auto"/>
            </w:tcBorders>
          </w:tcPr>
          <w:p w14:paraId="515969F8" w14:textId="5B0F0934" w:rsidR="0019075D" w:rsidRPr="00487CAB" w:rsidRDefault="0019075D"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356,807</w:t>
            </w:r>
          </w:p>
        </w:tc>
        <w:tc>
          <w:tcPr>
            <w:tcW w:w="1170" w:type="dxa"/>
            <w:tcBorders>
              <w:top w:val="single" w:sz="4" w:space="0" w:color="auto"/>
              <w:bottom w:val="double" w:sz="4" w:space="0" w:color="auto"/>
            </w:tcBorders>
          </w:tcPr>
          <w:p w14:paraId="6E433512" w14:textId="0477269E" w:rsidR="0019075D" w:rsidRPr="00487CAB" w:rsidRDefault="0019075D"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35</w:t>
            </w:r>
            <w:r w:rsidR="00960667">
              <w:rPr>
                <w:snapToGrid w:val="0"/>
                <w:color w:val="000000"/>
                <w:sz w:val="19"/>
                <w:szCs w:val="19"/>
              </w:rPr>
              <w:t>7</w:t>
            </w:r>
          </w:p>
        </w:tc>
        <w:tc>
          <w:tcPr>
            <w:tcW w:w="1440" w:type="dxa"/>
            <w:tcBorders>
              <w:top w:val="single" w:sz="4" w:space="0" w:color="auto"/>
              <w:bottom w:val="double" w:sz="4" w:space="0" w:color="auto"/>
            </w:tcBorders>
          </w:tcPr>
          <w:p w14:paraId="2357D58C" w14:textId="261B6825" w:rsidR="0019075D" w:rsidRPr="00487CAB" w:rsidRDefault="0019075D" w:rsidP="00737AB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37,008,8</w:t>
            </w:r>
            <w:r w:rsidR="00960667">
              <w:rPr>
                <w:snapToGrid w:val="0"/>
                <w:color w:val="000000"/>
                <w:sz w:val="19"/>
                <w:szCs w:val="19"/>
              </w:rPr>
              <w:t>60</w:t>
            </w:r>
          </w:p>
        </w:tc>
        <w:tc>
          <w:tcPr>
            <w:tcW w:w="1350" w:type="dxa"/>
            <w:tcBorders>
              <w:top w:val="single" w:sz="4" w:space="0" w:color="auto"/>
              <w:bottom w:val="double" w:sz="4" w:space="0" w:color="auto"/>
            </w:tcBorders>
          </w:tcPr>
          <w:p w14:paraId="7BA825CF" w14:textId="68F05BB5" w:rsidR="0019075D" w:rsidRPr="00487CAB" w:rsidRDefault="0019075D" w:rsidP="00737AB3">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39,842,539</w:t>
            </w:r>
            <w:r w:rsidRPr="00487CAB">
              <w:rPr>
                <w:snapToGrid w:val="0"/>
                <w:color w:val="000000"/>
                <w:sz w:val="19"/>
                <w:szCs w:val="19"/>
              </w:rPr>
              <w:t>)</w:t>
            </w:r>
          </w:p>
        </w:tc>
        <w:tc>
          <w:tcPr>
            <w:tcW w:w="1800" w:type="dxa"/>
            <w:tcBorders>
              <w:top w:val="single" w:sz="4" w:space="0" w:color="auto"/>
              <w:bottom w:val="double" w:sz="4" w:space="0" w:color="auto"/>
            </w:tcBorders>
          </w:tcPr>
          <w:p w14:paraId="7CBF811D" w14:textId="2E127223" w:rsidR="0019075D" w:rsidRPr="00487CAB" w:rsidRDefault="0019075D" w:rsidP="00737AB3">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w:t>
            </w:r>
            <w:r>
              <w:rPr>
                <w:snapToGrid w:val="0"/>
                <w:color w:val="000000"/>
                <w:sz w:val="19"/>
                <w:szCs w:val="19"/>
              </w:rPr>
              <w:t>724,23</w:t>
            </w:r>
            <w:r w:rsidR="00960667">
              <w:rPr>
                <w:snapToGrid w:val="0"/>
                <w:color w:val="000000"/>
                <w:sz w:val="19"/>
                <w:szCs w:val="19"/>
              </w:rPr>
              <w:t>7</w:t>
            </w:r>
            <w:r w:rsidRPr="00487CAB">
              <w:rPr>
                <w:snapToGrid w:val="0"/>
                <w:color w:val="000000"/>
                <w:sz w:val="19"/>
                <w:szCs w:val="19"/>
              </w:rPr>
              <w:t>)</w:t>
            </w:r>
          </w:p>
        </w:tc>
      </w:tr>
    </w:tbl>
    <w:p w14:paraId="1D4FD171" w14:textId="77777777" w:rsidR="00C571EA" w:rsidRDefault="00C571EA" w:rsidP="00C571EA">
      <w:pPr>
        <w:tabs>
          <w:tab w:val="decimal" w:pos="1152"/>
          <w:tab w:val="left" w:pos="2340"/>
          <w:tab w:val="right" w:pos="9180"/>
        </w:tabs>
        <w:rPr>
          <w:snapToGrid w:val="0"/>
          <w:color w:val="000000"/>
        </w:rPr>
      </w:pPr>
    </w:p>
    <w:p w14:paraId="1A22AC74" w14:textId="6EF5D87F" w:rsidR="00C571EA" w:rsidRDefault="00C571EA" w:rsidP="00C571EA">
      <w:pPr>
        <w:tabs>
          <w:tab w:val="decimal" w:pos="1152"/>
          <w:tab w:val="left" w:pos="2340"/>
          <w:tab w:val="right" w:pos="9180"/>
        </w:tabs>
        <w:rPr>
          <w:snapToGrid w:val="0"/>
          <w:color w:val="000000"/>
        </w:rPr>
      </w:pPr>
    </w:p>
    <w:p w14:paraId="687F6523" w14:textId="7A57EA38" w:rsidR="0019075D" w:rsidRDefault="0019075D" w:rsidP="00C571EA">
      <w:pPr>
        <w:tabs>
          <w:tab w:val="decimal" w:pos="1152"/>
          <w:tab w:val="left" w:pos="2340"/>
          <w:tab w:val="right" w:pos="9180"/>
        </w:tabs>
        <w:rPr>
          <w:snapToGrid w:val="0"/>
          <w:color w:val="000000"/>
        </w:rPr>
      </w:pPr>
    </w:p>
    <w:p w14:paraId="19C165E0" w14:textId="2B6DFBD9" w:rsidR="0019075D" w:rsidRDefault="0019075D" w:rsidP="00C571EA">
      <w:pPr>
        <w:tabs>
          <w:tab w:val="decimal" w:pos="1152"/>
          <w:tab w:val="left" w:pos="2340"/>
          <w:tab w:val="right" w:pos="9180"/>
        </w:tabs>
        <w:rPr>
          <w:snapToGrid w:val="0"/>
          <w:color w:val="000000"/>
        </w:rPr>
      </w:pPr>
    </w:p>
    <w:p w14:paraId="35637386" w14:textId="43539E4B" w:rsidR="0019075D" w:rsidRDefault="0019075D" w:rsidP="00C571EA">
      <w:pPr>
        <w:tabs>
          <w:tab w:val="decimal" w:pos="1152"/>
          <w:tab w:val="left" w:pos="2340"/>
          <w:tab w:val="right" w:pos="9180"/>
        </w:tabs>
        <w:rPr>
          <w:snapToGrid w:val="0"/>
          <w:color w:val="000000"/>
        </w:rPr>
      </w:pPr>
    </w:p>
    <w:p w14:paraId="79EC6913" w14:textId="77777777" w:rsidR="0019075D" w:rsidRPr="00487CAB" w:rsidRDefault="0019075D" w:rsidP="00C571EA">
      <w:pPr>
        <w:tabs>
          <w:tab w:val="decimal" w:pos="1152"/>
          <w:tab w:val="left" w:pos="2340"/>
          <w:tab w:val="right" w:pos="9180"/>
        </w:tabs>
        <w:rPr>
          <w:snapToGrid w:val="0"/>
          <w:color w:val="000000"/>
        </w:rPr>
      </w:pPr>
    </w:p>
    <w:p w14:paraId="3F3E8DCC" w14:textId="0C9799FD" w:rsidR="00C571EA" w:rsidRDefault="00C571EA" w:rsidP="00C571EA">
      <w:pPr>
        <w:tabs>
          <w:tab w:val="left" w:pos="1080"/>
          <w:tab w:val="left" w:pos="1260"/>
          <w:tab w:val="left" w:pos="2340"/>
          <w:tab w:val="right" w:pos="9180"/>
        </w:tabs>
        <w:ind w:right="-360"/>
        <w:jc w:val="center"/>
        <w:rPr>
          <w:snapToGrid w:val="0"/>
          <w:color w:val="000000"/>
        </w:rPr>
        <w:sectPr w:rsidR="00C571EA" w:rsidSect="00487CAB">
          <w:headerReference w:type="even" r:id="rId22"/>
          <w:headerReference w:type="default" r:id="rId23"/>
          <w:footerReference w:type="default" r:id="rId24"/>
          <w:headerReference w:type="first" r:id="rId25"/>
          <w:footnotePr>
            <w:numRestart w:val="eachPage"/>
          </w:footnotePr>
          <w:pgSz w:w="15840" w:h="12240" w:orient="landscape" w:code="1"/>
          <w:pgMar w:top="720" w:right="1008" w:bottom="720" w:left="1008" w:header="720" w:footer="432" w:gutter="0"/>
          <w:cols w:space="0"/>
          <w:titlePg/>
          <w:docGrid w:linePitch="272"/>
        </w:sectPr>
      </w:pPr>
      <w:r w:rsidRPr="00487CAB">
        <w:rPr>
          <w:snapToGrid w:val="0"/>
          <w:color w:val="000000"/>
        </w:rPr>
        <w:t>See accompanying notes to consolidated financial statement</w:t>
      </w: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975313">
            <w:pPr>
              <w:ind w:right="-18"/>
              <w:jc w:val="center"/>
              <w:rPr>
                <w:b/>
              </w:rPr>
            </w:pPr>
            <w:r w:rsidRPr="00EF6E26">
              <w:rPr>
                <w:b/>
              </w:rPr>
              <w:lastRenderedPageBreak/>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1B5F7798" w:rsidR="002D627A" w:rsidRPr="000D3DC5" w:rsidRDefault="00A05EF9" w:rsidP="00FD4723">
            <w:pPr>
              <w:tabs>
                <w:tab w:val="decimal" w:pos="1044"/>
                <w:tab w:val="right" w:pos="9180"/>
              </w:tabs>
              <w:ind w:right="-18"/>
              <w:jc w:val="center"/>
            </w:pPr>
            <w:r>
              <w:t>Nine</w:t>
            </w:r>
            <w:r w:rsidR="002D627A">
              <w:t xml:space="preserve"> Months Ended </w:t>
            </w:r>
            <w:r w:rsidR="009310B7">
              <w:t xml:space="preserve">September </w:t>
            </w:r>
            <w:r w:rsidR="006E7CF8">
              <w:t>3</w:t>
            </w:r>
            <w:r w:rsidR="00C35EDB">
              <w:t>0</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639B922D" w:rsidR="002D627A" w:rsidRPr="000D3DC5" w:rsidRDefault="002D627A" w:rsidP="002D627A">
            <w:pPr>
              <w:tabs>
                <w:tab w:val="decimal" w:pos="1044"/>
                <w:tab w:val="decimal" w:pos="1332"/>
                <w:tab w:val="right" w:pos="9180"/>
              </w:tabs>
              <w:jc w:val="center"/>
            </w:pPr>
            <w:r>
              <w:t>201</w:t>
            </w:r>
            <w:r w:rsidR="006B2167">
              <w:t>9</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724B92D6" w:rsidR="002D627A" w:rsidRPr="000D3DC5" w:rsidRDefault="002D627A" w:rsidP="002D627A">
            <w:pPr>
              <w:tabs>
                <w:tab w:val="decimal" w:pos="1044"/>
                <w:tab w:val="right" w:pos="9180"/>
              </w:tabs>
              <w:ind w:right="-18"/>
              <w:jc w:val="center"/>
            </w:pPr>
            <w:r>
              <w:t>201</w:t>
            </w:r>
            <w:r w:rsidR="006B2167">
              <w:t>8</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12FB39EE" w:rsidR="002D627A" w:rsidRPr="000D3DC5" w:rsidRDefault="002D627A" w:rsidP="00FD4723">
            <w:pPr>
              <w:tabs>
                <w:tab w:val="decimal" w:pos="1332"/>
                <w:tab w:val="right" w:pos="9180"/>
              </w:tabs>
            </w:pPr>
            <w:r w:rsidRPr="000D3DC5">
              <w:t>$</w:t>
            </w:r>
            <w:r w:rsidRPr="000D3DC5">
              <w:tab/>
            </w:r>
            <w:r w:rsidR="00526E58">
              <w:t>(1,</w:t>
            </w:r>
            <w:r w:rsidR="00A05EF9">
              <w:t>780,036</w:t>
            </w:r>
            <w:r w:rsidR="00526E58">
              <w:t>)</w:t>
            </w:r>
          </w:p>
        </w:tc>
        <w:tc>
          <w:tcPr>
            <w:tcW w:w="360" w:type="dxa"/>
          </w:tcPr>
          <w:p w14:paraId="57942AE3" w14:textId="77777777" w:rsidR="002D627A" w:rsidRPr="000D3DC5" w:rsidRDefault="002D627A" w:rsidP="002D627A">
            <w:pPr>
              <w:tabs>
                <w:tab w:val="right" w:pos="9180"/>
              </w:tabs>
            </w:pPr>
          </w:p>
        </w:tc>
        <w:tc>
          <w:tcPr>
            <w:tcW w:w="1620" w:type="dxa"/>
          </w:tcPr>
          <w:p w14:paraId="6A3E34C2" w14:textId="36ABED51" w:rsidR="002D627A" w:rsidRPr="000D3DC5" w:rsidRDefault="006E7CF8" w:rsidP="002D627A">
            <w:pPr>
              <w:tabs>
                <w:tab w:val="decimal" w:pos="1152"/>
                <w:tab w:val="right" w:pos="9180"/>
              </w:tabs>
            </w:pPr>
            <w:r>
              <w:t>$</w:t>
            </w:r>
            <w:r>
              <w:tab/>
              <w:t>(</w:t>
            </w:r>
            <w:r w:rsidR="00C35EDB">
              <w:t>1,</w:t>
            </w:r>
            <w:r w:rsidR="00A05EF9">
              <w:t>925,749</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77777777" w:rsidR="002D627A" w:rsidRPr="000D3DC5" w:rsidRDefault="002D627A" w:rsidP="002D627A">
            <w:r w:rsidRPr="000D3DC5">
              <w:t>Depreciation and amortization</w:t>
            </w:r>
          </w:p>
        </w:tc>
        <w:tc>
          <w:tcPr>
            <w:tcW w:w="1555" w:type="dxa"/>
          </w:tcPr>
          <w:p w14:paraId="19B164C5" w14:textId="77777777" w:rsidR="002D627A" w:rsidRPr="000D3DC5" w:rsidRDefault="002D627A" w:rsidP="002D627A">
            <w:pPr>
              <w:tabs>
                <w:tab w:val="right" w:pos="9180"/>
              </w:tabs>
            </w:pPr>
          </w:p>
        </w:tc>
        <w:tc>
          <w:tcPr>
            <w:tcW w:w="1800" w:type="dxa"/>
          </w:tcPr>
          <w:p w14:paraId="45738E17" w14:textId="49A575A2" w:rsidR="002D627A" w:rsidRPr="000D3DC5" w:rsidRDefault="00767AC2" w:rsidP="002D627A">
            <w:pPr>
              <w:tabs>
                <w:tab w:val="decimal" w:pos="1332"/>
                <w:tab w:val="right" w:pos="9180"/>
              </w:tabs>
            </w:pPr>
            <w:r>
              <w:tab/>
            </w:r>
            <w:r w:rsidR="00A05EF9">
              <w:t>5,693</w:t>
            </w:r>
          </w:p>
        </w:tc>
        <w:tc>
          <w:tcPr>
            <w:tcW w:w="360" w:type="dxa"/>
          </w:tcPr>
          <w:p w14:paraId="7D1EEEDB" w14:textId="77777777" w:rsidR="002D627A" w:rsidRPr="000D3DC5" w:rsidRDefault="002D627A" w:rsidP="002D627A">
            <w:pPr>
              <w:tabs>
                <w:tab w:val="right" w:pos="9180"/>
              </w:tabs>
            </w:pPr>
          </w:p>
        </w:tc>
        <w:tc>
          <w:tcPr>
            <w:tcW w:w="1620" w:type="dxa"/>
          </w:tcPr>
          <w:p w14:paraId="26BE33FB" w14:textId="37F37138" w:rsidR="002D627A" w:rsidRPr="000D3DC5" w:rsidRDefault="006E7CF8" w:rsidP="002D627A">
            <w:pPr>
              <w:tabs>
                <w:tab w:val="decimal" w:pos="1152"/>
                <w:tab w:val="right" w:pos="9180"/>
              </w:tabs>
            </w:pPr>
            <w:r>
              <w:tab/>
            </w:r>
            <w:r w:rsidR="00A05EF9">
              <w:t>14,881</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4D48EF07" w:rsidR="002D627A" w:rsidRPr="000D3DC5" w:rsidRDefault="00767AC2" w:rsidP="002D627A">
            <w:pPr>
              <w:tabs>
                <w:tab w:val="decimal" w:pos="1332"/>
                <w:tab w:val="right" w:pos="9180"/>
              </w:tabs>
            </w:pPr>
            <w:r>
              <w:tab/>
            </w:r>
            <w:r w:rsidR="00A05EF9">
              <w:t>290,744</w:t>
            </w:r>
          </w:p>
        </w:tc>
        <w:tc>
          <w:tcPr>
            <w:tcW w:w="360" w:type="dxa"/>
          </w:tcPr>
          <w:p w14:paraId="1605946C" w14:textId="77777777" w:rsidR="002D627A" w:rsidRPr="000D3DC5" w:rsidRDefault="002D627A" w:rsidP="002D627A">
            <w:pPr>
              <w:tabs>
                <w:tab w:val="right" w:pos="9180"/>
              </w:tabs>
            </w:pPr>
          </w:p>
        </w:tc>
        <w:tc>
          <w:tcPr>
            <w:tcW w:w="1620" w:type="dxa"/>
          </w:tcPr>
          <w:p w14:paraId="6F1BA9DB" w14:textId="39867B2B" w:rsidR="002D627A" w:rsidRPr="000D3DC5" w:rsidRDefault="006E7CF8" w:rsidP="002D627A">
            <w:pPr>
              <w:tabs>
                <w:tab w:val="decimal" w:pos="1152"/>
                <w:tab w:val="right" w:pos="9180"/>
              </w:tabs>
            </w:pPr>
            <w:r>
              <w:tab/>
            </w:r>
            <w:r w:rsidR="00A05EF9">
              <w:t>275,425</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4508B9BA" w:rsidR="002D627A" w:rsidRPr="000D3DC5" w:rsidRDefault="002D627A" w:rsidP="002D627A">
            <w:pPr>
              <w:tabs>
                <w:tab w:val="right" w:pos="9180"/>
              </w:tabs>
            </w:pPr>
            <w:r>
              <w:t xml:space="preserve">Grant funds </w:t>
            </w:r>
            <w:r w:rsidR="00AC463D">
              <w:t xml:space="preserve">and other </w:t>
            </w:r>
            <w:r>
              <w:t>receivable</w:t>
            </w:r>
            <w:r w:rsidR="00AC463D">
              <w:t>s</w:t>
            </w:r>
          </w:p>
        </w:tc>
        <w:tc>
          <w:tcPr>
            <w:tcW w:w="1800" w:type="dxa"/>
          </w:tcPr>
          <w:p w14:paraId="56ADA91A" w14:textId="47755540" w:rsidR="002D627A" w:rsidRDefault="00767AC2" w:rsidP="002D627A">
            <w:pPr>
              <w:tabs>
                <w:tab w:val="decimal" w:pos="1332"/>
                <w:tab w:val="right" w:pos="9180"/>
              </w:tabs>
            </w:pPr>
            <w:r>
              <w:tab/>
            </w:r>
            <w:r w:rsidR="00A05EF9">
              <w:t>18,329</w:t>
            </w:r>
          </w:p>
        </w:tc>
        <w:tc>
          <w:tcPr>
            <w:tcW w:w="360" w:type="dxa"/>
          </w:tcPr>
          <w:p w14:paraId="5F3D2CF9" w14:textId="77777777" w:rsidR="002D627A" w:rsidRPr="000D3DC5" w:rsidRDefault="002D627A" w:rsidP="002D627A">
            <w:pPr>
              <w:tabs>
                <w:tab w:val="right" w:pos="9180"/>
              </w:tabs>
            </w:pPr>
          </w:p>
        </w:tc>
        <w:tc>
          <w:tcPr>
            <w:tcW w:w="1620" w:type="dxa"/>
          </w:tcPr>
          <w:p w14:paraId="48F34730" w14:textId="0F934D2B" w:rsidR="002D627A" w:rsidRDefault="006E7CF8" w:rsidP="002D627A">
            <w:pPr>
              <w:tabs>
                <w:tab w:val="decimal" w:pos="1152"/>
                <w:tab w:val="right" w:pos="9180"/>
              </w:tabs>
            </w:pPr>
            <w:r>
              <w:tab/>
            </w:r>
            <w:r w:rsidR="00A05EF9">
              <w:t>45,001</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3B80447C" w:rsidR="002D627A" w:rsidRPr="000D3DC5" w:rsidRDefault="00767AC2" w:rsidP="002D627A">
            <w:pPr>
              <w:tabs>
                <w:tab w:val="decimal" w:pos="1332"/>
                <w:tab w:val="right" w:pos="9180"/>
              </w:tabs>
            </w:pPr>
            <w:r>
              <w:tab/>
            </w:r>
            <w:r w:rsidR="00BD2C7D">
              <w:t>(</w:t>
            </w:r>
            <w:r w:rsidR="00A05EF9">
              <w:t>83,637</w:t>
            </w:r>
            <w:r w:rsidR="00BD2C7D">
              <w:t>)</w:t>
            </w:r>
          </w:p>
        </w:tc>
        <w:tc>
          <w:tcPr>
            <w:tcW w:w="360" w:type="dxa"/>
          </w:tcPr>
          <w:p w14:paraId="6A52DAE9" w14:textId="77777777" w:rsidR="002D627A" w:rsidRPr="000D3DC5" w:rsidRDefault="002D627A" w:rsidP="002D627A">
            <w:pPr>
              <w:tabs>
                <w:tab w:val="right" w:pos="9180"/>
              </w:tabs>
            </w:pPr>
          </w:p>
        </w:tc>
        <w:tc>
          <w:tcPr>
            <w:tcW w:w="1620" w:type="dxa"/>
          </w:tcPr>
          <w:p w14:paraId="07A50865" w14:textId="3F8C0CB2" w:rsidR="002D627A" w:rsidRPr="000D3DC5" w:rsidRDefault="006E7CF8" w:rsidP="002D627A">
            <w:pPr>
              <w:tabs>
                <w:tab w:val="decimal" w:pos="1152"/>
                <w:tab w:val="right" w:pos="9180"/>
              </w:tabs>
            </w:pPr>
            <w:r>
              <w:tab/>
            </w:r>
            <w:r w:rsidR="00A05EF9">
              <w:t>62,544</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77777777" w:rsidR="002D627A" w:rsidRPr="000D3DC5" w:rsidRDefault="002D627A" w:rsidP="002D627A">
            <w:pPr>
              <w:tabs>
                <w:tab w:val="right" w:pos="9180"/>
              </w:tabs>
            </w:pPr>
            <w:r w:rsidRPr="000D3DC5">
              <w:t>Accounts payable and accrued expenses</w:t>
            </w:r>
          </w:p>
        </w:tc>
        <w:tc>
          <w:tcPr>
            <w:tcW w:w="1800" w:type="dxa"/>
          </w:tcPr>
          <w:p w14:paraId="39FF3F45" w14:textId="3F863F26" w:rsidR="002D627A" w:rsidRPr="000D3DC5" w:rsidRDefault="00767AC2" w:rsidP="002D627A">
            <w:pPr>
              <w:tabs>
                <w:tab w:val="decimal" w:pos="1332"/>
                <w:tab w:val="right" w:pos="9180"/>
              </w:tabs>
            </w:pPr>
            <w:r>
              <w:tab/>
            </w:r>
            <w:r w:rsidR="00A05EF9">
              <w:t>431,170</w:t>
            </w:r>
          </w:p>
        </w:tc>
        <w:tc>
          <w:tcPr>
            <w:tcW w:w="360" w:type="dxa"/>
          </w:tcPr>
          <w:p w14:paraId="102B1A34" w14:textId="77777777" w:rsidR="002D627A" w:rsidRPr="000D3DC5" w:rsidRDefault="002D627A" w:rsidP="002D627A">
            <w:pPr>
              <w:tabs>
                <w:tab w:val="right" w:pos="9180"/>
              </w:tabs>
            </w:pPr>
          </w:p>
        </w:tc>
        <w:tc>
          <w:tcPr>
            <w:tcW w:w="1620" w:type="dxa"/>
          </w:tcPr>
          <w:p w14:paraId="6098F217" w14:textId="70B3EDB8" w:rsidR="002D627A" w:rsidRPr="000D3DC5" w:rsidRDefault="006E7CF8" w:rsidP="002D627A">
            <w:pPr>
              <w:tabs>
                <w:tab w:val="decimal" w:pos="1152"/>
                <w:tab w:val="right" w:pos="9180"/>
              </w:tabs>
            </w:pPr>
            <w:r>
              <w:tab/>
            </w:r>
            <w:r w:rsidR="00A05EF9">
              <w:t>486,413</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387BC1D5" w:rsidR="002D627A" w:rsidRPr="000D3DC5" w:rsidRDefault="00767AC2" w:rsidP="002D627A">
            <w:pPr>
              <w:tabs>
                <w:tab w:val="decimal" w:pos="1332"/>
                <w:tab w:val="right" w:pos="9180"/>
              </w:tabs>
            </w:pPr>
            <w:r>
              <w:tab/>
            </w:r>
            <w:r w:rsidR="00A05EF9">
              <w:t>6</w:t>
            </w:r>
            <w:r w:rsidR="00C956D9">
              <w:t>6</w:t>
            </w:r>
            <w:r w:rsidR="00A05EF9">
              <w:t>2,299</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1DE4BBE5" w:rsidR="002D627A" w:rsidRPr="000D3DC5" w:rsidRDefault="006E7CF8" w:rsidP="002D627A">
            <w:pPr>
              <w:tabs>
                <w:tab w:val="decimal" w:pos="1152"/>
                <w:tab w:val="right" w:pos="9180"/>
              </w:tabs>
            </w:pPr>
            <w:r>
              <w:tab/>
            </w:r>
            <w:r w:rsidR="00A05EF9">
              <w:t>884,264</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408327D5" w:rsidR="00D27ADC" w:rsidRDefault="00D27ADC" w:rsidP="002D627A">
            <w:pPr>
              <w:tabs>
                <w:tab w:val="decimal" w:pos="1332"/>
                <w:tab w:val="right" w:pos="9180"/>
              </w:tabs>
            </w:pPr>
            <w:r>
              <w:tab/>
            </w:r>
            <w:r w:rsidR="00526E58">
              <w:t>(</w:t>
            </w:r>
            <w:r w:rsidR="00A05EF9">
              <w:t>1,117,737</w:t>
            </w:r>
            <w:r w:rsidR="00526E58">
              <w:t>)</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27BDB0BA" w:rsidR="00D27ADC" w:rsidRDefault="00D27ADC" w:rsidP="002D627A">
            <w:pPr>
              <w:tabs>
                <w:tab w:val="decimal" w:pos="1152"/>
                <w:tab w:val="right" w:pos="9180"/>
              </w:tabs>
            </w:pPr>
            <w:r>
              <w:tab/>
              <w:t>(</w:t>
            </w:r>
            <w:r w:rsidR="00A05EF9">
              <w:t>1,041,485</w:t>
            </w:r>
            <w:r>
              <w:t>)</w:t>
            </w:r>
          </w:p>
        </w:tc>
      </w:tr>
      <w:tr w:rsidR="002D627A" w:rsidRPr="000D3DC5" w14:paraId="51C57900" w14:textId="77777777" w:rsidTr="002D627A">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2D627A" w:rsidRPr="000D3DC5" w14:paraId="789BDC17" w14:textId="77777777" w:rsidTr="00DB3B22">
        <w:tc>
          <w:tcPr>
            <w:tcW w:w="4853" w:type="dxa"/>
            <w:gridSpan w:val="7"/>
          </w:tcPr>
          <w:p w14:paraId="1FBFC866" w14:textId="77777777" w:rsidR="002D627A" w:rsidRPr="000D3DC5" w:rsidRDefault="002D627A" w:rsidP="002D627A">
            <w:r w:rsidRPr="000D3DC5">
              <w:t>Cash flows from investing activities:</w:t>
            </w:r>
          </w:p>
        </w:tc>
        <w:tc>
          <w:tcPr>
            <w:tcW w:w="1555" w:type="dxa"/>
          </w:tcPr>
          <w:p w14:paraId="1B77AAE7" w14:textId="77777777" w:rsidR="002D627A" w:rsidRPr="000D3DC5" w:rsidRDefault="002D627A" w:rsidP="002D627A">
            <w:pPr>
              <w:tabs>
                <w:tab w:val="right" w:pos="9180"/>
              </w:tabs>
            </w:pPr>
          </w:p>
        </w:tc>
        <w:tc>
          <w:tcPr>
            <w:tcW w:w="1800" w:type="dxa"/>
          </w:tcPr>
          <w:p w14:paraId="58E41C16" w14:textId="77777777" w:rsidR="002D627A" w:rsidRPr="000D3DC5" w:rsidRDefault="002D627A" w:rsidP="002D627A">
            <w:pPr>
              <w:tabs>
                <w:tab w:val="decimal" w:pos="1044"/>
                <w:tab w:val="decimal" w:pos="1332"/>
                <w:tab w:val="right" w:pos="9180"/>
              </w:tabs>
            </w:pPr>
          </w:p>
        </w:tc>
        <w:tc>
          <w:tcPr>
            <w:tcW w:w="360" w:type="dxa"/>
          </w:tcPr>
          <w:p w14:paraId="42164C5D" w14:textId="77777777" w:rsidR="002D627A" w:rsidRPr="000D3DC5" w:rsidRDefault="002D627A" w:rsidP="002D627A">
            <w:pPr>
              <w:tabs>
                <w:tab w:val="right" w:pos="9180"/>
              </w:tabs>
            </w:pPr>
          </w:p>
        </w:tc>
        <w:tc>
          <w:tcPr>
            <w:tcW w:w="1620" w:type="dxa"/>
          </w:tcPr>
          <w:p w14:paraId="6C7C537D" w14:textId="77777777" w:rsidR="002D627A" w:rsidRPr="000D3DC5" w:rsidRDefault="002D627A" w:rsidP="002D627A">
            <w:pPr>
              <w:tabs>
                <w:tab w:val="decimal" w:pos="1044"/>
                <w:tab w:val="right" w:pos="9180"/>
              </w:tabs>
              <w:ind w:right="-18"/>
            </w:pPr>
          </w:p>
        </w:tc>
      </w:tr>
      <w:tr w:rsidR="002D627A" w:rsidRPr="000D3DC5" w14:paraId="01811FC7" w14:textId="77777777" w:rsidTr="00DB3B22">
        <w:tc>
          <w:tcPr>
            <w:tcW w:w="378" w:type="dxa"/>
          </w:tcPr>
          <w:p w14:paraId="0E575DF6" w14:textId="77777777" w:rsidR="002D627A" w:rsidRPr="000D3DC5" w:rsidRDefault="002D627A" w:rsidP="002D627A"/>
        </w:tc>
        <w:tc>
          <w:tcPr>
            <w:tcW w:w="4475" w:type="dxa"/>
            <w:gridSpan w:val="6"/>
          </w:tcPr>
          <w:p w14:paraId="48BC66BB" w14:textId="77777777" w:rsidR="002D627A" w:rsidRPr="000D3DC5" w:rsidRDefault="002D627A" w:rsidP="002D627A">
            <w:r w:rsidRPr="000D3DC5">
              <w:t>Purchase of property and equipment</w:t>
            </w:r>
          </w:p>
        </w:tc>
        <w:tc>
          <w:tcPr>
            <w:tcW w:w="1555" w:type="dxa"/>
          </w:tcPr>
          <w:p w14:paraId="7EBDEEE5" w14:textId="77777777" w:rsidR="002D627A" w:rsidRPr="000D3DC5" w:rsidRDefault="002D627A" w:rsidP="002D627A">
            <w:pPr>
              <w:tabs>
                <w:tab w:val="right" w:pos="9180"/>
              </w:tabs>
            </w:pPr>
          </w:p>
        </w:tc>
        <w:tc>
          <w:tcPr>
            <w:tcW w:w="1800" w:type="dxa"/>
            <w:tcBorders>
              <w:bottom w:val="single" w:sz="4" w:space="0" w:color="auto"/>
            </w:tcBorders>
          </w:tcPr>
          <w:p w14:paraId="5782B4A9" w14:textId="3C829355" w:rsidR="002D627A" w:rsidRPr="000D3DC5" w:rsidRDefault="00767AC2" w:rsidP="002D627A">
            <w:pPr>
              <w:tabs>
                <w:tab w:val="decimal" w:pos="1332"/>
                <w:tab w:val="right" w:pos="9180"/>
              </w:tabs>
            </w:pPr>
            <w:r>
              <w:tab/>
            </w:r>
            <w:r w:rsidR="00526E58">
              <w:t>(4,272)</w:t>
            </w:r>
          </w:p>
        </w:tc>
        <w:tc>
          <w:tcPr>
            <w:tcW w:w="360" w:type="dxa"/>
          </w:tcPr>
          <w:p w14:paraId="4C599FC5" w14:textId="77777777" w:rsidR="002D627A" w:rsidRPr="000D3DC5" w:rsidRDefault="002D627A" w:rsidP="002D627A">
            <w:pPr>
              <w:tabs>
                <w:tab w:val="right" w:pos="9180"/>
              </w:tabs>
            </w:pPr>
          </w:p>
        </w:tc>
        <w:tc>
          <w:tcPr>
            <w:tcW w:w="1620" w:type="dxa"/>
            <w:tcBorders>
              <w:bottom w:val="single" w:sz="4" w:space="0" w:color="auto"/>
            </w:tcBorders>
          </w:tcPr>
          <w:p w14:paraId="25532362" w14:textId="1DF278EA" w:rsidR="002D627A" w:rsidRPr="000D3DC5" w:rsidRDefault="006E7CF8" w:rsidP="002D627A">
            <w:pPr>
              <w:tabs>
                <w:tab w:val="decimal" w:pos="1152"/>
                <w:tab w:val="right" w:pos="9180"/>
              </w:tabs>
            </w:pPr>
            <w:r>
              <w:tab/>
            </w:r>
            <w:r w:rsidR="006B2167">
              <w:t>-</w:t>
            </w:r>
          </w:p>
        </w:tc>
      </w:tr>
      <w:tr w:rsidR="00D27ADC" w:rsidRPr="000D3DC5" w14:paraId="6DD7F11D" w14:textId="77777777" w:rsidTr="00DB3B22">
        <w:tc>
          <w:tcPr>
            <w:tcW w:w="378" w:type="dxa"/>
          </w:tcPr>
          <w:p w14:paraId="427E0935" w14:textId="77777777" w:rsidR="00D27ADC" w:rsidRPr="000D3DC5" w:rsidRDefault="00D27ADC" w:rsidP="002D627A"/>
        </w:tc>
        <w:tc>
          <w:tcPr>
            <w:tcW w:w="4475" w:type="dxa"/>
            <w:gridSpan w:val="6"/>
          </w:tcPr>
          <w:p w14:paraId="78340E5E" w14:textId="08B60DE9" w:rsidR="00D27ADC" w:rsidRPr="000D3DC5" w:rsidRDefault="00D27ADC" w:rsidP="002D627A">
            <w:r>
              <w:t>Net cash used in investing activities</w:t>
            </w:r>
          </w:p>
        </w:tc>
        <w:tc>
          <w:tcPr>
            <w:tcW w:w="1555" w:type="dxa"/>
          </w:tcPr>
          <w:p w14:paraId="00181D5F" w14:textId="77777777" w:rsidR="00D27ADC" w:rsidRPr="000D3DC5" w:rsidRDefault="00D27ADC" w:rsidP="002D627A">
            <w:pPr>
              <w:tabs>
                <w:tab w:val="right" w:pos="9180"/>
              </w:tabs>
            </w:pPr>
          </w:p>
        </w:tc>
        <w:tc>
          <w:tcPr>
            <w:tcW w:w="1800" w:type="dxa"/>
          </w:tcPr>
          <w:p w14:paraId="382B644F" w14:textId="620F7D26" w:rsidR="00D27ADC" w:rsidRDefault="00D27ADC" w:rsidP="002D627A">
            <w:pPr>
              <w:tabs>
                <w:tab w:val="decimal" w:pos="1332"/>
                <w:tab w:val="right" w:pos="9180"/>
              </w:tabs>
            </w:pPr>
            <w:r>
              <w:tab/>
            </w:r>
            <w:r w:rsidR="00526E58">
              <w:t>(4,272)</w:t>
            </w:r>
          </w:p>
        </w:tc>
        <w:tc>
          <w:tcPr>
            <w:tcW w:w="360" w:type="dxa"/>
          </w:tcPr>
          <w:p w14:paraId="73B3F746" w14:textId="77777777" w:rsidR="00D27ADC" w:rsidRPr="000D3DC5" w:rsidRDefault="00D27ADC" w:rsidP="002D627A">
            <w:pPr>
              <w:tabs>
                <w:tab w:val="right" w:pos="9180"/>
              </w:tabs>
            </w:pPr>
          </w:p>
        </w:tc>
        <w:tc>
          <w:tcPr>
            <w:tcW w:w="1620" w:type="dxa"/>
            <w:tcBorders>
              <w:top w:val="single" w:sz="4" w:space="0" w:color="auto"/>
            </w:tcBorders>
          </w:tcPr>
          <w:p w14:paraId="5A223855" w14:textId="5F8AE2DE" w:rsidR="00D27ADC" w:rsidRDefault="00D27ADC" w:rsidP="002D627A">
            <w:pPr>
              <w:tabs>
                <w:tab w:val="decimal" w:pos="1152"/>
                <w:tab w:val="right" w:pos="9180"/>
              </w:tabs>
            </w:pPr>
            <w:r>
              <w:tab/>
              <w:t>-</w:t>
            </w:r>
          </w:p>
        </w:tc>
      </w:tr>
      <w:tr w:rsidR="002D627A" w:rsidRPr="000D3DC5" w14:paraId="5BD203D6" w14:textId="77777777" w:rsidTr="002D627A">
        <w:tc>
          <w:tcPr>
            <w:tcW w:w="378" w:type="dxa"/>
          </w:tcPr>
          <w:p w14:paraId="3A29AA37" w14:textId="77777777" w:rsidR="002D627A" w:rsidRPr="000D3DC5" w:rsidRDefault="002D627A" w:rsidP="002D627A"/>
        </w:tc>
        <w:tc>
          <w:tcPr>
            <w:tcW w:w="425" w:type="dxa"/>
          </w:tcPr>
          <w:p w14:paraId="6B73CC68" w14:textId="77777777" w:rsidR="002D627A" w:rsidRPr="000D3DC5" w:rsidRDefault="002D627A" w:rsidP="002D627A"/>
        </w:tc>
        <w:tc>
          <w:tcPr>
            <w:tcW w:w="789" w:type="dxa"/>
            <w:gridSpan w:val="3"/>
          </w:tcPr>
          <w:p w14:paraId="5475961C" w14:textId="77777777" w:rsidR="002D627A" w:rsidRPr="000D3DC5" w:rsidRDefault="002D627A" w:rsidP="002D627A"/>
        </w:tc>
        <w:tc>
          <w:tcPr>
            <w:tcW w:w="620" w:type="dxa"/>
          </w:tcPr>
          <w:p w14:paraId="3E0C9267" w14:textId="77777777" w:rsidR="002D627A" w:rsidRPr="000D3DC5" w:rsidRDefault="002D627A" w:rsidP="002D627A"/>
        </w:tc>
        <w:tc>
          <w:tcPr>
            <w:tcW w:w="2641" w:type="dxa"/>
          </w:tcPr>
          <w:p w14:paraId="03595848" w14:textId="77777777" w:rsidR="002D627A" w:rsidRPr="000D3DC5" w:rsidRDefault="002D627A" w:rsidP="002D627A"/>
        </w:tc>
        <w:tc>
          <w:tcPr>
            <w:tcW w:w="1555" w:type="dxa"/>
          </w:tcPr>
          <w:p w14:paraId="159C73FD" w14:textId="77777777" w:rsidR="002D627A" w:rsidRPr="000D3DC5" w:rsidRDefault="002D627A" w:rsidP="002D627A">
            <w:pPr>
              <w:tabs>
                <w:tab w:val="right" w:pos="9180"/>
              </w:tabs>
            </w:pPr>
          </w:p>
        </w:tc>
        <w:tc>
          <w:tcPr>
            <w:tcW w:w="1800" w:type="dxa"/>
          </w:tcPr>
          <w:p w14:paraId="2E1A5C5F" w14:textId="77777777" w:rsidR="002D627A" w:rsidRPr="000D3DC5" w:rsidRDefault="002D627A" w:rsidP="002D627A">
            <w:pPr>
              <w:tabs>
                <w:tab w:val="decimal" w:pos="1044"/>
                <w:tab w:val="decimal" w:pos="1332"/>
                <w:tab w:val="right" w:pos="9180"/>
              </w:tabs>
            </w:pPr>
          </w:p>
        </w:tc>
        <w:tc>
          <w:tcPr>
            <w:tcW w:w="360" w:type="dxa"/>
          </w:tcPr>
          <w:p w14:paraId="4456697A" w14:textId="77777777" w:rsidR="002D627A" w:rsidRPr="000D3DC5" w:rsidRDefault="002D627A" w:rsidP="002D627A">
            <w:pPr>
              <w:tabs>
                <w:tab w:val="right" w:pos="9180"/>
              </w:tabs>
            </w:pPr>
          </w:p>
        </w:tc>
        <w:tc>
          <w:tcPr>
            <w:tcW w:w="1620" w:type="dxa"/>
          </w:tcPr>
          <w:p w14:paraId="4219334E" w14:textId="77777777" w:rsidR="002D627A" w:rsidRPr="000D3DC5" w:rsidRDefault="002D627A"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452D3C" w:rsidRPr="000D3DC5" w14:paraId="197C4C00" w14:textId="77777777" w:rsidTr="002D627A">
        <w:tc>
          <w:tcPr>
            <w:tcW w:w="378" w:type="dxa"/>
          </w:tcPr>
          <w:p w14:paraId="5B6BCB85" w14:textId="77777777" w:rsidR="00452D3C" w:rsidRPr="000D3DC5" w:rsidRDefault="00452D3C" w:rsidP="002D627A">
            <w:bookmarkStart w:id="10" w:name="_Hlk511051769"/>
          </w:p>
        </w:tc>
        <w:tc>
          <w:tcPr>
            <w:tcW w:w="4475" w:type="dxa"/>
            <w:gridSpan w:val="6"/>
          </w:tcPr>
          <w:p w14:paraId="516B8FFF" w14:textId="7EBE257D" w:rsidR="00452D3C" w:rsidRPr="000D3DC5" w:rsidRDefault="00AC463D" w:rsidP="002D627A">
            <w:r>
              <w:t>Net p</w:t>
            </w:r>
            <w:r w:rsidR="00452D3C">
              <w:t xml:space="preserve">roceeds from sale of </w:t>
            </w:r>
            <w:r>
              <w:t>preferred</w:t>
            </w:r>
            <w:r w:rsidR="00452D3C">
              <w:t xml:space="preserve"> stock</w:t>
            </w:r>
          </w:p>
        </w:tc>
        <w:tc>
          <w:tcPr>
            <w:tcW w:w="1555" w:type="dxa"/>
          </w:tcPr>
          <w:p w14:paraId="26800BF2" w14:textId="77777777" w:rsidR="00452D3C" w:rsidRPr="000D3DC5" w:rsidRDefault="00452D3C" w:rsidP="002D627A">
            <w:pPr>
              <w:tabs>
                <w:tab w:val="right" w:pos="9180"/>
              </w:tabs>
            </w:pPr>
          </w:p>
        </w:tc>
        <w:tc>
          <w:tcPr>
            <w:tcW w:w="1800" w:type="dxa"/>
          </w:tcPr>
          <w:p w14:paraId="19570262" w14:textId="06B0AF68" w:rsidR="00452D3C" w:rsidRDefault="00FD4723" w:rsidP="002D627A">
            <w:pPr>
              <w:tabs>
                <w:tab w:val="decimal" w:pos="1332"/>
                <w:tab w:val="right" w:pos="9180"/>
              </w:tabs>
            </w:pPr>
            <w:r>
              <w:tab/>
            </w:r>
            <w:r w:rsidR="00A05EF9">
              <w:t>1,4</w:t>
            </w:r>
            <w:r w:rsidR="00526E58">
              <w:t>40,000</w:t>
            </w:r>
          </w:p>
        </w:tc>
        <w:tc>
          <w:tcPr>
            <w:tcW w:w="360" w:type="dxa"/>
          </w:tcPr>
          <w:p w14:paraId="3A03174F" w14:textId="77777777" w:rsidR="00452D3C" w:rsidRPr="000D3DC5" w:rsidRDefault="00452D3C" w:rsidP="00B1007E">
            <w:pPr>
              <w:pStyle w:val="ListParagraph"/>
              <w:numPr>
                <w:ilvl w:val="0"/>
                <w:numId w:val="6"/>
              </w:numPr>
              <w:tabs>
                <w:tab w:val="right" w:pos="9180"/>
              </w:tabs>
            </w:pPr>
          </w:p>
        </w:tc>
        <w:tc>
          <w:tcPr>
            <w:tcW w:w="1620" w:type="dxa"/>
          </w:tcPr>
          <w:p w14:paraId="23A203E6" w14:textId="326CE45E" w:rsidR="00452D3C" w:rsidRDefault="00452D3C" w:rsidP="002D627A">
            <w:pPr>
              <w:tabs>
                <w:tab w:val="decimal" w:pos="1152"/>
                <w:tab w:val="right" w:pos="9180"/>
              </w:tabs>
            </w:pPr>
            <w:r>
              <w:tab/>
            </w:r>
            <w:r w:rsidR="00A05EF9">
              <w:t>1,1</w:t>
            </w:r>
            <w:r w:rsidR="006B2167">
              <w:t>90,000</w:t>
            </w:r>
          </w:p>
        </w:tc>
      </w:tr>
      <w:tr w:rsidR="00A80E0D" w:rsidRPr="000D3DC5" w14:paraId="58764457" w14:textId="77777777" w:rsidTr="00DB3B22">
        <w:tc>
          <w:tcPr>
            <w:tcW w:w="378" w:type="dxa"/>
          </w:tcPr>
          <w:p w14:paraId="4ED434E8" w14:textId="77777777" w:rsidR="00A80E0D" w:rsidRPr="000D3DC5" w:rsidRDefault="00A80E0D" w:rsidP="00304332"/>
        </w:tc>
        <w:tc>
          <w:tcPr>
            <w:tcW w:w="4475" w:type="dxa"/>
            <w:gridSpan w:val="6"/>
          </w:tcPr>
          <w:p w14:paraId="3DFE7A67" w14:textId="6A5264F3" w:rsidR="00A80E0D" w:rsidRDefault="00A80E0D" w:rsidP="00304332">
            <w:r>
              <w:t>Proceeds from issuance of note payable</w:t>
            </w:r>
          </w:p>
        </w:tc>
        <w:tc>
          <w:tcPr>
            <w:tcW w:w="1555" w:type="dxa"/>
          </w:tcPr>
          <w:p w14:paraId="66AA9E41" w14:textId="77777777" w:rsidR="00A80E0D" w:rsidRPr="000D3DC5" w:rsidRDefault="00A80E0D" w:rsidP="00304332">
            <w:pPr>
              <w:tabs>
                <w:tab w:val="right" w:pos="9180"/>
              </w:tabs>
            </w:pPr>
          </w:p>
        </w:tc>
        <w:tc>
          <w:tcPr>
            <w:tcW w:w="1800" w:type="dxa"/>
          </w:tcPr>
          <w:p w14:paraId="3A85FF7A" w14:textId="671986DD" w:rsidR="00A80E0D" w:rsidRDefault="00A80E0D" w:rsidP="00304332">
            <w:pPr>
              <w:tabs>
                <w:tab w:val="decimal" w:pos="1332"/>
                <w:tab w:val="right" w:pos="9180"/>
              </w:tabs>
            </w:pPr>
            <w:r>
              <w:tab/>
            </w:r>
            <w:r w:rsidR="00526E58">
              <w:t>-</w:t>
            </w:r>
          </w:p>
        </w:tc>
        <w:tc>
          <w:tcPr>
            <w:tcW w:w="360" w:type="dxa"/>
          </w:tcPr>
          <w:p w14:paraId="41A6B952" w14:textId="77777777" w:rsidR="00A80E0D" w:rsidRPr="000D3DC5" w:rsidRDefault="00A80E0D" w:rsidP="00304332">
            <w:pPr>
              <w:pStyle w:val="ListParagraph"/>
              <w:numPr>
                <w:ilvl w:val="0"/>
                <w:numId w:val="6"/>
              </w:numPr>
              <w:tabs>
                <w:tab w:val="right" w:pos="9180"/>
              </w:tabs>
            </w:pPr>
          </w:p>
        </w:tc>
        <w:tc>
          <w:tcPr>
            <w:tcW w:w="1620" w:type="dxa"/>
          </w:tcPr>
          <w:p w14:paraId="34205C00" w14:textId="198EEF15" w:rsidR="00A80E0D" w:rsidRDefault="00A80E0D" w:rsidP="00304332">
            <w:pPr>
              <w:tabs>
                <w:tab w:val="decimal" w:pos="1152"/>
                <w:tab w:val="right" w:pos="9180"/>
              </w:tabs>
            </w:pPr>
            <w:r>
              <w:tab/>
            </w:r>
            <w:r w:rsidR="00A05EF9">
              <w:t>50,000</w:t>
            </w:r>
          </w:p>
        </w:tc>
      </w:tr>
      <w:bookmarkEnd w:id="10"/>
      <w:tr w:rsidR="00AC463D" w:rsidRPr="000D3DC5" w14:paraId="7241350C" w14:textId="77777777" w:rsidTr="00DB3B22">
        <w:tc>
          <w:tcPr>
            <w:tcW w:w="378" w:type="dxa"/>
          </w:tcPr>
          <w:p w14:paraId="3A34C231" w14:textId="77777777" w:rsidR="00AC463D" w:rsidRPr="000D3DC5" w:rsidRDefault="00AC463D" w:rsidP="002D627A"/>
        </w:tc>
        <w:tc>
          <w:tcPr>
            <w:tcW w:w="4475" w:type="dxa"/>
            <w:gridSpan w:val="6"/>
          </w:tcPr>
          <w:p w14:paraId="150A9DDB" w14:textId="70DAC2B9" w:rsidR="00AC463D" w:rsidRPr="00E0298C" w:rsidRDefault="00E0298C" w:rsidP="002D627A">
            <w:r w:rsidRPr="00E0298C">
              <w:t>Principal re</w:t>
            </w:r>
            <w:r w:rsidR="00A80E0D" w:rsidRPr="00E0298C">
              <w:t>payment</w:t>
            </w:r>
            <w:r w:rsidR="00AC463D" w:rsidRPr="00E0298C">
              <w:t xml:space="preserve"> of note payable</w:t>
            </w:r>
          </w:p>
        </w:tc>
        <w:tc>
          <w:tcPr>
            <w:tcW w:w="1555" w:type="dxa"/>
          </w:tcPr>
          <w:p w14:paraId="53569C0C" w14:textId="77777777" w:rsidR="00AC463D" w:rsidRPr="00E0298C" w:rsidRDefault="00AC463D" w:rsidP="002D627A">
            <w:pPr>
              <w:tabs>
                <w:tab w:val="right" w:pos="9180"/>
              </w:tabs>
            </w:pPr>
          </w:p>
        </w:tc>
        <w:tc>
          <w:tcPr>
            <w:tcW w:w="1800" w:type="dxa"/>
            <w:tcBorders>
              <w:bottom w:val="single" w:sz="4" w:space="0" w:color="auto"/>
            </w:tcBorders>
          </w:tcPr>
          <w:p w14:paraId="3CAD48C2" w14:textId="08C9C712" w:rsidR="00AC463D" w:rsidRPr="00E0298C" w:rsidRDefault="00AC463D" w:rsidP="002D627A">
            <w:pPr>
              <w:tabs>
                <w:tab w:val="decimal" w:pos="1332"/>
                <w:tab w:val="right" w:pos="9180"/>
              </w:tabs>
            </w:pPr>
            <w:r w:rsidRPr="00E0298C">
              <w:tab/>
            </w:r>
            <w:r w:rsidR="00526E58">
              <w:t>(</w:t>
            </w:r>
            <w:r w:rsidR="00A05EF9">
              <w:t>8,333</w:t>
            </w:r>
            <w:r w:rsidR="00526E58">
              <w:t>)</w:t>
            </w:r>
          </w:p>
        </w:tc>
        <w:tc>
          <w:tcPr>
            <w:tcW w:w="360" w:type="dxa"/>
          </w:tcPr>
          <w:p w14:paraId="5ECD107E" w14:textId="77777777" w:rsidR="00AC463D" w:rsidRPr="00E0298C" w:rsidRDefault="00AC463D" w:rsidP="00B1007E">
            <w:pPr>
              <w:pStyle w:val="ListParagraph"/>
              <w:numPr>
                <w:ilvl w:val="0"/>
                <w:numId w:val="6"/>
              </w:numPr>
              <w:tabs>
                <w:tab w:val="right" w:pos="9180"/>
              </w:tabs>
            </w:pPr>
          </w:p>
        </w:tc>
        <w:tc>
          <w:tcPr>
            <w:tcW w:w="1620" w:type="dxa"/>
            <w:tcBorders>
              <w:bottom w:val="single" w:sz="4" w:space="0" w:color="auto"/>
            </w:tcBorders>
          </w:tcPr>
          <w:p w14:paraId="7BFE9FB1" w14:textId="00C4F1BC" w:rsidR="00AC463D" w:rsidRDefault="00AC463D" w:rsidP="002D627A">
            <w:pPr>
              <w:tabs>
                <w:tab w:val="decimal" w:pos="1152"/>
                <w:tab w:val="right" w:pos="9180"/>
              </w:tabs>
            </w:pPr>
            <w:r w:rsidRPr="00E0298C">
              <w:tab/>
            </w:r>
            <w:r w:rsidR="00A80E0D" w:rsidRPr="00E0298C">
              <w:t>-</w:t>
            </w:r>
          </w:p>
        </w:tc>
      </w:tr>
      <w:tr w:rsidR="00D27ADC" w:rsidRPr="000D3DC5" w14:paraId="47623E77" w14:textId="77777777" w:rsidTr="00DB3B22">
        <w:tc>
          <w:tcPr>
            <w:tcW w:w="378" w:type="dxa"/>
          </w:tcPr>
          <w:p w14:paraId="54858BC9" w14:textId="77777777" w:rsidR="00D27ADC" w:rsidRPr="000D3DC5" w:rsidRDefault="00D27ADC" w:rsidP="002D627A"/>
        </w:tc>
        <w:tc>
          <w:tcPr>
            <w:tcW w:w="4475" w:type="dxa"/>
            <w:gridSpan w:val="6"/>
          </w:tcPr>
          <w:p w14:paraId="22507B3C" w14:textId="7970ED54" w:rsidR="00D27ADC" w:rsidRDefault="00D27ADC" w:rsidP="002D627A">
            <w:r>
              <w:t>Net cash provided by financing activities</w:t>
            </w:r>
          </w:p>
        </w:tc>
        <w:tc>
          <w:tcPr>
            <w:tcW w:w="1555" w:type="dxa"/>
          </w:tcPr>
          <w:p w14:paraId="04945EC7" w14:textId="77777777" w:rsidR="00D27ADC" w:rsidRPr="000D3DC5" w:rsidRDefault="00D27ADC" w:rsidP="002D627A">
            <w:pPr>
              <w:tabs>
                <w:tab w:val="right" w:pos="9180"/>
              </w:tabs>
            </w:pPr>
          </w:p>
        </w:tc>
        <w:tc>
          <w:tcPr>
            <w:tcW w:w="1800" w:type="dxa"/>
            <w:tcBorders>
              <w:top w:val="single" w:sz="4" w:space="0" w:color="auto"/>
            </w:tcBorders>
          </w:tcPr>
          <w:p w14:paraId="4B04B1B0" w14:textId="515CBD74" w:rsidR="00D27ADC" w:rsidRDefault="00D27ADC" w:rsidP="002D627A">
            <w:pPr>
              <w:tabs>
                <w:tab w:val="decimal" w:pos="1332"/>
                <w:tab w:val="right" w:pos="9180"/>
              </w:tabs>
            </w:pPr>
            <w:r>
              <w:tab/>
            </w:r>
            <w:r w:rsidR="00A05EF9">
              <w:t>1,431,667</w:t>
            </w:r>
          </w:p>
        </w:tc>
        <w:tc>
          <w:tcPr>
            <w:tcW w:w="360" w:type="dxa"/>
          </w:tcPr>
          <w:p w14:paraId="0E218C06" w14:textId="77777777" w:rsidR="00D27ADC" w:rsidRPr="000D3DC5"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5A5CCA15" w:rsidR="00D27ADC" w:rsidRDefault="00D27ADC" w:rsidP="002D627A">
            <w:pPr>
              <w:tabs>
                <w:tab w:val="decimal" w:pos="1152"/>
                <w:tab w:val="right" w:pos="9180"/>
              </w:tabs>
            </w:pPr>
            <w:r>
              <w:tab/>
            </w:r>
            <w:r w:rsidR="00A05EF9">
              <w:t>1,2</w:t>
            </w:r>
            <w:r>
              <w:t>40,000</w:t>
            </w:r>
          </w:p>
        </w:tc>
      </w:tr>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3E1D4F52" w:rsidR="002D627A" w:rsidRPr="000D3DC5" w:rsidRDefault="002D627A" w:rsidP="002D627A">
            <w:pPr>
              <w:tabs>
                <w:tab w:val="right" w:pos="9180"/>
              </w:tabs>
            </w:pPr>
            <w:r w:rsidRPr="000D3DC5">
              <w:t xml:space="preserve">Net </w:t>
            </w:r>
            <w:r w:rsidR="00A05EF9">
              <w:t>increase</w:t>
            </w:r>
            <w:r w:rsidRPr="000D3DC5">
              <w:t xml:space="preserve"> in cash and cash equivalents</w:t>
            </w:r>
          </w:p>
        </w:tc>
        <w:tc>
          <w:tcPr>
            <w:tcW w:w="1800" w:type="dxa"/>
          </w:tcPr>
          <w:p w14:paraId="07DCA151" w14:textId="714F07B4" w:rsidR="002D627A" w:rsidRPr="000D3DC5" w:rsidRDefault="00767AC2" w:rsidP="002D627A">
            <w:pPr>
              <w:tabs>
                <w:tab w:val="decimal" w:pos="1332"/>
                <w:tab w:val="right" w:pos="9180"/>
              </w:tabs>
            </w:pPr>
            <w:r>
              <w:tab/>
            </w:r>
            <w:r w:rsidR="00A05EF9">
              <w:t>309,658</w:t>
            </w:r>
          </w:p>
        </w:tc>
        <w:tc>
          <w:tcPr>
            <w:tcW w:w="360" w:type="dxa"/>
          </w:tcPr>
          <w:p w14:paraId="36255853" w14:textId="77777777" w:rsidR="002D627A" w:rsidRPr="000D3DC5" w:rsidRDefault="002D627A" w:rsidP="002D627A">
            <w:pPr>
              <w:tabs>
                <w:tab w:val="right" w:pos="9180"/>
              </w:tabs>
            </w:pPr>
          </w:p>
        </w:tc>
        <w:tc>
          <w:tcPr>
            <w:tcW w:w="1620" w:type="dxa"/>
          </w:tcPr>
          <w:p w14:paraId="51BA2EF5" w14:textId="0E538801" w:rsidR="002D627A" w:rsidRPr="000D3DC5" w:rsidRDefault="006E7CF8" w:rsidP="002D627A">
            <w:pPr>
              <w:tabs>
                <w:tab w:val="decimal" w:pos="1152"/>
                <w:tab w:val="right" w:pos="9180"/>
              </w:tabs>
            </w:pPr>
            <w:r>
              <w:tab/>
            </w:r>
            <w:r w:rsidR="00A05EF9">
              <w:t>198,515</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25625931" w:rsidR="002D627A" w:rsidRPr="000D3DC5" w:rsidRDefault="00767AC2" w:rsidP="002D627A">
            <w:pPr>
              <w:tabs>
                <w:tab w:val="decimal" w:pos="1332"/>
                <w:tab w:val="right" w:pos="9180"/>
              </w:tabs>
            </w:pPr>
            <w:r>
              <w:tab/>
            </w:r>
            <w:r w:rsidR="00A80E0D">
              <w:t>259,701</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44EBE2F7" w:rsidR="002D627A" w:rsidRPr="000D3DC5" w:rsidRDefault="006E7CF8" w:rsidP="002D627A">
            <w:pPr>
              <w:tabs>
                <w:tab w:val="decimal" w:pos="1152"/>
                <w:tab w:val="right" w:pos="9180"/>
              </w:tabs>
            </w:pPr>
            <w:r>
              <w:tab/>
            </w:r>
            <w:r w:rsidR="006B2167">
              <w:t>312,7</w:t>
            </w:r>
            <w:r w:rsidR="00BE61F2">
              <w:t>2</w:t>
            </w:r>
            <w:r w:rsidR="006B2167">
              <w:t>7</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2B63D54D"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020D680E" w:rsidR="002D627A" w:rsidRPr="000D3DC5" w:rsidRDefault="00767AC2" w:rsidP="002D627A">
            <w:pPr>
              <w:tabs>
                <w:tab w:val="decimal" w:pos="1332"/>
                <w:tab w:val="right" w:pos="9180"/>
              </w:tabs>
            </w:pPr>
            <w:r>
              <w:t>$</w:t>
            </w:r>
            <w:r>
              <w:tab/>
            </w:r>
            <w:r w:rsidR="00A05EF9">
              <w:t>569,359</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009904DB" w:rsidR="002D627A" w:rsidRPr="000D3DC5" w:rsidRDefault="006E7CF8" w:rsidP="002D627A">
            <w:pPr>
              <w:tabs>
                <w:tab w:val="decimal" w:pos="1152"/>
                <w:tab w:val="right" w:pos="9180"/>
              </w:tabs>
            </w:pPr>
            <w:r>
              <w:t>$</w:t>
            </w:r>
            <w:r>
              <w:tab/>
            </w:r>
            <w:r w:rsidR="00A05EF9">
              <w:t>511,242</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6CEADA5F" w14:textId="37F38959" w:rsidR="003A2390" w:rsidRDefault="006E7D01" w:rsidP="00DF2BA6">
      <w:r w:rsidRPr="000D3DC5">
        <w:t xml:space="preserve">Supplemental disclosure of </w:t>
      </w:r>
      <w:r w:rsidR="00130959">
        <w:t xml:space="preserve">non-cash </w:t>
      </w:r>
      <w:r w:rsidR="000E5E04">
        <w:t xml:space="preserve">financing </w:t>
      </w:r>
      <w:r w:rsidR="00130959">
        <w:t>activities</w:t>
      </w:r>
      <w:r w:rsidRPr="000D3DC5">
        <w:t>:</w:t>
      </w:r>
    </w:p>
    <w:p w14:paraId="1B55C511" w14:textId="72A6283B" w:rsidR="00BD2C7D" w:rsidRDefault="0060682C" w:rsidP="002575DB">
      <w:pPr>
        <w:ind w:left="360"/>
      </w:pPr>
      <w:r>
        <w:t xml:space="preserve">During the </w:t>
      </w:r>
      <w:r w:rsidR="00A05EF9">
        <w:t>nine</w:t>
      </w:r>
      <w:r>
        <w:t xml:space="preserve"> months ended </w:t>
      </w:r>
      <w:r w:rsidR="00A05EF9">
        <w:t>September</w:t>
      </w:r>
      <w:r>
        <w:t xml:space="preserve"> 3</w:t>
      </w:r>
      <w:r w:rsidR="00C35EDB">
        <w:t>0</w:t>
      </w:r>
      <w:r>
        <w:t xml:space="preserve">, 2019, </w:t>
      </w:r>
      <w:r w:rsidR="005D1C82">
        <w:t xml:space="preserve">587 shares of Series C Convertible Preferred Stock were converted into 78,280 shares of common stock, </w:t>
      </w:r>
      <w:r w:rsidR="009B76ED">
        <w:t xml:space="preserve">1,563 shares of Series C Convertible Preferred Stock and 1,200 shares of Series E Convertible Preferred Stock were exchanged for 2,763 shares of Series F Convertible Preferred Stock, </w:t>
      </w:r>
      <w:r w:rsidR="005D1C82">
        <w:t xml:space="preserve">507 shares of Series F Convertible Preferred Stock were converted into 381,700 shares of common stock, </w:t>
      </w:r>
      <w:r w:rsidR="009B76ED">
        <w:t xml:space="preserve">250 shares of Series G Convertible Preferred Stock were issued in exchange for cancellation of $250,000 of term notes payable, </w:t>
      </w:r>
      <w:r w:rsidR="005D1C82">
        <w:t>2,256 shares of Series F Convertible Preferred Stock and 1,000 shares of Series G Convertible Preferred Stock were exchanged for 3,256 shares of Series H Convertible Preferred Stock</w:t>
      </w:r>
      <w:r w:rsidR="009B76ED">
        <w:t>,</w:t>
      </w:r>
      <w:r>
        <w:t xml:space="preserve"> and</w:t>
      </w:r>
      <w:r w:rsidR="005D1C82">
        <w:t xml:space="preserve"> 1,002 shares of Series H Convertible Preferred Stock</w:t>
      </w:r>
      <w:r>
        <w:t xml:space="preserve"> </w:t>
      </w:r>
      <w:r w:rsidR="005D1C82">
        <w:t>were converted into 94,687,441 shares of common stock.</w:t>
      </w:r>
    </w:p>
    <w:p w14:paraId="7A368148" w14:textId="77777777" w:rsidR="00BD2C7D" w:rsidRDefault="00BD2C7D" w:rsidP="002575DB">
      <w:pPr>
        <w:ind w:left="360"/>
      </w:pPr>
    </w:p>
    <w:p w14:paraId="08C859D0" w14:textId="74EE662E" w:rsidR="00DF2BA6" w:rsidRDefault="00A707C8" w:rsidP="002575DB">
      <w:pPr>
        <w:ind w:left="360"/>
      </w:pPr>
      <w:r>
        <w:t xml:space="preserve">During the </w:t>
      </w:r>
      <w:r w:rsidR="005D1C82">
        <w:t>nine</w:t>
      </w:r>
      <w:r>
        <w:t xml:space="preserve"> months ended </w:t>
      </w:r>
      <w:r w:rsidR="005D1C82">
        <w:t>September</w:t>
      </w:r>
      <w:r>
        <w:t xml:space="preserve"> 3</w:t>
      </w:r>
      <w:r w:rsidR="00C35EDB">
        <w:t>0</w:t>
      </w:r>
      <w:r>
        <w:t xml:space="preserve">, 2018, </w:t>
      </w:r>
      <w:r w:rsidR="005D1C82">
        <w:t>1,000</w:t>
      </w:r>
      <w:r>
        <w:t xml:space="preserve"> shares of Series D Convertible Preferred Stock were converted into </w:t>
      </w:r>
      <w:r w:rsidR="005D1C82">
        <w:t>133,333</w:t>
      </w:r>
      <w:r>
        <w:t xml:space="preserve"> shares of common stock. </w:t>
      </w:r>
    </w:p>
    <w:p w14:paraId="092A383D" w14:textId="77777777" w:rsidR="006E7D01" w:rsidRDefault="006E7D01"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05CC9036" w:rsidR="00277F5A" w:rsidRDefault="003A1B5B" w:rsidP="00277F5A">
      <w:pPr>
        <w:jc w:val="center"/>
        <w:rPr>
          <w:b/>
        </w:rPr>
      </w:pPr>
      <w:r>
        <w:rPr>
          <w:b/>
        </w:rPr>
        <w:t>September</w:t>
      </w:r>
      <w:r w:rsidR="00F415DC">
        <w:rPr>
          <w:b/>
        </w:rPr>
        <w:t xml:space="preserve"> 3</w:t>
      </w:r>
      <w:r w:rsidR="00047BFF">
        <w:rPr>
          <w:b/>
        </w:rPr>
        <w:t>0</w:t>
      </w:r>
      <w:r w:rsidR="00277F5A" w:rsidRPr="001C6303">
        <w:rPr>
          <w:b/>
        </w:rPr>
        <w:t>, 20</w:t>
      </w:r>
      <w:r w:rsidR="00F415DC">
        <w:rPr>
          <w:b/>
        </w:rPr>
        <w:t>1</w:t>
      </w:r>
      <w:r w:rsidR="00E727AE">
        <w:rPr>
          <w:b/>
        </w:rPr>
        <w:t>9</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77777777" w:rsidR="00277F5A" w:rsidRPr="001C6303" w:rsidRDefault="00277F5A" w:rsidP="000A55AE">
      <w:pPr>
        <w:pStyle w:val="ListNumbering"/>
        <w:spacing w:after="0"/>
      </w:pPr>
      <w:r w:rsidRPr="001C6303">
        <w:t>1.</w:t>
      </w:r>
      <w:r w:rsidRPr="001C6303">
        <w:tab/>
        <w:t xml:space="preserve">Description of </w:t>
      </w:r>
      <w:r w:rsidR="0034148D">
        <w:t>Business</w:t>
      </w:r>
      <w:r w:rsidRPr="001C6303">
        <w:t xml:space="preserve"> </w:t>
      </w:r>
    </w:p>
    <w:p w14:paraId="24E71BAC" w14:textId="77777777" w:rsidR="000A55AE" w:rsidRDefault="000A55AE" w:rsidP="000A55AE"/>
    <w:p w14:paraId="39BB72BA" w14:textId="2F73AB86" w:rsidR="002232ED" w:rsidRDefault="000A55AE" w:rsidP="002232ED">
      <w:r w:rsidRPr="000A55AE">
        <w:t xml:space="preserve">GeoVax Labs, Inc. (“GeoVax” or the “Company”), is a clinical-stage biotechnology company developing </w:t>
      </w:r>
      <w:r w:rsidR="002232ED" w:rsidRPr="000A55AE">
        <w:t xml:space="preserve">immunotherapies </w:t>
      </w:r>
      <w:r w:rsidR="002232ED">
        <w:t xml:space="preserve">and </w:t>
      </w:r>
      <w:r w:rsidRPr="000A55AE">
        <w:t xml:space="preserve">vaccines against </w:t>
      </w:r>
      <w:r w:rsidR="002232ED">
        <w:t xml:space="preserve">cancer and </w:t>
      </w:r>
      <w:r w:rsidRPr="000A55AE">
        <w:t xml:space="preserve">infectious diseases using a novel </w:t>
      </w:r>
      <w:r w:rsidR="002232ED">
        <w:t>vector vaccine platform</w:t>
      </w:r>
      <w:r w:rsidRPr="000A55AE">
        <w:t xml:space="preserve"> </w:t>
      </w:r>
      <w:r w:rsidR="002232ED">
        <w:t>(</w:t>
      </w:r>
      <w:r w:rsidRPr="000A55AE">
        <w:t>Modified Vaccinia Ankara Virus-Like Particle</w:t>
      </w:r>
      <w:r w:rsidR="002232ED">
        <w:t>, or</w:t>
      </w:r>
      <w:r w:rsidRPr="000A55AE">
        <w:t xml:space="preserve"> </w:t>
      </w:r>
      <w:r w:rsidR="002232ED">
        <w:t>“</w:t>
      </w:r>
      <w:r w:rsidRPr="000A55AE">
        <w:t>MVA-VLP</w:t>
      </w:r>
      <w:r w:rsidR="002232ED">
        <w:t>”</w:t>
      </w:r>
      <w:r w:rsidRPr="000A55AE">
        <w:t xml:space="preserve">). </w:t>
      </w:r>
      <w:r w:rsidR="002232ED">
        <w:t>Our</w:t>
      </w:r>
      <w:r w:rsidR="002232ED" w:rsidRPr="002232ED">
        <w:t xml:space="preserve"> recombinant MVA vector expresses target proteins on highly immunogenic VLPs in the person being vaccinated</w:t>
      </w:r>
      <w:r w:rsidR="002232ED">
        <w:t>,</w:t>
      </w:r>
      <w:r w:rsidR="002232ED" w:rsidRPr="002232ED">
        <w:t xml:space="preserve"> resulting in durable immune responses while providing the safety characteristics of the replication-</w:t>
      </w:r>
      <w:r w:rsidR="00D75233">
        <w:t>deficient</w:t>
      </w:r>
      <w:r w:rsidR="00D75233" w:rsidRPr="002232ED">
        <w:t xml:space="preserve"> </w:t>
      </w:r>
      <w:r w:rsidR="002232ED" w:rsidRPr="002232ED">
        <w:t xml:space="preserve">MVA vector. Important attributes of GeoVax vaccines include single dose, no adjuvant, durable immunity, extensive safety and cost-effective manufacturing.  </w:t>
      </w:r>
    </w:p>
    <w:p w14:paraId="69EB8150" w14:textId="77777777" w:rsidR="002232ED" w:rsidRPr="002232ED" w:rsidRDefault="002232ED" w:rsidP="002232ED"/>
    <w:p w14:paraId="672D0DC1" w14:textId="460D3FF3" w:rsidR="002232ED" w:rsidRPr="002232ED" w:rsidRDefault="002232ED" w:rsidP="002232ED">
      <w:r w:rsidRPr="002232ED">
        <w:t xml:space="preserve">Our </w:t>
      </w:r>
      <w:r>
        <w:t>current</w:t>
      </w:r>
      <w:r w:rsidRPr="002232ED">
        <w:t xml:space="preserve"> development programs</w:t>
      </w:r>
      <w:r>
        <w:t xml:space="preserve"> are</w:t>
      </w:r>
      <w:r w:rsidRPr="002232ED">
        <w:t xml:space="preserve"> focused on preventive and therapeutic vaccines against </w:t>
      </w:r>
      <w:r w:rsidRPr="000A55AE">
        <w:t>Human Immunodeficiency Virus (HIV</w:t>
      </w:r>
      <w:r>
        <w:t>);</w:t>
      </w:r>
      <w:r w:rsidRPr="002232ED">
        <w:t xml:space="preserve"> preventive vaccines against hemorrhagic fever viruses (Ebola</w:t>
      </w:r>
      <w:r>
        <w:t xml:space="preserve">, Sudan, Marburg, and </w:t>
      </w:r>
      <w:r w:rsidRPr="002232ED">
        <w:t xml:space="preserve">Lassa fever), Zika virus and malaria; a therapeutic vaccine for chronic hepatitis B virus infections; and </w:t>
      </w:r>
      <w:r w:rsidR="003A1B5B">
        <w:t>immunotherapies</w:t>
      </w:r>
      <w:r w:rsidRPr="002232ED">
        <w:t xml:space="preserve"> for solid tumor cancers. </w:t>
      </w:r>
      <w:r w:rsidR="00DF7C2D" w:rsidRPr="0025217A">
        <w:t>Our most advanced vaccine program is focused on the clade B subtype of HIV prevalent in the larger commercial markets of the Americas, Western Europe, Japan and Australia; this program is currently undergoing human clinical trials.</w:t>
      </w:r>
    </w:p>
    <w:p w14:paraId="6A207DC4" w14:textId="77777777" w:rsidR="000A55AE" w:rsidRPr="000A55AE" w:rsidRDefault="000A55AE" w:rsidP="000A55AE"/>
    <w:p w14:paraId="7B85C5DB" w14:textId="437FF8E0" w:rsidR="000A55AE" w:rsidRPr="000A55AE" w:rsidRDefault="000A55AE" w:rsidP="000A55AE">
      <w:bookmarkStart w:id="11" w:name="_Hlk4048519"/>
      <w:r w:rsidRPr="000A55AE">
        <w:t xml:space="preserve">Our corporate strategy is to improve health to patients worldwide by advancing our vaccine platform, using its unique capabilities to design and develop an array of products addressing unmet medical needs in the areas of infectious diseases and oncology. </w:t>
      </w:r>
      <w:r w:rsidR="001A5175">
        <w:t>Our goal is</w:t>
      </w:r>
      <w:r w:rsidRPr="000A55AE">
        <w:t xml:space="preserve">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bookmarkEnd w:id="11"/>
    <w:p w14:paraId="61F0BEBC" w14:textId="77777777" w:rsidR="000A55AE" w:rsidRPr="000A55AE" w:rsidRDefault="000A55AE" w:rsidP="000A55AE"/>
    <w:p w14:paraId="6BD22935" w14:textId="77777777" w:rsidR="000A55AE" w:rsidRPr="000A55AE" w:rsidRDefault="000A55AE" w:rsidP="000A55AE">
      <w:pPr>
        <w:autoSpaceDE w:val="0"/>
        <w:autoSpaceDN w:val="0"/>
        <w:adjustRightInd w:val="0"/>
      </w:pPr>
      <w:r w:rsidRPr="000A55AE">
        <w:t>We operate in a highly regulated and competitive environment. The manufacturing and marketing of pharmaceutical products require approval from, and are subject to, ongoing oversight by the Food and Drug Administration (FDA) in the United States, by the European Medicines Agency (EMA) in the European Union, and by comparable agencies in other countries. Obtaining approval for a new pharmaceutical product is never certain, may take many years and often involves expenditure of substantial resources. Our goal is to build a profitable company by generating income from products we develop and commercialize, either alone or with one or more potential strategic partners.</w:t>
      </w:r>
    </w:p>
    <w:p w14:paraId="7883BA35" w14:textId="77777777" w:rsidR="000A55AE" w:rsidRPr="000A55AE" w:rsidRDefault="000A55AE" w:rsidP="000A55AE">
      <w:pPr>
        <w:autoSpaceDE w:val="0"/>
        <w:autoSpaceDN w:val="0"/>
        <w:adjustRightInd w:val="0"/>
      </w:pPr>
    </w:p>
    <w:p w14:paraId="708B6914" w14:textId="62B8ABE1" w:rsidR="000A55AE" w:rsidRDefault="000A55AE" w:rsidP="000A55AE">
      <w:r w:rsidRPr="000A55AE">
        <w:t>GeoVax is incorporated under the laws of the State of Delaware and our principal offices are located in metropolitan Atlanta, Georgia.</w:t>
      </w:r>
    </w:p>
    <w:p w14:paraId="19A94C94" w14:textId="77777777" w:rsidR="000A55AE" w:rsidRPr="000A55AE" w:rsidRDefault="000A55AE" w:rsidP="000A55AE"/>
    <w:p w14:paraId="1D261932" w14:textId="77777777" w:rsidR="001939DD" w:rsidRPr="00161492" w:rsidRDefault="001939DD" w:rsidP="000A55AE">
      <w:pPr>
        <w:pStyle w:val="ListNumbering"/>
        <w:spacing w:after="0"/>
      </w:pPr>
      <w:r>
        <w:t>2</w:t>
      </w:r>
      <w:r w:rsidRPr="001C6303">
        <w:t>.</w:t>
      </w:r>
      <w:r w:rsidRPr="001C6303">
        <w:tab/>
        <w:t>Basis of Presentation</w:t>
      </w:r>
    </w:p>
    <w:p w14:paraId="6F4D8B74" w14:textId="77777777" w:rsidR="000A55AE" w:rsidRDefault="000A55AE" w:rsidP="000A55AE">
      <w:pPr>
        <w:pStyle w:val="BodyText"/>
        <w:spacing w:after="0"/>
      </w:pPr>
    </w:p>
    <w:p w14:paraId="59A1545A" w14:textId="5BBB91AE" w:rsidR="005024A5" w:rsidRDefault="005024A5" w:rsidP="000A55AE">
      <w:pPr>
        <w:pStyle w:val="BodyText"/>
        <w:spacing w:after="0"/>
      </w:pPr>
      <w:r w:rsidRPr="00A840E6">
        <w:t>The accompanying</w:t>
      </w:r>
      <w:r w:rsidRPr="001C6303">
        <w:t xml:space="preserve"> </w:t>
      </w:r>
      <w:r w:rsidR="008B3D62">
        <w:t xml:space="preserve">condensed consolidated </w:t>
      </w:r>
      <w:r w:rsidRPr="001C6303">
        <w:t xml:space="preserve">financial statements at </w:t>
      </w:r>
      <w:r w:rsidR="00EB7CF8">
        <w:t>September</w:t>
      </w:r>
      <w:r w:rsidR="00F415DC">
        <w:t xml:space="preserve"> 3</w:t>
      </w:r>
      <w:r w:rsidR="00047BFF">
        <w:t>0</w:t>
      </w:r>
      <w:r w:rsidRPr="001C6303">
        <w:t>,</w:t>
      </w:r>
      <w:r w:rsidR="00F415DC">
        <w:t xml:space="preserve"> 201</w:t>
      </w:r>
      <w:r w:rsidR="002A36E7">
        <w:t>9</w:t>
      </w:r>
      <w:r w:rsidRPr="001C6303">
        <w:t xml:space="preserve"> and for the three</w:t>
      </w:r>
      <w:r w:rsidR="00CC2136">
        <w:t>-</w:t>
      </w:r>
      <w:r>
        <w:t xml:space="preserve">month </w:t>
      </w:r>
      <w:r w:rsidR="00047BFF">
        <w:t xml:space="preserve">and </w:t>
      </w:r>
      <w:r w:rsidR="00EB7CF8">
        <w:t>nine</w:t>
      </w:r>
      <w:r w:rsidR="00047BFF">
        <w:t xml:space="preserve">-month </w:t>
      </w:r>
      <w:r w:rsidRPr="001C6303">
        <w:t xml:space="preserve">periods ended </w:t>
      </w:r>
      <w:r w:rsidR="00EB7CF8">
        <w:t>September</w:t>
      </w:r>
      <w:r w:rsidR="00E74795">
        <w:t xml:space="preserve"> 3</w:t>
      </w:r>
      <w:r w:rsidR="00047BFF">
        <w:t>0</w:t>
      </w:r>
      <w:r w:rsidR="00F415DC">
        <w:t>, 201</w:t>
      </w:r>
      <w:r w:rsidR="002A36E7">
        <w:t>9</w:t>
      </w:r>
      <w:r w:rsidR="00F415DC">
        <w:t xml:space="preserve"> and 201</w:t>
      </w:r>
      <w:r w:rsidR="002A36E7">
        <w:t>8</w:t>
      </w:r>
      <w:r w:rsidRPr="001C6303">
        <w:t xml:space="preserve"> are unaudited, but include all adjustments, consisting of normal recurring entries, which we believe to be necessary for a fair presentation of the dates and periods presented.</w:t>
      </w:r>
      <w:r w:rsidR="007E7A7F">
        <w:t xml:space="preserve"> </w:t>
      </w:r>
      <w:r w:rsidRPr="001C6303">
        <w:t xml:space="preserve">Interim results are not necessarily indicative of results for a full year. The financial statements should be read in conjunction with our audited </w:t>
      </w:r>
      <w:r w:rsidR="00AD6B28">
        <w:t xml:space="preserve">consolidated </w:t>
      </w:r>
      <w:r w:rsidRPr="001C6303">
        <w:t xml:space="preserve">financial statements included in our Annual Report on Form 10-K for </w:t>
      </w:r>
      <w:r w:rsidR="00F415DC">
        <w:t>the year ended December 31, 201</w:t>
      </w:r>
      <w:r w:rsidR="002A36E7">
        <w:t>8</w:t>
      </w:r>
      <w:r w:rsidR="0077213F">
        <w:t xml:space="preserve">. </w:t>
      </w:r>
      <w:r>
        <w:t>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68CF9F5C" w14:textId="77777777" w:rsidR="00BE61F2" w:rsidRDefault="00BE61F2" w:rsidP="000A55AE">
      <w:pPr>
        <w:pStyle w:val="BodyText"/>
        <w:spacing w:after="0"/>
      </w:pPr>
    </w:p>
    <w:p w14:paraId="280638EB" w14:textId="57239DA5" w:rsidR="00BE61F2" w:rsidRPr="00C5141A" w:rsidRDefault="00BE61F2" w:rsidP="00BE61F2">
      <w:pPr>
        <w:autoSpaceDE w:val="0"/>
        <w:autoSpaceDN w:val="0"/>
        <w:adjustRightInd w:val="0"/>
      </w:pPr>
      <w:r>
        <w:t xml:space="preserve">As </w:t>
      </w:r>
      <w:r w:rsidRPr="001A5175">
        <w:t>described in Note 1</w:t>
      </w:r>
      <w:r w:rsidR="001A5175" w:rsidRPr="001A5175">
        <w:t>0</w:t>
      </w:r>
      <w:r w:rsidRPr="001A5175">
        <w:t>, effective April 30, 2019, we enacted a one-for-five hundred reverse stock split of our common stock.  The accompanying financial</w:t>
      </w:r>
      <w:r>
        <w:t xml:space="preserve"> statements, and all share and per share information contained herein, have been retroactively restated to reflect the reverse stock split.</w:t>
      </w:r>
    </w:p>
    <w:p w14:paraId="4EF76CE3" w14:textId="77777777" w:rsidR="000A55AE" w:rsidRDefault="000A55AE" w:rsidP="000A55AE">
      <w:pPr>
        <w:pStyle w:val="BodyText"/>
        <w:spacing w:after="0"/>
      </w:pPr>
    </w:p>
    <w:p w14:paraId="1D2DDB96" w14:textId="0387FDA3" w:rsidR="001B548C" w:rsidRDefault="00297C39" w:rsidP="000A55AE">
      <w:pPr>
        <w:autoSpaceDE w:val="0"/>
        <w:autoSpaceDN w:val="0"/>
        <w:adjustRightInd w:val="0"/>
      </w:pPr>
      <w:r>
        <w:t>Our</w:t>
      </w:r>
      <w:r w:rsidR="001B548C">
        <w:t xml:space="preserve"> </w:t>
      </w:r>
      <w:r w:rsidR="001B548C" w:rsidRPr="001C6303">
        <w:t xml:space="preserve">financial statements </w:t>
      </w:r>
      <w:r w:rsidR="001B548C">
        <w:t>have been prepared assuming that we will continue as a going concern, which contemplates realization of assets and the satisfaction of liabilities in the normal course</w:t>
      </w:r>
      <w:r w:rsidR="001B548C" w:rsidRPr="00645890">
        <w:t xml:space="preserve"> </w:t>
      </w:r>
      <w:r w:rsidR="001B548C">
        <w:t>of business for the twelve-month period following the date th</w:t>
      </w:r>
      <w:r>
        <w:t>e</w:t>
      </w:r>
      <w:r w:rsidR="001B548C">
        <w:t xml:space="preserve"> financial statements</w:t>
      </w:r>
      <w:r w:rsidR="00C74E57">
        <w:t xml:space="preserve"> are available to be issued</w:t>
      </w:r>
      <w:r w:rsidR="001B548C">
        <w:t>.  W</w:t>
      </w:r>
      <w:r w:rsidR="001B548C" w:rsidRPr="00EB7BF0">
        <w:t>e are devoting substantially all of our present effort</w:t>
      </w:r>
      <w:r>
        <w:t>s to research and development</w:t>
      </w:r>
      <w:r w:rsidR="0030310F">
        <w:t xml:space="preserve"> of our vaccine candidates</w:t>
      </w:r>
      <w:r>
        <w:t xml:space="preserve">. </w:t>
      </w:r>
      <w:r w:rsidR="001B548C" w:rsidRPr="00EB7BF0">
        <w:t xml:space="preserve">We have funded our activities to date </w:t>
      </w:r>
      <w:r w:rsidR="001B548C">
        <w:t>from</w:t>
      </w:r>
      <w:r w:rsidR="001B548C" w:rsidRPr="00EB7BF0">
        <w:t xml:space="preserve"> government grants</w:t>
      </w:r>
      <w:r w:rsidR="001B548C">
        <w:t xml:space="preserve"> and clinical trial assistance, and from sales of our equity securities. W</w:t>
      </w:r>
      <w:r w:rsidR="001B548C" w:rsidRPr="00EB7BF0">
        <w:t xml:space="preserve">e will continue to require substantial funds to continue these activities.  </w:t>
      </w:r>
    </w:p>
    <w:p w14:paraId="7A072B9B" w14:textId="77777777" w:rsidR="002A36E7" w:rsidRDefault="002A36E7" w:rsidP="000A55AE">
      <w:pPr>
        <w:autoSpaceDE w:val="0"/>
        <w:autoSpaceDN w:val="0"/>
        <w:adjustRightInd w:val="0"/>
      </w:pPr>
    </w:p>
    <w:p w14:paraId="6C4D66AD" w14:textId="5292AB66" w:rsidR="00C5141A" w:rsidRDefault="00C5141A" w:rsidP="00C5141A">
      <w:pPr>
        <w:autoSpaceDE w:val="0"/>
        <w:autoSpaceDN w:val="0"/>
        <w:adjustRightInd w:val="0"/>
      </w:pPr>
      <w:r w:rsidRPr="001A5175">
        <w:t>We believe that our existing cash resources</w:t>
      </w:r>
      <w:r w:rsidR="00EB7CF8">
        <w:t xml:space="preserve">, </w:t>
      </w:r>
      <w:r w:rsidRPr="001A5175">
        <w:t xml:space="preserve">government funding </w:t>
      </w:r>
      <w:r w:rsidR="00EB7CF8">
        <w:t xml:space="preserve">and corporate collaboration </w:t>
      </w:r>
      <w:r w:rsidRPr="001A5175">
        <w:t>commitments</w:t>
      </w:r>
      <w:r w:rsidR="00EB7CF8">
        <w:t xml:space="preserve"> </w:t>
      </w:r>
      <w:r w:rsidRPr="001A5175">
        <w:t xml:space="preserve">will be sufficient to continue our planned operations into the </w:t>
      </w:r>
      <w:r w:rsidR="001A5175" w:rsidRPr="001A5175">
        <w:t>first</w:t>
      </w:r>
      <w:r w:rsidRPr="001A5175">
        <w:t xml:space="preserve"> quarter of </w:t>
      </w:r>
      <w:r w:rsidR="001A5175" w:rsidRPr="001A5175">
        <w:t>2020</w:t>
      </w:r>
      <w:r w:rsidRPr="001A5175">
        <w:t xml:space="preserve">. Due to our history of operating losses and our </w:t>
      </w:r>
      <w:r w:rsidRPr="001A5175">
        <w:lastRenderedPageBreak/>
        <w:t>continuing need for capital to conduct our research and development activities, there</w:t>
      </w:r>
      <w:r w:rsidRPr="00C5141A">
        <w:t xml:space="preserve"> is substantial doubt concerning our ability to operate as a going concern beyond that </w:t>
      </w:r>
      <w:r w:rsidR="003A1B5B">
        <w:t>timeframe</w:t>
      </w:r>
      <w:r w:rsidRPr="00C5141A">
        <w:t>. We are currently exploring sources of capital through additional government grants and corporate collaborations. We also intend to secure additional funds through sales of our equity securities or by other means. Management believes that we will be successful in securing the additional capital required to continue the Company’s planned operations, but that our plans do not fully alleviate the substantial doubt about the Company’s ability to operate as a going concern. Additional funding may not be available on favorable terms or at all. If we fail to obtain additional capital when needed, we will be required to delay, scale back, or eliminate some or all of our research and development programs as well as reduce our general and administrative expenses.</w:t>
      </w:r>
    </w:p>
    <w:p w14:paraId="48BF6569" w14:textId="77777777" w:rsidR="000A55AE" w:rsidRPr="00685606" w:rsidRDefault="000A55AE" w:rsidP="000A55AE">
      <w:pPr>
        <w:autoSpaceDE w:val="0"/>
        <w:autoSpaceDN w:val="0"/>
        <w:adjustRightInd w:val="0"/>
      </w:pPr>
    </w:p>
    <w:p w14:paraId="5A3D11E9" w14:textId="77777777" w:rsidR="00797EE1" w:rsidRPr="001C6303" w:rsidRDefault="00284352" w:rsidP="000A55AE">
      <w:pPr>
        <w:pStyle w:val="ListNumbering"/>
        <w:spacing w:after="0"/>
      </w:pPr>
      <w:r>
        <w:t>3</w:t>
      </w:r>
      <w:r w:rsidR="00797EE1" w:rsidRPr="001C6303">
        <w:t>.</w:t>
      </w:r>
      <w:r w:rsidR="00797EE1" w:rsidRPr="001C6303">
        <w:tab/>
      </w:r>
      <w:r w:rsidR="001939DD">
        <w:t xml:space="preserve">Significant Accounting Policies and </w:t>
      </w:r>
      <w:r w:rsidR="005024F5">
        <w:t>Recent Accounting Pronouncements</w:t>
      </w:r>
    </w:p>
    <w:p w14:paraId="7850B150" w14:textId="77777777" w:rsidR="000A55AE" w:rsidRDefault="000A55AE" w:rsidP="000A55AE">
      <w:pPr>
        <w:pStyle w:val="BodyText"/>
        <w:spacing w:after="0"/>
      </w:pPr>
    </w:p>
    <w:p w14:paraId="73E4EB1D" w14:textId="549274EA" w:rsidR="001939DD" w:rsidRDefault="001939DD" w:rsidP="000A55AE">
      <w:pPr>
        <w:pStyle w:val="BodyText"/>
        <w:spacing w:after="0"/>
      </w:pPr>
      <w:r>
        <w:t>We</w:t>
      </w:r>
      <w:r w:rsidRPr="001C6303">
        <w:t xml:space="preserve"> disclosed in Note 2 to </w:t>
      </w:r>
      <w:r>
        <w:t>our</w:t>
      </w:r>
      <w:r w:rsidR="00AD6B28">
        <w:t xml:space="preserve"> consolidated</w:t>
      </w:r>
      <w:r w:rsidRPr="001C6303">
        <w:t xml:space="preserve"> financial statements included in </w:t>
      </w:r>
      <w:r>
        <w:t>our Annual Report on</w:t>
      </w:r>
      <w:r w:rsidRPr="001C6303">
        <w:t xml:space="preserve"> Form 10-K for </w:t>
      </w:r>
      <w:r w:rsidR="00F415DC">
        <w:t>the year ended December 31, 201</w:t>
      </w:r>
      <w:r w:rsidR="00C5141A">
        <w:t>8</w:t>
      </w:r>
      <w:r w:rsidRPr="001C6303">
        <w:t xml:space="preserve"> those accounting policies that </w:t>
      </w:r>
      <w:r>
        <w:t>we consider</w:t>
      </w:r>
      <w:r w:rsidRPr="001C6303">
        <w:t xml:space="preserve"> significant in determining </w:t>
      </w:r>
      <w:r>
        <w:t>our</w:t>
      </w:r>
      <w:r w:rsidRPr="001C6303">
        <w:t xml:space="preserve"> results of oper</w:t>
      </w:r>
      <w:r w:rsidR="000251EA">
        <w:t xml:space="preserve">ations and financial position. </w:t>
      </w:r>
      <w:r w:rsidR="000F0F0D">
        <w:t>Other than as described below, t</w:t>
      </w:r>
      <w:r w:rsidRPr="001C6303">
        <w:t xml:space="preserve">here have been no material changes to, or in the application of, the accounting policies previously identified </w:t>
      </w:r>
      <w:r>
        <w:t>and described in the Form 10-K.</w:t>
      </w:r>
    </w:p>
    <w:p w14:paraId="4006385E" w14:textId="77777777" w:rsidR="000A55AE" w:rsidRDefault="000A55AE" w:rsidP="000A55AE"/>
    <w:p w14:paraId="0D4D26FC" w14:textId="24AECA06" w:rsidR="00EC1997" w:rsidRPr="001A5175" w:rsidRDefault="00C5141A" w:rsidP="000A55AE">
      <w:r w:rsidRPr="00C5141A">
        <w:t xml:space="preserve">In February 2016, the Financial Accounting Standards Board (FASB) issued Accounting Standards Update No. 2016-02, </w:t>
      </w:r>
      <w:r w:rsidRPr="00C5141A">
        <w:rPr>
          <w:i/>
          <w:iCs/>
        </w:rPr>
        <w:t>Leases</w:t>
      </w:r>
      <w:r w:rsidRPr="00C5141A">
        <w:t xml:space="preserve"> (ASU 2016-02). </w:t>
      </w:r>
      <w:r w:rsidR="00EC1997">
        <w:rPr>
          <w:color w:val="000000"/>
        </w:rPr>
        <w:t>ASU 2016-02 sets out the principles for the recognition, measurement, presentation and disclosure of leases for both parties to a contract (i.e. lessees and lessors). The new standard requires lessees to classify leases as either financing or operating leases based on the principle of whether or not the lease is effectively a financed purchase by the lessee. This classification determines whether lease expense is recognized based on an effective interest method or on a straight</w:t>
      </w:r>
      <w:r w:rsidR="006A3A92">
        <w:rPr>
          <w:color w:val="000000"/>
        </w:rPr>
        <w:t>-</w:t>
      </w:r>
      <w:r w:rsidR="00EC1997">
        <w:rPr>
          <w:color w:val="000000"/>
        </w:rPr>
        <w:t xml:space="preserve">line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prior guidance for operating leases. </w:t>
      </w:r>
      <w:r w:rsidR="006A3A92">
        <w:t xml:space="preserve">We adopted </w:t>
      </w:r>
      <w:r w:rsidR="006A3A92" w:rsidRPr="00C5141A">
        <w:t xml:space="preserve">ASU 2016-02 </w:t>
      </w:r>
      <w:r w:rsidR="006A3A92">
        <w:t xml:space="preserve">effective January 1, 2019; such adoption had no material impact on our financial statements, given that the noncancelable term of our current lease is less than 12 </w:t>
      </w:r>
      <w:r w:rsidR="006A3A92" w:rsidRPr="001A5175">
        <w:t>months (see Note 8).</w:t>
      </w:r>
    </w:p>
    <w:p w14:paraId="50CB9CF6" w14:textId="77777777" w:rsidR="00047BFF" w:rsidRDefault="00047BFF" w:rsidP="000A55AE"/>
    <w:p w14:paraId="587402D3" w14:textId="0F8336ED" w:rsidR="006B69BF" w:rsidRDefault="00BA1860" w:rsidP="000A55AE">
      <w:pPr>
        <w:pStyle w:val="BodyText"/>
        <w:spacing w:after="0"/>
      </w:pPr>
      <w:r>
        <w:t>T</w:t>
      </w:r>
      <w:r w:rsidRPr="005F0851">
        <w:t xml:space="preserve">here have been no </w:t>
      </w:r>
      <w:r w:rsidR="009736ED">
        <w:t xml:space="preserve">other </w:t>
      </w:r>
      <w:r w:rsidRPr="005F0851">
        <w:t>recent accounting pronouncements or changes in accounting pronouncements during</w:t>
      </w:r>
      <w:r>
        <w:t xml:space="preserve"> the </w:t>
      </w:r>
      <w:r w:rsidR="00EB7CF8">
        <w:t>nine</w:t>
      </w:r>
      <w:r>
        <w:t xml:space="preserve"> months ended </w:t>
      </w:r>
      <w:r w:rsidR="00EB7CF8">
        <w:t>September</w:t>
      </w:r>
      <w:r w:rsidR="00F415DC">
        <w:t xml:space="preserve"> 3</w:t>
      </w:r>
      <w:r w:rsidR="00047BFF">
        <w:t>0</w:t>
      </w:r>
      <w:r w:rsidR="006B69BF">
        <w:t>,</w:t>
      </w:r>
      <w:r w:rsidR="00F415DC">
        <w:t xml:space="preserve"> 201</w:t>
      </w:r>
      <w:r w:rsidR="00C5141A">
        <w:t>9</w:t>
      </w:r>
      <w:r w:rsidRPr="005F0851">
        <w:t xml:space="preserve">, as compared to the recent accounting </w:t>
      </w:r>
      <w:r w:rsidR="00BD0DB6">
        <w:t xml:space="preserve">pronouncements described in our </w:t>
      </w:r>
      <w:r w:rsidR="00DC085C">
        <w:t>Annual Report on Form 10</w:t>
      </w:r>
      <w:r w:rsidR="002A3612">
        <w:noBreakHyphen/>
      </w:r>
      <w:r w:rsidRPr="005F0851">
        <w:t>K for t</w:t>
      </w:r>
      <w:r>
        <w:t>he fiscal year ended December 31</w:t>
      </w:r>
      <w:r w:rsidR="00F415DC">
        <w:t>, 201</w:t>
      </w:r>
      <w:r w:rsidR="00C5141A">
        <w:t>8</w:t>
      </w:r>
      <w:r w:rsidRPr="005F0851">
        <w:t xml:space="preserve">, </w:t>
      </w:r>
      <w:r w:rsidR="00EB1FBB">
        <w:t>which</w:t>
      </w:r>
      <w:r w:rsidR="00EB1FBB" w:rsidRPr="005F0851">
        <w:t xml:space="preserve"> </w:t>
      </w:r>
      <w:r w:rsidR="00BD0DB6">
        <w:t>we expect</w:t>
      </w:r>
      <w:r w:rsidR="003A0C0D">
        <w:t xml:space="preserve"> to have a material impact on </w:t>
      </w:r>
      <w:r w:rsidR="00BD0DB6">
        <w:t>our</w:t>
      </w:r>
      <w:r w:rsidR="003A0C0D">
        <w:t xml:space="preserve"> financial </w:t>
      </w:r>
      <w:r w:rsidR="003A0C0D" w:rsidRPr="006D35E3">
        <w:t>statements</w:t>
      </w:r>
      <w:r w:rsidR="0093359E" w:rsidRPr="006D35E3">
        <w:t>.</w:t>
      </w:r>
    </w:p>
    <w:p w14:paraId="6BE5DAEC" w14:textId="77777777" w:rsidR="000A55AE" w:rsidRDefault="000A55AE" w:rsidP="000A55AE">
      <w:pPr>
        <w:pStyle w:val="BodyText"/>
        <w:spacing w:after="0"/>
      </w:pPr>
    </w:p>
    <w:p w14:paraId="759D2E38" w14:textId="77777777" w:rsidR="0016206A" w:rsidRPr="001C6303" w:rsidRDefault="009157AA" w:rsidP="000A55AE">
      <w:pPr>
        <w:pStyle w:val="ListNumbering"/>
        <w:spacing w:after="0"/>
      </w:pPr>
      <w:bookmarkStart w:id="12" w:name="_Hlk510617695"/>
      <w:r>
        <w:t>4</w:t>
      </w:r>
      <w:r w:rsidR="0016206A" w:rsidRPr="001C6303">
        <w:t>.</w:t>
      </w:r>
      <w:r w:rsidR="0016206A" w:rsidRPr="001C6303">
        <w:tab/>
        <w:t>Basic and Diluted Loss Per Common Share</w:t>
      </w:r>
    </w:p>
    <w:p w14:paraId="3970968F" w14:textId="77777777" w:rsidR="000A55AE" w:rsidRDefault="000A55AE" w:rsidP="000A55AE">
      <w:pPr>
        <w:pStyle w:val="BodyText"/>
        <w:spacing w:after="0"/>
      </w:pPr>
    </w:p>
    <w:p w14:paraId="2A0304D2" w14:textId="1602A0E4" w:rsidR="0016206A" w:rsidRDefault="0016206A" w:rsidP="000A55AE">
      <w:pPr>
        <w:pStyle w:val="BodyText"/>
        <w:spacing w:after="0"/>
      </w:pPr>
      <w:r w:rsidRPr="001C6303">
        <w:t>Basic net loss per share is computed using the weighted-average number of common shares outstanding during the period. Diluted net loss per share is computed using the weighted-average number of common shares and potential</w:t>
      </w:r>
      <w:r w:rsidR="006E4F72" w:rsidRPr="001C6303">
        <w:t>ly dilutive</w:t>
      </w:r>
      <w:r w:rsidR="00AC2071">
        <w:t xml:space="preserve"> common share equivalents</w:t>
      </w:r>
      <w:r w:rsidRPr="001C6303">
        <w:t xml:space="preserve"> outstanding during the period. </w:t>
      </w:r>
      <w:r w:rsidR="006E4F72" w:rsidRPr="001C6303">
        <w:t>P</w:t>
      </w:r>
      <w:r w:rsidRPr="001C6303">
        <w:t>otential</w:t>
      </w:r>
      <w:r w:rsidR="006E4F72" w:rsidRPr="001C6303">
        <w:t>ly dilutive</w:t>
      </w:r>
      <w:r w:rsidR="00AC2071">
        <w:t xml:space="preserve"> common share equivalents</w:t>
      </w:r>
      <w:r w:rsidRPr="001C6303">
        <w:t xml:space="preserve"> consist of</w:t>
      </w:r>
      <w:r w:rsidR="00AC2071">
        <w:t xml:space="preserve"> convertible preferred stock,</w:t>
      </w:r>
      <w:r w:rsidRPr="001C6303">
        <w:t xml:space="preserve"> stock options and </w:t>
      </w:r>
      <w:r w:rsidR="00AC2071">
        <w:t xml:space="preserve">stock purchase </w:t>
      </w:r>
      <w:r w:rsidRPr="001C6303">
        <w:t xml:space="preserve">warrants. Common share equivalents which potentially could dilute basic earnings per share in the future, and which were excluded from the computation of diluted loss per share, as the effect would be anti-dilutive, totaled </w:t>
      </w:r>
      <w:r w:rsidR="003A1B5B">
        <w:t>10,937,156</w:t>
      </w:r>
      <w:r w:rsidR="00655E50">
        <w:t xml:space="preserve"> and </w:t>
      </w:r>
      <w:r w:rsidR="003A1B5B">
        <w:t>10,895,920</w:t>
      </w:r>
      <w:r w:rsidRPr="001C6303">
        <w:t xml:space="preserve"> shares </w:t>
      </w:r>
      <w:r w:rsidR="00655E50">
        <w:t xml:space="preserve">for the three-month and </w:t>
      </w:r>
      <w:r w:rsidR="008E641B">
        <w:t>nine</w:t>
      </w:r>
      <w:r w:rsidR="00655E50">
        <w:t>-month periods ended</w:t>
      </w:r>
      <w:r w:rsidRPr="001C6303">
        <w:t xml:space="preserve"> </w:t>
      </w:r>
      <w:r w:rsidR="008E641B">
        <w:t>September</w:t>
      </w:r>
      <w:r w:rsidR="00F415DC">
        <w:t xml:space="preserve"> 3</w:t>
      </w:r>
      <w:r w:rsidR="00047BFF">
        <w:t>0</w:t>
      </w:r>
      <w:r w:rsidR="00F415DC">
        <w:t>, 201</w:t>
      </w:r>
      <w:r w:rsidR="00C5141A">
        <w:t>9</w:t>
      </w:r>
      <w:r w:rsidR="00533BA2">
        <w:t>, respectively</w:t>
      </w:r>
      <w:r w:rsidR="00655E50">
        <w:t xml:space="preserve">, as compared to </w:t>
      </w:r>
      <w:r w:rsidR="003A1B5B">
        <w:t>86,783</w:t>
      </w:r>
      <w:r w:rsidR="00655E50">
        <w:t xml:space="preserve"> and </w:t>
      </w:r>
      <w:r w:rsidR="003A1B5B">
        <w:t>75,740</w:t>
      </w:r>
      <w:r w:rsidR="00655E50">
        <w:t xml:space="preserve"> shares for the three-month and </w:t>
      </w:r>
      <w:r w:rsidR="008E641B">
        <w:t>nine</w:t>
      </w:r>
      <w:r w:rsidR="00655E50">
        <w:t>-month periods ended</w:t>
      </w:r>
      <w:r w:rsidR="00655E50" w:rsidRPr="001C6303">
        <w:t xml:space="preserve"> </w:t>
      </w:r>
      <w:r w:rsidR="008E641B">
        <w:t>September</w:t>
      </w:r>
      <w:r w:rsidR="00655E50">
        <w:t xml:space="preserve"> 30, 2018, respectively.</w:t>
      </w:r>
    </w:p>
    <w:p w14:paraId="2CEB4379" w14:textId="77777777" w:rsidR="000A55AE" w:rsidRDefault="000A55AE" w:rsidP="000A55AE">
      <w:pPr>
        <w:pStyle w:val="BodyText"/>
        <w:spacing w:after="0"/>
      </w:pPr>
      <w:bookmarkStart w:id="13" w:name="_Hlk5353616"/>
    </w:p>
    <w:bookmarkEnd w:id="12"/>
    <w:bookmarkEnd w:id="13"/>
    <w:p w14:paraId="50DCA41C" w14:textId="77777777" w:rsidR="0081657E" w:rsidRDefault="00881E20" w:rsidP="000A55AE">
      <w:pPr>
        <w:pStyle w:val="ListNumbering"/>
        <w:spacing w:after="0"/>
      </w:pPr>
      <w:r>
        <w:t>5</w:t>
      </w:r>
      <w:r w:rsidR="004B5B77" w:rsidRPr="001C6303">
        <w:t>.</w:t>
      </w:r>
      <w:r w:rsidR="004B5B77" w:rsidRPr="001C6303">
        <w:tab/>
      </w:r>
      <w:r w:rsidR="008D72F6">
        <w:t>Property and E</w:t>
      </w:r>
      <w:r w:rsidR="009157AA">
        <w:t>quipment</w:t>
      </w:r>
    </w:p>
    <w:p w14:paraId="77CC3818" w14:textId="77777777" w:rsidR="000A55AE" w:rsidRDefault="000A55AE" w:rsidP="000A55AE">
      <w:pPr>
        <w:pStyle w:val="BodyText"/>
        <w:spacing w:after="0"/>
      </w:pPr>
    </w:p>
    <w:p w14:paraId="3B90AC60" w14:textId="341C85E9" w:rsidR="0081657E" w:rsidRPr="001C6303" w:rsidRDefault="009157AA" w:rsidP="000A55AE">
      <w:pPr>
        <w:pStyle w:val="BodyText"/>
        <w:spacing w:after="0"/>
      </w:pPr>
      <w:r>
        <w:t>Property and equipment as shown on the accompanying Condensed Consolidated Balance Sheets is composed of th</w:t>
      </w:r>
      <w:r w:rsidR="0085417A">
        <w:t xml:space="preserve">e following as of </w:t>
      </w:r>
      <w:r w:rsidR="008E641B">
        <w:t>September</w:t>
      </w:r>
      <w:r w:rsidR="00F415DC">
        <w:t xml:space="preserve"> 3</w:t>
      </w:r>
      <w:r w:rsidR="007A70AB">
        <w:t>0</w:t>
      </w:r>
      <w:r w:rsidR="00F415DC">
        <w:t>, 201</w:t>
      </w:r>
      <w:r w:rsidR="00C5141A">
        <w:t>9</w:t>
      </w:r>
      <w:r w:rsidR="00F415DC">
        <w:t xml:space="preserve"> and December 31, 201</w:t>
      </w:r>
      <w:r w:rsidR="00C5141A">
        <w:t>8</w:t>
      </w:r>
      <w:r>
        <w:t>:</w:t>
      </w:r>
    </w:p>
    <w:tbl>
      <w:tblPr>
        <w:tblW w:w="0" w:type="auto"/>
        <w:tblInd w:w="198" w:type="dxa"/>
        <w:tblLook w:val="04A0" w:firstRow="1" w:lastRow="0" w:firstColumn="1" w:lastColumn="0" w:noHBand="0" w:noVBand="1"/>
      </w:tblPr>
      <w:tblGrid>
        <w:gridCol w:w="6055"/>
        <w:gridCol w:w="1842"/>
        <w:gridCol w:w="1841"/>
      </w:tblGrid>
      <w:tr w:rsidR="004B5B77" w:rsidRPr="00EB7BF0" w14:paraId="58E3F206" w14:textId="77777777" w:rsidTr="002B05F2">
        <w:tc>
          <w:tcPr>
            <w:tcW w:w="6055" w:type="dxa"/>
          </w:tcPr>
          <w:p w14:paraId="3831AF6C" w14:textId="77777777" w:rsidR="0081657E" w:rsidRPr="00EB7BF0" w:rsidRDefault="0081657E" w:rsidP="000A55AE"/>
        </w:tc>
        <w:tc>
          <w:tcPr>
            <w:tcW w:w="1842" w:type="dxa"/>
            <w:tcBorders>
              <w:bottom w:val="single" w:sz="4" w:space="0" w:color="auto"/>
            </w:tcBorders>
          </w:tcPr>
          <w:p w14:paraId="6523A630" w14:textId="46754F42" w:rsidR="00B06A21" w:rsidRDefault="008E641B" w:rsidP="000A55AE">
            <w:pPr>
              <w:jc w:val="center"/>
            </w:pPr>
            <w:r>
              <w:t>September</w:t>
            </w:r>
            <w:r w:rsidR="00F415DC">
              <w:t xml:space="preserve"> 3</w:t>
            </w:r>
            <w:r w:rsidR="007A70AB">
              <w:t>0</w:t>
            </w:r>
            <w:r w:rsidR="00B06A21">
              <w:t>,</w:t>
            </w:r>
          </w:p>
          <w:p w14:paraId="23AB651E" w14:textId="0117453D" w:rsidR="004B5B77" w:rsidRPr="00EB7BF0" w:rsidRDefault="004B5B77" w:rsidP="000A55AE">
            <w:pPr>
              <w:jc w:val="center"/>
            </w:pPr>
            <w:r>
              <w:t>201</w:t>
            </w:r>
            <w:r w:rsidR="00C5141A">
              <w:t>9</w:t>
            </w:r>
          </w:p>
        </w:tc>
        <w:tc>
          <w:tcPr>
            <w:tcW w:w="1841" w:type="dxa"/>
            <w:tcBorders>
              <w:bottom w:val="single" w:sz="4" w:space="0" w:color="auto"/>
            </w:tcBorders>
          </w:tcPr>
          <w:p w14:paraId="0152F609" w14:textId="77777777" w:rsidR="00B06A21" w:rsidRDefault="00B06A21" w:rsidP="000A55AE">
            <w:pPr>
              <w:jc w:val="center"/>
            </w:pPr>
            <w:r>
              <w:t>December 31,</w:t>
            </w:r>
          </w:p>
          <w:p w14:paraId="66B56B58" w14:textId="13576991" w:rsidR="004B5B77" w:rsidRPr="00EB7BF0" w:rsidRDefault="00B06A21" w:rsidP="000A55AE">
            <w:pPr>
              <w:jc w:val="center"/>
            </w:pPr>
            <w:r>
              <w:t>201</w:t>
            </w:r>
            <w:r w:rsidR="00C5141A">
              <w:t>8</w:t>
            </w:r>
          </w:p>
        </w:tc>
      </w:tr>
      <w:tr w:rsidR="004B5B77" w:rsidRPr="00EB7BF0" w14:paraId="7654121A" w14:textId="77777777" w:rsidTr="002B05F2">
        <w:tc>
          <w:tcPr>
            <w:tcW w:w="6055" w:type="dxa"/>
          </w:tcPr>
          <w:p w14:paraId="3BC8BA6E" w14:textId="77777777" w:rsidR="004B5B77" w:rsidRPr="00EB7BF0" w:rsidRDefault="004B5B77" w:rsidP="000A55AE">
            <w:pPr>
              <w:ind w:left="162"/>
            </w:pPr>
            <w:r w:rsidRPr="00EB7BF0">
              <w:t>Laboratory equipment</w:t>
            </w:r>
          </w:p>
        </w:tc>
        <w:tc>
          <w:tcPr>
            <w:tcW w:w="1842" w:type="dxa"/>
          </w:tcPr>
          <w:p w14:paraId="1EA4D72B" w14:textId="2954764E" w:rsidR="004B5B77" w:rsidRPr="00FA15F9" w:rsidRDefault="004B5B77" w:rsidP="000A55AE">
            <w:pPr>
              <w:tabs>
                <w:tab w:val="decimal" w:pos="1332"/>
              </w:tabs>
            </w:pPr>
            <w:r w:rsidRPr="00FA15F9">
              <w:t>$</w:t>
            </w:r>
            <w:r w:rsidR="00685606" w:rsidRPr="00FA15F9">
              <w:t xml:space="preserve"> </w:t>
            </w:r>
            <w:r w:rsidRPr="00FA15F9">
              <w:t xml:space="preserve">  </w:t>
            </w:r>
            <w:r w:rsidR="006B6CF9">
              <w:t>534,578</w:t>
            </w:r>
          </w:p>
        </w:tc>
        <w:tc>
          <w:tcPr>
            <w:tcW w:w="1841" w:type="dxa"/>
          </w:tcPr>
          <w:p w14:paraId="34DF51DB" w14:textId="325F09C6" w:rsidR="004B5B77" w:rsidRPr="00EB7BF0" w:rsidRDefault="00B06A21" w:rsidP="000A55AE">
            <w:pPr>
              <w:tabs>
                <w:tab w:val="decimal" w:pos="1287"/>
              </w:tabs>
            </w:pPr>
            <w:r>
              <w:t xml:space="preserve">$   </w:t>
            </w:r>
            <w:r w:rsidR="00F415DC">
              <w:t>5</w:t>
            </w:r>
            <w:r w:rsidR="00775DD0">
              <w:t>30,306</w:t>
            </w:r>
          </w:p>
        </w:tc>
      </w:tr>
      <w:tr w:rsidR="004B5B77" w:rsidRPr="00EB7BF0" w14:paraId="10536CC3" w14:textId="77777777" w:rsidTr="002B05F2">
        <w:tc>
          <w:tcPr>
            <w:tcW w:w="6055" w:type="dxa"/>
          </w:tcPr>
          <w:p w14:paraId="12475D98" w14:textId="77777777" w:rsidR="004B5B77" w:rsidRPr="00EB7BF0" w:rsidRDefault="004B5B77" w:rsidP="000A55AE">
            <w:pPr>
              <w:ind w:left="162"/>
            </w:pPr>
            <w:r w:rsidRPr="00EB7BF0">
              <w:t>Leasehold improvements</w:t>
            </w:r>
          </w:p>
        </w:tc>
        <w:tc>
          <w:tcPr>
            <w:tcW w:w="1842" w:type="dxa"/>
          </w:tcPr>
          <w:p w14:paraId="56DE444B" w14:textId="0E315B15" w:rsidR="004B5B77" w:rsidRPr="00FA15F9" w:rsidRDefault="006B6CF9" w:rsidP="000A55AE">
            <w:pPr>
              <w:tabs>
                <w:tab w:val="decimal" w:pos="1332"/>
              </w:tabs>
            </w:pPr>
            <w:r>
              <w:t>115,605</w:t>
            </w:r>
          </w:p>
        </w:tc>
        <w:tc>
          <w:tcPr>
            <w:tcW w:w="1841" w:type="dxa"/>
          </w:tcPr>
          <w:p w14:paraId="27EED44E" w14:textId="7264B62B" w:rsidR="004B5B77" w:rsidRPr="00EB7BF0" w:rsidRDefault="00B06A21" w:rsidP="000A55AE">
            <w:pPr>
              <w:tabs>
                <w:tab w:val="decimal" w:pos="1287"/>
              </w:tabs>
            </w:pPr>
            <w:r>
              <w:t>11</w:t>
            </w:r>
            <w:r w:rsidR="00775DD0">
              <w:t>5,605</w:t>
            </w:r>
          </w:p>
        </w:tc>
      </w:tr>
      <w:tr w:rsidR="004B5B77" w:rsidRPr="00EB7BF0" w14:paraId="1AAB25BD" w14:textId="77777777" w:rsidTr="002B05F2">
        <w:tc>
          <w:tcPr>
            <w:tcW w:w="6055" w:type="dxa"/>
          </w:tcPr>
          <w:p w14:paraId="6B801FB2" w14:textId="77777777" w:rsidR="004B5B77" w:rsidRPr="00EB7BF0" w:rsidRDefault="004B5B77" w:rsidP="000A55AE">
            <w:pPr>
              <w:ind w:left="162"/>
            </w:pPr>
            <w:r w:rsidRPr="00EB7BF0">
              <w:t>Other furniture, fixtures &amp; equipment</w:t>
            </w:r>
          </w:p>
        </w:tc>
        <w:tc>
          <w:tcPr>
            <w:tcW w:w="1842" w:type="dxa"/>
            <w:tcBorders>
              <w:bottom w:val="single" w:sz="4" w:space="0" w:color="auto"/>
            </w:tcBorders>
          </w:tcPr>
          <w:p w14:paraId="2D4CEBF9" w14:textId="43F7D894" w:rsidR="004B5B77" w:rsidRPr="00FA15F9" w:rsidRDefault="006B6CF9" w:rsidP="000A55AE">
            <w:pPr>
              <w:tabs>
                <w:tab w:val="decimal" w:pos="1332"/>
              </w:tabs>
            </w:pPr>
            <w:r>
              <w:t>28,685</w:t>
            </w:r>
          </w:p>
        </w:tc>
        <w:tc>
          <w:tcPr>
            <w:tcW w:w="1841" w:type="dxa"/>
            <w:tcBorders>
              <w:bottom w:val="single" w:sz="4" w:space="0" w:color="auto"/>
            </w:tcBorders>
          </w:tcPr>
          <w:p w14:paraId="7B05701E" w14:textId="780550FD" w:rsidR="004B5B77" w:rsidRPr="00EB7BF0" w:rsidRDefault="00B06A21" w:rsidP="000A55AE">
            <w:pPr>
              <w:tabs>
                <w:tab w:val="decimal" w:pos="1287"/>
              </w:tabs>
            </w:pPr>
            <w:r>
              <w:t>2</w:t>
            </w:r>
            <w:r w:rsidR="00775DD0">
              <w:t>8,685</w:t>
            </w:r>
          </w:p>
        </w:tc>
      </w:tr>
      <w:tr w:rsidR="004B5B77" w:rsidRPr="00EB7BF0" w14:paraId="7058B047" w14:textId="77777777" w:rsidTr="002B05F2">
        <w:tc>
          <w:tcPr>
            <w:tcW w:w="6055" w:type="dxa"/>
          </w:tcPr>
          <w:p w14:paraId="32D37A6F" w14:textId="77777777" w:rsidR="004B5B77" w:rsidRPr="00EB7BF0" w:rsidRDefault="004B5B77" w:rsidP="000A55AE">
            <w:pPr>
              <w:ind w:left="162"/>
            </w:pPr>
            <w:r w:rsidRPr="00EB7BF0">
              <w:t>Total property and equipment</w:t>
            </w:r>
          </w:p>
        </w:tc>
        <w:tc>
          <w:tcPr>
            <w:tcW w:w="1842" w:type="dxa"/>
            <w:tcBorders>
              <w:top w:val="single" w:sz="4" w:space="0" w:color="auto"/>
            </w:tcBorders>
          </w:tcPr>
          <w:p w14:paraId="760CC5B2" w14:textId="0865D6DD" w:rsidR="004B5B77" w:rsidRPr="00FA15F9" w:rsidRDefault="006B6CF9" w:rsidP="000A55AE">
            <w:pPr>
              <w:tabs>
                <w:tab w:val="decimal" w:pos="1332"/>
              </w:tabs>
            </w:pPr>
            <w:r>
              <w:t>67</w:t>
            </w:r>
            <w:r w:rsidR="000467AD">
              <w:t>8,868</w:t>
            </w:r>
          </w:p>
        </w:tc>
        <w:tc>
          <w:tcPr>
            <w:tcW w:w="1841" w:type="dxa"/>
            <w:tcBorders>
              <w:top w:val="single" w:sz="4" w:space="0" w:color="auto"/>
            </w:tcBorders>
          </w:tcPr>
          <w:p w14:paraId="6309218B" w14:textId="2A4ACB61" w:rsidR="004B5B77" w:rsidRPr="00EB7BF0" w:rsidRDefault="00B06A21" w:rsidP="000A55AE">
            <w:pPr>
              <w:tabs>
                <w:tab w:val="decimal" w:pos="1287"/>
              </w:tabs>
            </w:pPr>
            <w:r>
              <w:t>6</w:t>
            </w:r>
            <w:r w:rsidR="00775DD0">
              <w:t>74,596</w:t>
            </w:r>
          </w:p>
        </w:tc>
      </w:tr>
      <w:tr w:rsidR="004B5B77" w:rsidRPr="00452D3C" w14:paraId="60DF5069" w14:textId="77777777" w:rsidTr="002B05F2">
        <w:tc>
          <w:tcPr>
            <w:tcW w:w="6055" w:type="dxa"/>
          </w:tcPr>
          <w:p w14:paraId="156F8B62" w14:textId="77777777" w:rsidR="004B5B77" w:rsidRPr="00452D3C" w:rsidRDefault="004B5B77" w:rsidP="000A55AE">
            <w:pPr>
              <w:ind w:left="162"/>
            </w:pPr>
            <w:r w:rsidRPr="00452D3C">
              <w:t>Accumulated depreciation and amortization</w:t>
            </w:r>
          </w:p>
        </w:tc>
        <w:tc>
          <w:tcPr>
            <w:tcW w:w="1842" w:type="dxa"/>
            <w:tcBorders>
              <w:bottom w:val="single" w:sz="4" w:space="0" w:color="auto"/>
            </w:tcBorders>
          </w:tcPr>
          <w:p w14:paraId="7342DE2E" w14:textId="28FBF21E" w:rsidR="004B5B77" w:rsidRPr="00FA15F9" w:rsidRDefault="000467AD" w:rsidP="000A55AE">
            <w:pPr>
              <w:tabs>
                <w:tab w:val="decimal" w:pos="1332"/>
              </w:tabs>
            </w:pPr>
            <w:r>
              <w:t>(66</w:t>
            </w:r>
            <w:r w:rsidR="008E641B">
              <w:t>8,939</w:t>
            </w:r>
            <w:r>
              <w:t>)</w:t>
            </w:r>
          </w:p>
        </w:tc>
        <w:tc>
          <w:tcPr>
            <w:tcW w:w="1841" w:type="dxa"/>
            <w:tcBorders>
              <w:bottom w:val="single" w:sz="4" w:space="0" w:color="auto"/>
            </w:tcBorders>
          </w:tcPr>
          <w:p w14:paraId="675271A9" w14:textId="19353F9F" w:rsidR="004B5B77" w:rsidRPr="00452D3C" w:rsidRDefault="00F415DC" w:rsidP="000A55AE">
            <w:pPr>
              <w:tabs>
                <w:tab w:val="decimal" w:pos="1287"/>
              </w:tabs>
            </w:pPr>
            <w:r>
              <w:t>(6</w:t>
            </w:r>
            <w:r w:rsidR="00C5141A">
              <w:t>63,246</w:t>
            </w:r>
            <w:r w:rsidR="004B5B77" w:rsidRPr="00452D3C">
              <w:t>)</w:t>
            </w:r>
          </w:p>
        </w:tc>
      </w:tr>
      <w:tr w:rsidR="004B5B77" w:rsidRPr="00EB7BF0" w14:paraId="367CE2C7" w14:textId="77777777" w:rsidTr="002B05F2">
        <w:tc>
          <w:tcPr>
            <w:tcW w:w="6055" w:type="dxa"/>
          </w:tcPr>
          <w:p w14:paraId="721CBB2F" w14:textId="77777777" w:rsidR="004B5B77" w:rsidRPr="00452D3C" w:rsidRDefault="004B5B77" w:rsidP="000A55AE">
            <w:pPr>
              <w:ind w:left="162"/>
            </w:pPr>
            <w:r w:rsidRPr="00452D3C">
              <w:t>Property and equipment, net</w:t>
            </w:r>
          </w:p>
        </w:tc>
        <w:tc>
          <w:tcPr>
            <w:tcW w:w="1842" w:type="dxa"/>
            <w:tcBorders>
              <w:top w:val="single" w:sz="4" w:space="0" w:color="auto"/>
              <w:bottom w:val="double" w:sz="4" w:space="0" w:color="auto"/>
            </w:tcBorders>
          </w:tcPr>
          <w:p w14:paraId="5346019E" w14:textId="6D47C383" w:rsidR="004B5B77" w:rsidRPr="00FA15F9" w:rsidRDefault="00B06A21" w:rsidP="000A55AE">
            <w:pPr>
              <w:tabs>
                <w:tab w:val="decimal" w:pos="1332"/>
              </w:tabs>
            </w:pPr>
            <w:r w:rsidRPr="00FA15F9">
              <w:t xml:space="preserve">$ </w:t>
            </w:r>
            <w:r w:rsidR="005776D5">
              <w:t xml:space="preserve"> </w:t>
            </w:r>
            <w:r w:rsidRPr="00FA15F9">
              <w:t xml:space="preserve">  </w:t>
            </w:r>
            <w:r w:rsidR="008E641B">
              <w:t>9,929</w:t>
            </w:r>
          </w:p>
        </w:tc>
        <w:tc>
          <w:tcPr>
            <w:tcW w:w="1841" w:type="dxa"/>
            <w:tcBorders>
              <w:top w:val="single" w:sz="4" w:space="0" w:color="auto"/>
              <w:bottom w:val="double" w:sz="4" w:space="0" w:color="auto"/>
            </w:tcBorders>
          </w:tcPr>
          <w:p w14:paraId="3FB8FADE" w14:textId="127C57EA" w:rsidR="004B5B77" w:rsidRPr="00EB7BF0" w:rsidRDefault="00B06A21" w:rsidP="000A55AE">
            <w:pPr>
              <w:tabs>
                <w:tab w:val="decimal" w:pos="1287"/>
              </w:tabs>
            </w:pPr>
            <w:r w:rsidRPr="00452D3C">
              <w:t xml:space="preserve">$   </w:t>
            </w:r>
            <w:r w:rsidR="009157AA" w:rsidRPr="00452D3C">
              <w:t xml:space="preserve"> </w:t>
            </w:r>
            <w:r w:rsidR="002B05F2">
              <w:t xml:space="preserve"> </w:t>
            </w:r>
            <w:r w:rsidR="00C5141A">
              <w:t>11,350</w:t>
            </w:r>
          </w:p>
        </w:tc>
      </w:tr>
    </w:tbl>
    <w:p w14:paraId="55D101AD" w14:textId="77777777" w:rsidR="000A55AE" w:rsidRDefault="000A55AE" w:rsidP="000A55AE">
      <w:pPr>
        <w:pStyle w:val="BodyText"/>
        <w:spacing w:after="0"/>
      </w:pPr>
    </w:p>
    <w:p w14:paraId="03CEE78D" w14:textId="77777777" w:rsidR="005922F5" w:rsidRDefault="005922F5">
      <w:pPr>
        <w:rPr>
          <w:b/>
        </w:rPr>
      </w:pPr>
      <w:r>
        <w:br w:type="page"/>
      </w:r>
    </w:p>
    <w:p w14:paraId="7014B4BF" w14:textId="1D63415A" w:rsidR="002B05F2" w:rsidRDefault="002B05F2" w:rsidP="000A55AE">
      <w:pPr>
        <w:pStyle w:val="ListNumbering"/>
        <w:spacing w:after="0"/>
      </w:pPr>
      <w:r>
        <w:lastRenderedPageBreak/>
        <w:t>6</w:t>
      </w:r>
      <w:r w:rsidRPr="001C6303">
        <w:t>.</w:t>
      </w:r>
      <w:r w:rsidRPr="001C6303">
        <w:tab/>
      </w:r>
      <w:r>
        <w:t>Accrued Expenses</w:t>
      </w:r>
    </w:p>
    <w:p w14:paraId="275B29E8" w14:textId="77777777" w:rsidR="000A55AE" w:rsidRDefault="000A55AE" w:rsidP="000A55AE">
      <w:pPr>
        <w:pStyle w:val="BodyText"/>
        <w:spacing w:after="0"/>
      </w:pPr>
    </w:p>
    <w:p w14:paraId="6566F606" w14:textId="5A06CFB3" w:rsidR="000E74A1" w:rsidRPr="000E74A1" w:rsidRDefault="000E74A1" w:rsidP="000A55AE">
      <w:pPr>
        <w:pStyle w:val="BodyText"/>
        <w:spacing w:after="0"/>
      </w:pPr>
      <w:r>
        <w:t xml:space="preserve">Accrued expenses as shown on the accompanying Condensed Consolidated Balance Sheets is composed of the following as of </w:t>
      </w:r>
      <w:r w:rsidR="008E641B">
        <w:t>September</w:t>
      </w:r>
      <w:r w:rsidR="009941FA">
        <w:t xml:space="preserve"> 3</w:t>
      </w:r>
      <w:r w:rsidR="007A70AB">
        <w:t>0</w:t>
      </w:r>
      <w:r w:rsidR="009941FA">
        <w:t>, 201</w:t>
      </w:r>
      <w:r w:rsidR="00C5141A">
        <w:t>9</w:t>
      </w:r>
      <w:r w:rsidR="009941FA">
        <w:t xml:space="preserve"> and December 31, 201</w:t>
      </w:r>
      <w:r w:rsidR="00C5141A">
        <w:t>8</w:t>
      </w:r>
      <w:r>
        <w:t>:</w:t>
      </w:r>
    </w:p>
    <w:tbl>
      <w:tblPr>
        <w:tblW w:w="0" w:type="auto"/>
        <w:tblInd w:w="198" w:type="dxa"/>
        <w:tblLook w:val="04A0" w:firstRow="1" w:lastRow="0" w:firstColumn="1" w:lastColumn="0" w:noHBand="0" w:noVBand="1"/>
      </w:tblPr>
      <w:tblGrid>
        <w:gridCol w:w="6055"/>
        <w:gridCol w:w="1842"/>
        <w:gridCol w:w="1841"/>
      </w:tblGrid>
      <w:tr w:rsidR="002B05F2" w:rsidRPr="00EB7BF0" w14:paraId="0260BBDA" w14:textId="77777777" w:rsidTr="002B05F2">
        <w:tc>
          <w:tcPr>
            <w:tcW w:w="6055" w:type="dxa"/>
          </w:tcPr>
          <w:p w14:paraId="39F94116" w14:textId="77777777" w:rsidR="000E74A1" w:rsidRPr="00EB7BF0" w:rsidRDefault="000E74A1" w:rsidP="000A55AE"/>
        </w:tc>
        <w:tc>
          <w:tcPr>
            <w:tcW w:w="1842" w:type="dxa"/>
            <w:tcBorders>
              <w:bottom w:val="single" w:sz="4" w:space="0" w:color="auto"/>
            </w:tcBorders>
          </w:tcPr>
          <w:p w14:paraId="2A42BAF7" w14:textId="4C9E3B26" w:rsidR="002B05F2" w:rsidRDefault="008E641B" w:rsidP="000A55AE">
            <w:pPr>
              <w:jc w:val="center"/>
            </w:pPr>
            <w:r>
              <w:t>September</w:t>
            </w:r>
            <w:r w:rsidR="009941FA">
              <w:t xml:space="preserve"> 3</w:t>
            </w:r>
            <w:r w:rsidR="007A70AB">
              <w:t>0</w:t>
            </w:r>
            <w:r w:rsidR="002B05F2">
              <w:t>,</w:t>
            </w:r>
          </w:p>
          <w:p w14:paraId="5D0B64A1" w14:textId="2D51BFB3" w:rsidR="002B05F2" w:rsidRPr="00EB7BF0" w:rsidRDefault="002B05F2" w:rsidP="000A55AE">
            <w:pPr>
              <w:jc w:val="center"/>
            </w:pPr>
            <w:r>
              <w:t>201</w:t>
            </w:r>
            <w:r w:rsidR="00C5141A">
              <w:t>9</w:t>
            </w:r>
          </w:p>
        </w:tc>
        <w:tc>
          <w:tcPr>
            <w:tcW w:w="1841" w:type="dxa"/>
            <w:tcBorders>
              <w:bottom w:val="single" w:sz="4" w:space="0" w:color="auto"/>
            </w:tcBorders>
          </w:tcPr>
          <w:p w14:paraId="19205898" w14:textId="77777777" w:rsidR="002B05F2" w:rsidRDefault="002B05F2" w:rsidP="000A55AE">
            <w:pPr>
              <w:jc w:val="center"/>
            </w:pPr>
            <w:r>
              <w:t>December 31,</w:t>
            </w:r>
          </w:p>
          <w:p w14:paraId="08F38C79" w14:textId="5945900F" w:rsidR="002B05F2" w:rsidRPr="00EB7BF0" w:rsidRDefault="002B05F2" w:rsidP="000A55AE">
            <w:pPr>
              <w:jc w:val="center"/>
            </w:pPr>
            <w:r>
              <w:t>201</w:t>
            </w:r>
            <w:r w:rsidR="00C5141A">
              <w:t>8</w:t>
            </w:r>
          </w:p>
        </w:tc>
      </w:tr>
      <w:tr w:rsidR="002B05F2" w:rsidRPr="00EB7BF0" w14:paraId="62D03BE8" w14:textId="77777777" w:rsidTr="002B05F2">
        <w:tc>
          <w:tcPr>
            <w:tcW w:w="6055" w:type="dxa"/>
          </w:tcPr>
          <w:p w14:paraId="54134F05" w14:textId="4E897147" w:rsidR="002B05F2" w:rsidRPr="00EB7BF0" w:rsidRDefault="002B05F2" w:rsidP="000A55AE">
            <w:pPr>
              <w:ind w:left="162"/>
            </w:pPr>
            <w:r>
              <w:t xml:space="preserve">Accrued </w:t>
            </w:r>
            <w:r w:rsidR="00775DD0">
              <w:t xml:space="preserve">management </w:t>
            </w:r>
            <w:r>
              <w:t>salaries</w:t>
            </w:r>
          </w:p>
        </w:tc>
        <w:tc>
          <w:tcPr>
            <w:tcW w:w="1842" w:type="dxa"/>
          </w:tcPr>
          <w:p w14:paraId="03CB4ED6" w14:textId="3079F946" w:rsidR="002B05F2" w:rsidRPr="001A4CBD" w:rsidRDefault="009941FA" w:rsidP="000A55AE">
            <w:pPr>
              <w:tabs>
                <w:tab w:val="decimal" w:pos="1199"/>
              </w:tabs>
            </w:pPr>
            <w:r>
              <w:t xml:space="preserve">$  </w:t>
            </w:r>
            <w:r w:rsidR="000467AD">
              <w:t>1,</w:t>
            </w:r>
            <w:r w:rsidR="00737AB3">
              <w:t>228,169</w:t>
            </w:r>
          </w:p>
        </w:tc>
        <w:tc>
          <w:tcPr>
            <w:tcW w:w="1841" w:type="dxa"/>
          </w:tcPr>
          <w:p w14:paraId="299C0DF5" w14:textId="33535E06" w:rsidR="002B05F2" w:rsidRPr="00EB7BF0" w:rsidRDefault="002B05F2" w:rsidP="000A55AE">
            <w:pPr>
              <w:tabs>
                <w:tab w:val="decimal" w:pos="1157"/>
              </w:tabs>
            </w:pPr>
            <w:r>
              <w:t xml:space="preserve">$ </w:t>
            </w:r>
            <w:r w:rsidR="00C67C3F">
              <w:t xml:space="preserve"> </w:t>
            </w:r>
            <w:r w:rsidR="003E2B17">
              <w:t xml:space="preserve"> </w:t>
            </w:r>
            <w:r w:rsidR="00C5141A">
              <w:t>924,509</w:t>
            </w:r>
          </w:p>
        </w:tc>
      </w:tr>
      <w:tr w:rsidR="002B05F2" w:rsidRPr="00EB7BF0" w14:paraId="303A0569" w14:textId="77777777" w:rsidTr="002B05F2">
        <w:tc>
          <w:tcPr>
            <w:tcW w:w="6055" w:type="dxa"/>
          </w:tcPr>
          <w:p w14:paraId="69970D31" w14:textId="77777777" w:rsidR="002B05F2" w:rsidRPr="00EB7BF0" w:rsidRDefault="002B05F2" w:rsidP="000A55AE">
            <w:pPr>
              <w:ind w:left="162"/>
            </w:pPr>
            <w:r>
              <w:t>Accrued directors’ fees</w:t>
            </w:r>
          </w:p>
        </w:tc>
        <w:tc>
          <w:tcPr>
            <w:tcW w:w="1842" w:type="dxa"/>
          </w:tcPr>
          <w:p w14:paraId="62E20FCD" w14:textId="32DF5431" w:rsidR="002B05F2" w:rsidRPr="001A4CBD" w:rsidRDefault="00737AB3" w:rsidP="000A55AE">
            <w:pPr>
              <w:tabs>
                <w:tab w:val="decimal" w:pos="1199"/>
              </w:tabs>
            </w:pPr>
            <w:r>
              <w:t>378,569</w:t>
            </w:r>
          </w:p>
        </w:tc>
        <w:tc>
          <w:tcPr>
            <w:tcW w:w="1841" w:type="dxa"/>
          </w:tcPr>
          <w:p w14:paraId="1585271B" w14:textId="216798BF" w:rsidR="002B05F2" w:rsidRPr="00EB7BF0" w:rsidRDefault="00C5141A" w:rsidP="000A55AE">
            <w:pPr>
              <w:tabs>
                <w:tab w:val="decimal" w:pos="1157"/>
              </w:tabs>
            </w:pPr>
            <w:r>
              <w:t>295,670</w:t>
            </w:r>
          </w:p>
        </w:tc>
      </w:tr>
      <w:tr w:rsidR="002B05F2" w:rsidRPr="00452D3C" w14:paraId="71F07EDF" w14:textId="77777777" w:rsidTr="002B05F2">
        <w:tc>
          <w:tcPr>
            <w:tcW w:w="6055" w:type="dxa"/>
          </w:tcPr>
          <w:p w14:paraId="3CEE5560" w14:textId="4675CA19" w:rsidR="002B05F2" w:rsidRPr="00452D3C" w:rsidRDefault="002B05F2" w:rsidP="000A55AE">
            <w:pPr>
              <w:ind w:left="162"/>
            </w:pPr>
            <w:r>
              <w:t>Other</w:t>
            </w:r>
            <w:r w:rsidR="00775DD0">
              <w:t xml:space="preserve"> accrued expenses</w:t>
            </w:r>
          </w:p>
        </w:tc>
        <w:tc>
          <w:tcPr>
            <w:tcW w:w="1842" w:type="dxa"/>
            <w:tcBorders>
              <w:bottom w:val="single" w:sz="4" w:space="0" w:color="auto"/>
            </w:tcBorders>
          </w:tcPr>
          <w:p w14:paraId="1E4E219D" w14:textId="1C016DD6" w:rsidR="002B05F2" w:rsidRPr="001A4CBD" w:rsidRDefault="00737AB3" w:rsidP="000A55AE">
            <w:pPr>
              <w:tabs>
                <w:tab w:val="decimal" w:pos="1199"/>
              </w:tabs>
            </w:pPr>
            <w:r>
              <w:t>125,700</w:t>
            </w:r>
          </w:p>
        </w:tc>
        <w:tc>
          <w:tcPr>
            <w:tcW w:w="1841" w:type="dxa"/>
            <w:tcBorders>
              <w:bottom w:val="single" w:sz="4" w:space="0" w:color="auto"/>
            </w:tcBorders>
          </w:tcPr>
          <w:p w14:paraId="366C406E" w14:textId="50D4EF7F" w:rsidR="002B05F2" w:rsidRPr="00452D3C" w:rsidRDefault="00C5141A" w:rsidP="000A55AE">
            <w:pPr>
              <w:tabs>
                <w:tab w:val="decimal" w:pos="1157"/>
              </w:tabs>
            </w:pPr>
            <w:r>
              <w:t>18,373</w:t>
            </w:r>
          </w:p>
        </w:tc>
      </w:tr>
      <w:tr w:rsidR="002B05F2" w:rsidRPr="00EB7BF0" w14:paraId="5DE2A726" w14:textId="77777777" w:rsidTr="002B05F2">
        <w:tc>
          <w:tcPr>
            <w:tcW w:w="6055" w:type="dxa"/>
          </w:tcPr>
          <w:p w14:paraId="324012B8" w14:textId="77777777" w:rsidR="002B05F2" w:rsidRPr="00452D3C" w:rsidRDefault="002B05F2" w:rsidP="000A55AE">
            <w:pPr>
              <w:ind w:left="162"/>
            </w:pPr>
            <w:r>
              <w:t>Total accrued expenses</w:t>
            </w:r>
          </w:p>
        </w:tc>
        <w:tc>
          <w:tcPr>
            <w:tcW w:w="1842" w:type="dxa"/>
            <w:tcBorders>
              <w:top w:val="single" w:sz="4" w:space="0" w:color="auto"/>
              <w:bottom w:val="double" w:sz="4" w:space="0" w:color="auto"/>
            </w:tcBorders>
          </w:tcPr>
          <w:p w14:paraId="5F1AF149" w14:textId="665C204C" w:rsidR="002B05F2" w:rsidRPr="001A4CBD" w:rsidRDefault="009941FA" w:rsidP="000A55AE">
            <w:pPr>
              <w:tabs>
                <w:tab w:val="decimal" w:pos="1199"/>
              </w:tabs>
            </w:pPr>
            <w:r>
              <w:t xml:space="preserve">$  </w:t>
            </w:r>
            <w:r w:rsidR="00C67C3F">
              <w:t xml:space="preserve"> </w:t>
            </w:r>
            <w:r w:rsidR="000467AD">
              <w:t>1,</w:t>
            </w:r>
            <w:r w:rsidR="00737AB3">
              <w:t>732,438</w:t>
            </w:r>
          </w:p>
        </w:tc>
        <w:tc>
          <w:tcPr>
            <w:tcW w:w="1841" w:type="dxa"/>
            <w:tcBorders>
              <w:top w:val="single" w:sz="4" w:space="0" w:color="auto"/>
              <w:bottom w:val="double" w:sz="4" w:space="0" w:color="auto"/>
            </w:tcBorders>
          </w:tcPr>
          <w:p w14:paraId="27A7728F" w14:textId="52D9E47D" w:rsidR="002B05F2" w:rsidRPr="00EB7BF0" w:rsidRDefault="009941FA" w:rsidP="000A55AE">
            <w:pPr>
              <w:tabs>
                <w:tab w:val="decimal" w:pos="1157"/>
              </w:tabs>
            </w:pPr>
            <w:r>
              <w:t xml:space="preserve">$ </w:t>
            </w:r>
            <w:r w:rsidR="00C5141A">
              <w:t>1,238,552</w:t>
            </w:r>
          </w:p>
        </w:tc>
      </w:tr>
    </w:tbl>
    <w:p w14:paraId="3A7C2485" w14:textId="77777777" w:rsidR="000A55AE" w:rsidRDefault="000A55AE" w:rsidP="000A55AE">
      <w:pPr>
        <w:pStyle w:val="BodyText"/>
        <w:spacing w:after="0"/>
      </w:pPr>
    </w:p>
    <w:p w14:paraId="318042A1" w14:textId="3EE79B2C" w:rsidR="00346823" w:rsidRPr="001C6303" w:rsidRDefault="00346823" w:rsidP="000A55AE">
      <w:pPr>
        <w:pStyle w:val="ListNumbering"/>
        <w:spacing w:after="0"/>
      </w:pPr>
      <w:r>
        <w:t>7</w:t>
      </w:r>
      <w:r w:rsidRPr="001C6303">
        <w:t>.</w:t>
      </w:r>
      <w:r w:rsidRPr="001C6303">
        <w:tab/>
      </w:r>
      <w:r>
        <w:t>Note</w:t>
      </w:r>
      <w:r w:rsidR="00C5141A">
        <w:t>s</w:t>
      </w:r>
      <w:r>
        <w:t xml:space="preserve"> Payable</w:t>
      </w:r>
    </w:p>
    <w:p w14:paraId="190B619F" w14:textId="77777777" w:rsidR="000A55AE" w:rsidRDefault="000A55AE" w:rsidP="000A55AE">
      <w:pPr>
        <w:suppressAutoHyphens/>
        <w:spacing w:line="240" w:lineRule="exact"/>
        <w:rPr>
          <w:rFonts w:ascii="CG Times (WN)" w:hAnsi="CG Times (WN)"/>
        </w:rPr>
      </w:pPr>
      <w:bookmarkStart w:id="14" w:name="_Hlk511052867"/>
    </w:p>
    <w:p w14:paraId="78272D87" w14:textId="35D2F30A" w:rsidR="00C5141A" w:rsidRPr="00C5141A" w:rsidRDefault="00C5141A" w:rsidP="00C5141A">
      <w:pPr>
        <w:suppressAutoHyphens/>
        <w:spacing w:line="240" w:lineRule="exact"/>
        <w:rPr>
          <w:rFonts w:ascii="CG Times (WN)" w:hAnsi="CG Times (WN)"/>
        </w:rPr>
      </w:pPr>
      <w:bookmarkStart w:id="15" w:name="_Hlk536784938"/>
      <w:bookmarkEnd w:id="14"/>
      <w:r w:rsidRPr="00C5141A">
        <w:rPr>
          <w:rFonts w:ascii="CG Times (WN)" w:hAnsi="CG Times (WN)"/>
        </w:rPr>
        <w:t xml:space="preserve">On February 28, 2018, we entered into a Senior Note Purchase Agreement with Georgia Research Alliance, Inc. (GRA) pursuant to which we issued a five-year Senior Promissory Note (the “GRA Note”) to GRA in exchange for $50,000. The GRA Note </w:t>
      </w:r>
      <w:r w:rsidRPr="00530C72">
        <w:rPr>
          <w:rFonts w:ascii="CG Times (WN)" w:hAnsi="CG Times (WN)"/>
        </w:rPr>
        <w:t>bears an annual interest rate of 5%, payable monthly, with principal repayments beginning in the second year. Principal repayments are expected to be $</w:t>
      </w:r>
      <w:r w:rsidR="00CD43AC">
        <w:rPr>
          <w:rFonts w:ascii="CG Times (WN)" w:hAnsi="CG Times (WN)"/>
        </w:rPr>
        <w:t>2,084</w:t>
      </w:r>
      <w:r w:rsidRPr="00530C72">
        <w:rPr>
          <w:rFonts w:ascii="CG Times (WN)" w:hAnsi="CG Times (WN)"/>
        </w:rPr>
        <w:t xml:space="preserve"> for the remainder of 2019, $12,500 in 2020, 2021 and 2022, and $2,08</w:t>
      </w:r>
      <w:r w:rsidR="00867B5A" w:rsidRPr="00530C72">
        <w:rPr>
          <w:rFonts w:ascii="CG Times (WN)" w:hAnsi="CG Times (WN)"/>
        </w:rPr>
        <w:t>3</w:t>
      </w:r>
      <w:r w:rsidRPr="00530C72">
        <w:rPr>
          <w:rFonts w:ascii="CG Times (WN)" w:hAnsi="CG Times (WN)"/>
        </w:rPr>
        <w:t xml:space="preserve"> in 2023. Interest expense related to the GRA Note </w:t>
      </w:r>
      <w:bookmarkStart w:id="16" w:name="_Hlk5354743"/>
      <w:r w:rsidRPr="00530C72">
        <w:rPr>
          <w:rFonts w:ascii="CG Times (WN)" w:hAnsi="CG Times (WN)"/>
        </w:rPr>
        <w:t>for the three-month</w:t>
      </w:r>
      <w:r w:rsidR="007A70AB" w:rsidRPr="00530C72">
        <w:rPr>
          <w:rFonts w:ascii="CG Times (WN)" w:hAnsi="CG Times (WN)"/>
        </w:rPr>
        <w:t xml:space="preserve"> and </w:t>
      </w:r>
      <w:r w:rsidR="00737AB3" w:rsidRPr="00530C72">
        <w:rPr>
          <w:rFonts w:ascii="CG Times (WN)" w:hAnsi="CG Times (WN)"/>
        </w:rPr>
        <w:t>nine</w:t>
      </w:r>
      <w:r w:rsidR="007A70AB" w:rsidRPr="00530C72">
        <w:rPr>
          <w:rFonts w:ascii="CG Times (WN)" w:hAnsi="CG Times (WN)"/>
        </w:rPr>
        <w:t>-month</w:t>
      </w:r>
      <w:r w:rsidRPr="00530C72">
        <w:rPr>
          <w:rFonts w:ascii="CG Times (WN)" w:hAnsi="CG Times (WN)"/>
        </w:rPr>
        <w:t xml:space="preserve"> periods ended </w:t>
      </w:r>
      <w:r w:rsidR="00737AB3" w:rsidRPr="00530C72">
        <w:rPr>
          <w:rFonts w:ascii="CG Times (WN)" w:hAnsi="CG Times (WN)"/>
        </w:rPr>
        <w:t>September</w:t>
      </w:r>
      <w:r w:rsidRPr="00530C72">
        <w:rPr>
          <w:rFonts w:ascii="CG Times (WN)" w:hAnsi="CG Times (WN)"/>
        </w:rPr>
        <w:t xml:space="preserve"> 3</w:t>
      </w:r>
      <w:r w:rsidR="007A70AB" w:rsidRPr="00530C72">
        <w:rPr>
          <w:rFonts w:ascii="CG Times (WN)" w:hAnsi="CG Times (WN)"/>
        </w:rPr>
        <w:t>0</w:t>
      </w:r>
      <w:r w:rsidRPr="00530C72">
        <w:rPr>
          <w:rFonts w:ascii="CG Times (WN)" w:hAnsi="CG Times (WN)"/>
        </w:rPr>
        <w:t>, 2019 was $</w:t>
      </w:r>
      <w:r w:rsidR="00F1022D" w:rsidRPr="00530C72">
        <w:rPr>
          <w:rFonts w:ascii="CG Times (WN)" w:hAnsi="CG Times (WN)"/>
        </w:rPr>
        <w:t>5</w:t>
      </w:r>
      <w:r w:rsidR="00530C72" w:rsidRPr="00530C72">
        <w:rPr>
          <w:rFonts w:ascii="CG Times (WN)" w:hAnsi="CG Times (WN)"/>
        </w:rPr>
        <w:t>47</w:t>
      </w:r>
      <w:r w:rsidRPr="00530C72">
        <w:rPr>
          <w:rFonts w:ascii="CG Times (WN)" w:hAnsi="CG Times (WN)"/>
        </w:rPr>
        <w:t xml:space="preserve"> and $</w:t>
      </w:r>
      <w:bookmarkEnd w:id="16"/>
      <w:r w:rsidR="00F1022D" w:rsidRPr="00530C72">
        <w:rPr>
          <w:rFonts w:ascii="CG Times (WN)" w:hAnsi="CG Times (WN)"/>
        </w:rPr>
        <w:t>1,</w:t>
      </w:r>
      <w:r w:rsidR="00530C72" w:rsidRPr="00530C72">
        <w:rPr>
          <w:rFonts w:ascii="CG Times (WN)" w:hAnsi="CG Times (WN)"/>
        </w:rPr>
        <w:t>753</w:t>
      </w:r>
      <w:r w:rsidR="007A70AB" w:rsidRPr="00530C72">
        <w:rPr>
          <w:rFonts w:ascii="CG Times (WN)" w:hAnsi="CG Times (WN)"/>
        </w:rPr>
        <w:t>, respectively</w:t>
      </w:r>
      <w:r w:rsidR="007A70AB">
        <w:rPr>
          <w:rFonts w:ascii="CG Times (WN)" w:hAnsi="CG Times (WN)"/>
        </w:rPr>
        <w:t xml:space="preserve">, </w:t>
      </w:r>
      <w:bookmarkStart w:id="17" w:name="_Hlk12612730"/>
      <w:r w:rsidR="007A70AB">
        <w:rPr>
          <w:rFonts w:ascii="CG Times (WN)" w:hAnsi="CG Times (WN)"/>
        </w:rPr>
        <w:t xml:space="preserve">as compared </w:t>
      </w:r>
      <w:r w:rsidR="007A70AB" w:rsidRPr="00530C72">
        <w:rPr>
          <w:rFonts w:ascii="CG Times (WN)" w:hAnsi="CG Times (WN)"/>
        </w:rPr>
        <w:t>to $625 and $</w:t>
      </w:r>
      <w:r w:rsidR="00530C72" w:rsidRPr="00530C72">
        <w:rPr>
          <w:rFonts w:ascii="CG Times (WN)" w:hAnsi="CG Times (WN)"/>
        </w:rPr>
        <w:t>1,458</w:t>
      </w:r>
      <w:r w:rsidR="007A70AB">
        <w:rPr>
          <w:rFonts w:ascii="CG Times (WN)" w:hAnsi="CG Times (WN)"/>
        </w:rPr>
        <w:t>, respectively, for the same periods of 2018</w:t>
      </w:r>
      <w:bookmarkEnd w:id="17"/>
      <w:r w:rsidRPr="00C5141A">
        <w:rPr>
          <w:rFonts w:ascii="CG Times (WN)" w:hAnsi="CG Times (WN)"/>
        </w:rPr>
        <w:t>.</w:t>
      </w:r>
      <w:r>
        <w:rPr>
          <w:rFonts w:ascii="CG Times (WN)" w:hAnsi="CG Times (WN)"/>
        </w:rPr>
        <w:t xml:space="preserve"> </w:t>
      </w:r>
    </w:p>
    <w:bookmarkEnd w:id="15"/>
    <w:p w14:paraId="120A936D" w14:textId="77777777" w:rsidR="00C5141A" w:rsidRPr="00C5141A" w:rsidRDefault="00C5141A" w:rsidP="00C5141A"/>
    <w:p w14:paraId="3AC667FB" w14:textId="2A652FA6" w:rsidR="00C5141A" w:rsidRPr="00C5141A" w:rsidRDefault="00C5141A" w:rsidP="00C5141A">
      <w:pPr>
        <w:suppressAutoHyphens/>
        <w:spacing w:line="240" w:lineRule="exact"/>
        <w:rPr>
          <w:rFonts w:ascii="CG Times (WN)" w:hAnsi="CG Times (WN)"/>
        </w:rPr>
      </w:pPr>
      <w:r w:rsidRPr="00C5141A">
        <w:rPr>
          <w:rFonts w:ascii="CG Times (WN)" w:hAnsi="CG Times (WN)"/>
        </w:rPr>
        <w:t xml:space="preserve">On December 27, 2018, we issued short-term non-interest-bearing Term Promissory Notes (the “Term Notes”) to two current investors in exchange for an aggregate </w:t>
      </w:r>
      <w:r w:rsidRPr="00655E50">
        <w:rPr>
          <w:rFonts w:ascii="CG Times (WN)" w:hAnsi="CG Times (WN)"/>
        </w:rPr>
        <w:t xml:space="preserve">of $250,000. In February 2019, the Term Notes were cancelled in exchange for shares of our convertible preferred stock (see Note </w:t>
      </w:r>
      <w:r w:rsidR="00372D41" w:rsidRPr="00655E50">
        <w:rPr>
          <w:rFonts w:ascii="CG Times (WN)" w:hAnsi="CG Times (WN)"/>
        </w:rPr>
        <w:t>9</w:t>
      </w:r>
      <w:r w:rsidRPr="00655E50">
        <w:rPr>
          <w:rFonts w:ascii="CG Times (WN)" w:hAnsi="CG Times (WN)"/>
        </w:rPr>
        <w:t>).</w:t>
      </w:r>
    </w:p>
    <w:p w14:paraId="3C1120E1" w14:textId="77777777" w:rsidR="00C5141A" w:rsidRDefault="00C5141A" w:rsidP="000A55AE">
      <w:pPr>
        <w:pStyle w:val="BodyText"/>
        <w:spacing w:after="0"/>
      </w:pPr>
    </w:p>
    <w:p w14:paraId="5B33366B" w14:textId="64ACD6D1" w:rsidR="00723617" w:rsidRPr="001C6303" w:rsidRDefault="00346823" w:rsidP="000A55AE">
      <w:pPr>
        <w:pStyle w:val="ListNumbering"/>
        <w:spacing w:after="0"/>
      </w:pPr>
      <w:r>
        <w:t>8</w:t>
      </w:r>
      <w:r w:rsidR="00723617" w:rsidRPr="001C6303">
        <w:t>.</w:t>
      </w:r>
      <w:r w:rsidR="00723617" w:rsidRPr="001C6303">
        <w:tab/>
      </w:r>
      <w:r w:rsidR="00723617">
        <w:t>Commitments</w:t>
      </w:r>
    </w:p>
    <w:p w14:paraId="61568E0F" w14:textId="562A3283" w:rsidR="000A55AE" w:rsidRDefault="000A55AE" w:rsidP="000A55AE">
      <w:pPr>
        <w:pStyle w:val="BodyText"/>
        <w:spacing w:after="0"/>
      </w:pPr>
      <w:bookmarkStart w:id="18" w:name="_Toc197922410"/>
    </w:p>
    <w:p w14:paraId="21237996" w14:textId="77777777" w:rsidR="00C20F8B" w:rsidRPr="00C20F8B" w:rsidRDefault="00C20F8B" w:rsidP="00C20F8B">
      <w:pPr>
        <w:rPr>
          <w:bCs/>
          <w:i/>
        </w:rPr>
      </w:pPr>
      <w:r w:rsidRPr="00C20F8B">
        <w:rPr>
          <w:i/>
        </w:rPr>
        <w:t>Lease Agreement</w:t>
      </w:r>
    </w:p>
    <w:p w14:paraId="68FC31A7" w14:textId="77777777" w:rsidR="00C20F8B" w:rsidRPr="00C20F8B" w:rsidRDefault="00C20F8B" w:rsidP="00C20F8B"/>
    <w:p w14:paraId="2E09BC6B" w14:textId="3BC0311A" w:rsidR="00C20F8B" w:rsidRPr="00C20F8B" w:rsidRDefault="00C20F8B" w:rsidP="00C20F8B">
      <w:r w:rsidRPr="00FA2850">
        <w:t>We lease approximately 8,400 square feet of office and laboratory space pursuant to an operating lease which expires on December 31, 2019</w:t>
      </w:r>
      <w:r w:rsidR="00FA2850">
        <w:t xml:space="preserve"> and which is under negotiation for extension beyond that date.</w:t>
      </w:r>
      <w:r w:rsidRPr="00FA2850">
        <w:t xml:space="preserve"> Rent expense for the </w:t>
      </w:r>
      <w:r w:rsidRPr="00FA2850">
        <w:rPr>
          <w:rFonts w:ascii="CG Times (WN)" w:hAnsi="CG Times (WN)"/>
        </w:rPr>
        <w:t xml:space="preserve">for the three-month </w:t>
      </w:r>
      <w:r w:rsidR="00F1022D" w:rsidRPr="00FA2850">
        <w:rPr>
          <w:rFonts w:ascii="CG Times (WN)" w:hAnsi="CG Times (WN)"/>
        </w:rPr>
        <w:t xml:space="preserve">and </w:t>
      </w:r>
      <w:r w:rsidR="00FA2850">
        <w:rPr>
          <w:rFonts w:ascii="CG Times (WN)" w:hAnsi="CG Times (WN)"/>
        </w:rPr>
        <w:t>nine</w:t>
      </w:r>
      <w:r w:rsidR="00F1022D" w:rsidRPr="00FA2850">
        <w:rPr>
          <w:rFonts w:ascii="CG Times (WN)" w:hAnsi="CG Times (WN)"/>
        </w:rPr>
        <w:t xml:space="preserve">-month </w:t>
      </w:r>
      <w:r w:rsidRPr="00FA2850">
        <w:rPr>
          <w:rFonts w:ascii="CG Times (WN)" w:hAnsi="CG Times (WN)"/>
        </w:rPr>
        <w:t xml:space="preserve">periods ended </w:t>
      </w:r>
      <w:r w:rsidR="003A1B5B">
        <w:rPr>
          <w:rFonts w:ascii="CG Times (WN)" w:hAnsi="CG Times (WN)"/>
        </w:rPr>
        <w:t>September</w:t>
      </w:r>
      <w:r w:rsidRPr="00FA2850">
        <w:rPr>
          <w:rFonts w:ascii="CG Times (WN)" w:hAnsi="CG Times (WN)"/>
        </w:rPr>
        <w:t xml:space="preserve"> 3</w:t>
      </w:r>
      <w:r w:rsidR="00F1022D" w:rsidRPr="00FA2850">
        <w:rPr>
          <w:rFonts w:ascii="CG Times (WN)" w:hAnsi="CG Times (WN)"/>
        </w:rPr>
        <w:t>0</w:t>
      </w:r>
      <w:r w:rsidRPr="00FA2850">
        <w:rPr>
          <w:rFonts w:ascii="CG Times (WN)" w:hAnsi="CG Times (WN)"/>
        </w:rPr>
        <w:t>, 2019 was $</w:t>
      </w:r>
      <w:r w:rsidR="006653AB" w:rsidRPr="00FA2850">
        <w:rPr>
          <w:rFonts w:ascii="CG Times (WN)" w:hAnsi="CG Times (WN)"/>
        </w:rPr>
        <w:t>40,316</w:t>
      </w:r>
      <w:r w:rsidRPr="00FA2850">
        <w:rPr>
          <w:rFonts w:ascii="CG Times (WN)" w:hAnsi="CG Times (WN)"/>
        </w:rPr>
        <w:t xml:space="preserve"> and $</w:t>
      </w:r>
      <w:r w:rsidR="00FA2850">
        <w:rPr>
          <w:rFonts w:ascii="CG Times (WN)" w:hAnsi="CG Times (WN)"/>
        </w:rPr>
        <w:t>120,949</w:t>
      </w:r>
      <w:r w:rsidRPr="00FA2850">
        <w:rPr>
          <w:rFonts w:ascii="CG Times (WN)" w:hAnsi="CG Times (WN)"/>
        </w:rPr>
        <w:t>, respectively</w:t>
      </w:r>
      <w:r w:rsidR="00F1022D" w:rsidRPr="00FA2850">
        <w:rPr>
          <w:rFonts w:ascii="CG Times (WN)" w:hAnsi="CG Times (WN)"/>
        </w:rPr>
        <w:t>, as compared to $</w:t>
      </w:r>
      <w:r w:rsidR="006653AB" w:rsidRPr="00FA2850">
        <w:rPr>
          <w:rFonts w:ascii="CG Times (WN)" w:hAnsi="CG Times (WN)"/>
        </w:rPr>
        <w:t>39,136</w:t>
      </w:r>
      <w:r w:rsidR="00F1022D" w:rsidRPr="00FA2850">
        <w:rPr>
          <w:rFonts w:ascii="CG Times (WN)" w:hAnsi="CG Times (WN)"/>
        </w:rPr>
        <w:t xml:space="preserve"> and $</w:t>
      </w:r>
      <w:r w:rsidR="00FA2850">
        <w:rPr>
          <w:rFonts w:ascii="CG Times (WN)" w:hAnsi="CG Times (WN)"/>
        </w:rPr>
        <w:t>117,409</w:t>
      </w:r>
      <w:r w:rsidR="00F1022D" w:rsidRPr="00FA2850">
        <w:rPr>
          <w:rFonts w:ascii="CG Times (WN)" w:hAnsi="CG Times (WN)"/>
        </w:rPr>
        <w:t>, respectively, for the same periods of 2018</w:t>
      </w:r>
      <w:r w:rsidRPr="00FA2850">
        <w:t>. Future minimum lease payments total $</w:t>
      </w:r>
      <w:r w:rsidR="00FA2850">
        <w:t xml:space="preserve">40,316 </w:t>
      </w:r>
      <w:r w:rsidRPr="00FA2850">
        <w:t>for the remainder of 2019</w:t>
      </w:r>
      <w:r w:rsidR="00096E33" w:rsidRPr="00FA2850">
        <w:t>.</w:t>
      </w:r>
    </w:p>
    <w:p w14:paraId="468E2C2A" w14:textId="77777777" w:rsidR="00C20F8B" w:rsidRPr="00C20F8B" w:rsidRDefault="00C20F8B" w:rsidP="00C20F8B">
      <w:pPr>
        <w:rPr>
          <w:bCs/>
        </w:rPr>
      </w:pPr>
    </w:p>
    <w:p w14:paraId="5741122F" w14:textId="77777777" w:rsidR="00C20F8B" w:rsidRPr="00C20F8B" w:rsidRDefault="00C20F8B" w:rsidP="00C20F8B">
      <w:pPr>
        <w:rPr>
          <w:bCs/>
          <w:i/>
        </w:rPr>
      </w:pPr>
      <w:r w:rsidRPr="00C20F8B">
        <w:rPr>
          <w:bCs/>
          <w:i/>
        </w:rPr>
        <w:t>Other Commitments</w:t>
      </w:r>
    </w:p>
    <w:p w14:paraId="7663877D" w14:textId="77777777" w:rsidR="00C20F8B" w:rsidRPr="00C20F8B" w:rsidRDefault="00C20F8B" w:rsidP="00C20F8B"/>
    <w:p w14:paraId="6351AE42" w14:textId="2E4C31A1" w:rsidR="00C20F8B" w:rsidRPr="00C20F8B" w:rsidRDefault="00C20F8B" w:rsidP="00C20F8B">
      <w:r w:rsidRPr="00C20F8B">
        <w:t xml:space="preserve">In the normal course of business, we enter into various firm purchase commitments related to production and testing of our vaccine, conduct of research studies, and other activities. As of </w:t>
      </w:r>
      <w:r w:rsidR="00737AB3">
        <w:t>September</w:t>
      </w:r>
      <w:r w:rsidRPr="00C20F8B">
        <w:t xml:space="preserve"> 3</w:t>
      </w:r>
      <w:r w:rsidR="006653AB">
        <w:t>0</w:t>
      </w:r>
      <w:r w:rsidRPr="00C20F8B">
        <w:t>, 201</w:t>
      </w:r>
      <w:r>
        <w:t>9</w:t>
      </w:r>
      <w:r w:rsidRPr="00C20F8B">
        <w:t xml:space="preserve">, </w:t>
      </w:r>
      <w:r w:rsidR="00BE61F2">
        <w:t>there are</w:t>
      </w:r>
      <w:r w:rsidRPr="00C20F8B">
        <w:t xml:space="preserve"> approximately $</w:t>
      </w:r>
      <w:r w:rsidR="00737AB3">
        <w:t>391</w:t>
      </w:r>
      <w:r w:rsidR="006653AB">
        <w:t>,000</w:t>
      </w:r>
      <w:r w:rsidRPr="00C20F8B">
        <w:t xml:space="preserve"> of unrecorded outstanding purchase commitments to our vendors and subcontractors, all of which we expect will be due in 2019</w:t>
      </w:r>
      <w:r w:rsidR="004C72B5">
        <w:t xml:space="preserve"> and 2020</w:t>
      </w:r>
      <w:r w:rsidRPr="00C20F8B">
        <w:t xml:space="preserve">. We expect this entire amount to be reimbursable to us pursuant to </w:t>
      </w:r>
      <w:r w:rsidR="00BE61F2">
        <w:t>existing</w:t>
      </w:r>
      <w:r w:rsidRPr="00C20F8B">
        <w:t xml:space="preserve"> government grants.</w:t>
      </w:r>
    </w:p>
    <w:p w14:paraId="4083F38F" w14:textId="77777777" w:rsidR="00C20F8B" w:rsidRDefault="00C20F8B" w:rsidP="000A55AE">
      <w:pPr>
        <w:pStyle w:val="BodyText"/>
        <w:spacing w:after="0"/>
      </w:pPr>
    </w:p>
    <w:p w14:paraId="17DCCEEA" w14:textId="4EEE255B" w:rsidR="00881E20" w:rsidRDefault="00346823" w:rsidP="000A55AE">
      <w:pPr>
        <w:pStyle w:val="ListNumbering"/>
        <w:spacing w:after="0"/>
      </w:pPr>
      <w:r>
        <w:t>9</w:t>
      </w:r>
      <w:r w:rsidR="00881E20" w:rsidRPr="001C6303">
        <w:t>.</w:t>
      </w:r>
      <w:r w:rsidR="00881E20" w:rsidRPr="001C6303">
        <w:tab/>
      </w:r>
      <w:r w:rsidR="001A5175">
        <w:t>Preferred Stock</w:t>
      </w:r>
    </w:p>
    <w:p w14:paraId="075A9E6B" w14:textId="7778F505" w:rsidR="000A55AE" w:rsidRDefault="000A55AE" w:rsidP="000A55AE">
      <w:pPr>
        <w:pStyle w:val="BodyTitle"/>
        <w:spacing w:after="0"/>
      </w:pPr>
    </w:p>
    <w:p w14:paraId="765CB3DE" w14:textId="0FA1FA19" w:rsidR="00FE32B3" w:rsidRPr="00BB3E17" w:rsidRDefault="00FE32B3" w:rsidP="000A55AE">
      <w:pPr>
        <w:pStyle w:val="BodyTitle"/>
        <w:spacing w:after="0"/>
        <w:rPr>
          <w:i/>
          <w:iCs/>
          <w:u w:val="none"/>
        </w:rPr>
      </w:pPr>
      <w:r w:rsidRPr="00BB3E17">
        <w:rPr>
          <w:i/>
          <w:iCs/>
          <w:u w:val="none"/>
        </w:rPr>
        <w:t>Prefer</w:t>
      </w:r>
      <w:r w:rsidR="00BB3E17" w:rsidRPr="00BB3E17">
        <w:rPr>
          <w:i/>
          <w:iCs/>
          <w:u w:val="none"/>
        </w:rPr>
        <w:t>red Stock</w:t>
      </w:r>
      <w:r w:rsidR="00D7277A">
        <w:rPr>
          <w:i/>
          <w:iCs/>
          <w:u w:val="none"/>
        </w:rPr>
        <w:t xml:space="preserve"> Summary</w:t>
      </w:r>
    </w:p>
    <w:p w14:paraId="05C90805" w14:textId="77777777" w:rsidR="00C84EC5" w:rsidRDefault="00C84EC5" w:rsidP="000A55AE">
      <w:pPr>
        <w:pStyle w:val="BodyTitle"/>
        <w:spacing w:after="0"/>
        <w:rPr>
          <w:u w:val="none"/>
        </w:rPr>
      </w:pPr>
    </w:p>
    <w:p w14:paraId="537FD383" w14:textId="30671160" w:rsidR="00FE32B3" w:rsidRDefault="00C84EC5" w:rsidP="000A55AE">
      <w:pPr>
        <w:pStyle w:val="BodyTitle"/>
        <w:spacing w:after="0"/>
        <w:rPr>
          <w:u w:val="none"/>
        </w:rPr>
      </w:pPr>
      <w:r w:rsidRPr="00C84EC5">
        <w:rPr>
          <w:u w:val="none"/>
        </w:rPr>
        <w:t xml:space="preserve">We are authorized to issue up to </w:t>
      </w:r>
      <w:r>
        <w:rPr>
          <w:u w:val="none"/>
        </w:rPr>
        <w:t xml:space="preserve">10,000,000 shares of our Preferred Stock, $.01 par value, which may be issued in one or more series.  The table below presents our issued and outstanding series of preferred stock as of </w:t>
      </w:r>
      <w:r w:rsidR="004C72B5">
        <w:rPr>
          <w:u w:val="none"/>
        </w:rPr>
        <w:t>September</w:t>
      </w:r>
      <w:r>
        <w:rPr>
          <w:u w:val="none"/>
        </w:rPr>
        <w:t xml:space="preserve"> 3</w:t>
      </w:r>
      <w:r w:rsidR="00D7277A">
        <w:rPr>
          <w:u w:val="none"/>
        </w:rPr>
        <w:t>0</w:t>
      </w:r>
      <w:r>
        <w:rPr>
          <w:u w:val="none"/>
        </w:rPr>
        <w:t>, 2019 and December 31, 2018.  Each series of our outstanding preferred stock has a stated value of $1,000 per share.</w:t>
      </w:r>
      <w:r w:rsidR="00D7277A">
        <w:rPr>
          <w:u w:val="none"/>
        </w:rPr>
        <w:t xml:space="preserve"> Further details concerning each series of preferred stock, and the changes in each series during the three-month and </w:t>
      </w:r>
      <w:r w:rsidR="004C72B5">
        <w:rPr>
          <w:u w:val="none"/>
        </w:rPr>
        <w:t>nine</w:t>
      </w:r>
      <w:r w:rsidR="00D7277A">
        <w:rPr>
          <w:u w:val="none"/>
        </w:rPr>
        <w:t xml:space="preserve">-month periods ending </w:t>
      </w:r>
      <w:r w:rsidR="004C72B5">
        <w:rPr>
          <w:u w:val="none"/>
        </w:rPr>
        <w:t>September</w:t>
      </w:r>
      <w:r w:rsidR="00D7277A">
        <w:rPr>
          <w:u w:val="none"/>
        </w:rPr>
        <w:t xml:space="preserve"> 30, 2019 and 2018 are discussed in the sections that follow the table.</w:t>
      </w:r>
    </w:p>
    <w:p w14:paraId="62B08F3D" w14:textId="211BF731" w:rsidR="001A5175" w:rsidRDefault="001A5175">
      <w:pPr>
        <w:rPr>
          <w:rFonts w:eastAsia="????"/>
        </w:rPr>
      </w:pPr>
      <w:r>
        <w:br w:type="page"/>
      </w:r>
    </w:p>
    <w:p w14:paraId="48E6D231" w14:textId="77777777" w:rsidR="00C84EC5" w:rsidRPr="00C84EC5" w:rsidRDefault="00C84EC5" w:rsidP="000A55AE">
      <w:pPr>
        <w:pStyle w:val="BodyTitle"/>
        <w:spacing w:after="0"/>
        <w:rPr>
          <w:u w:val="none"/>
        </w:rPr>
      </w:pPr>
    </w:p>
    <w:tbl>
      <w:tblPr>
        <w:tblW w:w="9838" w:type="dxa"/>
        <w:tblInd w:w="-240" w:type="dxa"/>
        <w:tblLayout w:type="fixed"/>
        <w:tblCellMar>
          <w:left w:w="30" w:type="dxa"/>
          <w:right w:w="30" w:type="dxa"/>
        </w:tblCellMar>
        <w:tblLook w:val="0000" w:firstRow="0" w:lastRow="0" w:firstColumn="0" w:lastColumn="0" w:noHBand="0" w:noVBand="0"/>
      </w:tblPr>
      <w:tblGrid>
        <w:gridCol w:w="305"/>
        <w:gridCol w:w="4795"/>
        <w:gridCol w:w="1125"/>
        <w:gridCol w:w="1125"/>
        <w:gridCol w:w="376"/>
        <w:gridCol w:w="1056"/>
        <w:gridCol w:w="1056"/>
      </w:tblGrid>
      <w:tr w:rsidR="00666D62" w:rsidRPr="00356734" w14:paraId="6D5F533B" w14:textId="77777777" w:rsidTr="006A35FB">
        <w:trPr>
          <w:trHeight w:hRule="exact" w:val="230"/>
        </w:trPr>
        <w:tc>
          <w:tcPr>
            <w:tcW w:w="305" w:type="dxa"/>
          </w:tcPr>
          <w:p w14:paraId="6884E311" w14:textId="77777777" w:rsidR="00666D62" w:rsidRPr="00356734" w:rsidRDefault="00666D62" w:rsidP="00BB3E17">
            <w:pPr>
              <w:jc w:val="right"/>
              <w:rPr>
                <w:snapToGrid w:val="0"/>
                <w:color w:val="000000"/>
              </w:rPr>
            </w:pPr>
          </w:p>
        </w:tc>
        <w:tc>
          <w:tcPr>
            <w:tcW w:w="4795" w:type="dxa"/>
          </w:tcPr>
          <w:p w14:paraId="459C2740" w14:textId="77777777" w:rsidR="00666D62" w:rsidRPr="00356734" w:rsidRDefault="00666D62" w:rsidP="00BB3E17">
            <w:pPr>
              <w:jc w:val="right"/>
              <w:rPr>
                <w:snapToGrid w:val="0"/>
                <w:color w:val="000000"/>
              </w:rPr>
            </w:pPr>
          </w:p>
        </w:tc>
        <w:tc>
          <w:tcPr>
            <w:tcW w:w="2250" w:type="dxa"/>
            <w:gridSpan w:val="2"/>
            <w:tcBorders>
              <w:bottom w:val="single" w:sz="4" w:space="0" w:color="auto"/>
            </w:tcBorders>
          </w:tcPr>
          <w:p w14:paraId="10403832" w14:textId="21140134" w:rsidR="00666D62" w:rsidRPr="00356734" w:rsidRDefault="004C72B5" w:rsidP="00666D62">
            <w:pPr>
              <w:jc w:val="center"/>
              <w:rPr>
                <w:snapToGrid w:val="0"/>
                <w:color w:val="000000"/>
              </w:rPr>
            </w:pPr>
            <w:r>
              <w:rPr>
                <w:snapToGrid w:val="0"/>
                <w:color w:val="000000"/>
              </w:rPr>
              <w:t>September</w:t>
            </w:r>
            <w:r w:rsidR="00666D62">
              <w:rPr>
                <w:snapToGrid w:val="0"/>
                <w:color w:val="000000"/>
              </w:rPr>
              <w:t xml:space="preserve"> 3</w:t>
            </w:r>
            <w:r w:rsidR="006A35FB">
              <w:rPr>
                <w:snapToGrid w:val="0"/>
                <w:color w:val="000000"/>
              </w:rPr>
              <w:t>0</w:t>
            </w:r>
            <w:r w:rsidR="00666D62">
              <w:rPr>
                <w:snapToGrid w:val="0"/>
                <w:color w:val="000000"/>
              </w:rPr>
              <w:t>, 2019</w:t>
            </w:r>
          </w:p>
        </w:tc>
        <w:tc>
          <w:tcPr>
            <w:tcW w:w="376" w:type="dxa"/>
          </w:tcPr>
          <w:p w14:paraId="2C304802" w14:textId="7A637744" w:rsidR="00666D62" w:rsidRPr="00356734" w:rsidRDefault="00666D62" w:rsidP="00BB3E17">
            <w:pPr>
              <w:jc w:val="right"/>
              <w:rPr>
                <w:snapToGrid w:val="0"/>
                <w:color w:val="000000"/>
              </w:rPr>
            </w:pPr>
          </w:p>
        </w:tc>
        <w:tc>
          <w:tcPr>
            <w:tcW w:w="2112" w:type="dxa"/>
            <w:gridSpan w:val="2"/>
            <w:tcBorders>
              <w:bottom w:val="single" w:sz="4" w:space="0" w:color="auto"/>
            </w:tcBorders>
          </w:tcPr>
          <w:p w14:paraId="5347323E" w14:textId="12D5D4E3" w:rsidR="00666D62" w:rsidRPr="00356734" w:rsidRDefault="00666D62" w:rsidP="00BB3E17">
            <w:pPr>
              <w:jc w:val="center"/>
              <w:rPr>
                <w:snapToGrid w:val="0"/>
                <w:color w:val="000000"/>
              </w:rPr>
            </w:pPr>
            <w:r>
              <w:rPr>
                <w:snapToGrid w:val="0"/>
                <w:color w:val="000000"/>
              </w:rPr>
              <w:t>December 31, 2018</w:t>
            </w:r>
          </w:p>
        </w:tc>
      </w:tr>
      <w:tr w:rsidR="00BB3E17" w:rsidRPr="00356734" w14:paraId="157FE0D6" w14:textId="77777777" w:rsidTr="006A35FB">
        <w:trPr>
          <w:trHeight w:hRule="exact" w:val="230"/>
        </w:trPr>
        <w:tc>
          <w:tcPr>
            <w:tcW w:w="305" w:type="dxa"/>
          </w:tcPr>
          <w:p w14:paraId="7D08EF0C" w14:textId="77777777" w:rsidR="00BB3E17" w:rsidRPr="00356734" w:rsidRDefault="00BB3E17" w:rsidP="00BB3E17">
            <w:pPr>
              <w:jc w:val="right"/>
              <w:rPr>
                <w:snapToGrid w:val="0"/>
                <w:color w:val="000000"/>
              </w:rPr>
            </w:pPr>
          </w:p>
        </w:tc>
        <w:tc>
          <w:tcPr>
            <w:tcW w:w="4795" w:type="dxa"/>
          </w:tcPr>
          <w:p w14:paraId="374CA88B" w14:textId="77777777" w:rsidR="00BB3E17" w:rsidRPr="00356734" w:rsidRDefault="00BB3E17" w:rsidP="00BB3E17">
            <w:pPr>
              <w:jc w:val="right"/>
              <w:rPr>
                <w:snapToGrid w:val="0"/>
                <w:color w:val="000000"/>
              </w:rPr>
            </w:pPr>
          </w:p>
        </w:tc>
        <w:tc>
          <w:tcPr>
            <w:tcW w:w="1125" w:type="dxa"/>
            <w:tcBorders>
              <w:top w:val="single" w:sz="4" w:space="0" w:color="auto"/>
            </w:tcBorders>
          </w:tcPr>
          <w:p w14:paraId="4FE3841D" w14:textId="512BCB93" w:rsidR="00BB3E17" w:rsidRPr="00356734" w:rsidRDefault="00BB3E17" w:rsidP="00BB3E17">
            <w:pPr>
              <w:jc w:val="center"/>
              <w:rPr>
                <w:snapToGrid w:val="0"/>
                <w:color w:val="000000"/>
              </w:rPr>
            </w:pPr>
          </w:p>
        </w:tc>
        <w:tc>
          <w:tcPr>
            <w:tcW w:w="1125" w:type="dxa"/>
            <w:tcBorders>
              <w:top w:val="single" w:sz="4" w:space="0" w:color="auto"/>
            </w:tcBorders>
          </w:tcPr>
          <w:p w14:paraId="63E1519F" w14:textId="7BD6DF78" w:rsidR="00BB3E17" w:rsidRPr="00356734" w:rsidRDefault="006A35FB" w:rsidP="00D7277A">
            <w:pPr>
              <w:jc w:val="center"/>
              <w:rPr>
                <w:snapToGrid w:val="0"/>
                <w:color w:val="000000"/>
              </w:rPr>
            </w:pPr>
            <w:r>
              <w:rPr>
                <w:snapToGrid w:val="0"/>
                <w:color w:val="000000"/>
              </w:rPr>
              <w:t>Carrying</w:t>
            </w:r>
          </w:p>
        </w:tc>
        <w:tc>
          <w:tcPr>
            <w:tcW w:w="376" w:type="dxa"/>
          </w:tcPr>
          <w:p w14:paraId="665030F0" w14:textId="34C3689D" w:rsidR="00BB3E17" w:rsidRPr="00356734" w:rsidRDefault="00BB3E17" w:rsidP="00BB3E17">
            <w:pPr>
              <w:jc w:val="right"/>
              <w:rPr>
                <w:snapToGrid w:val="0"/>
                <w:color w:val="000000"/>
              </w:rPr>
            </w:pPr>
          </w:p>
        </w:tc>
        <w:tc>
          <w:tcPr>
            <w:tcW w:w="1056" w:type="dxa"/>
            <w:tcBorders>
              <w:top w:val="single" w:sz="4" w:space="0" w:color="auto"/>
            </w:tcBorders>
          </w:tcPr>
          <w:p w14:paraId="5BE47F2E" w14:textId="72212009" w:rsidR="00BB3E17" w:rsidRPr="00356734" w:rsidRDefault="00BB3E17" w:rsidP="00BB3E17">
            <w:pPr>
              <w:jc w:val="center"/>
              <w:rPr>
                <w:snapToGrid w:val="0"/>
                <w:color w:val="000000"/>
              </w:rPr>
            </w:pPr>
          </w:p>
        </w:tc>
        <w:tc>
          <w:tcPr>
            <w:tcW w:w="1056" w:type="dxa"/>
            <w:tcBorders>
              <w:top w:val="single" w:sz="4" w:space="0" w:color="auto"/>
            </w:tcBorders>
          </w:tcPr>
          <w:p w14:paraId="2D725050" w14:textId="5B831A42" w:rsidR="00BB3E17" w:rsidRPr="00356734" w:rsidRDefault="006A35FB" w:rsidP="00BB3E17">
            <w:pPr>
              <w:jc w:val="center"/>
              <w:rPr>
                <w:snapToGrid w:val="0"/>
                <w:color w:val="000000"/>
              </w:rPr>
            </w:pPr>
            <w:r>
              <w:rPr>
                <w:snapToGrid w:val="0"/>
                <w:color w:val="000000"/>
              </w:rPr>
              <w:t>Carrying</w:t>
            </w:r>
          </w:p>
        </w:tc>
      </w:tr>
      <w:tr w:rsidR="006A35FB" w:rsidRPr="00356734" w14:paraId="5CE92B60" w14:textId="77777777" w:rsidTr="006A35FB">
        <w:trPr>
          <w:trHeight w:hRule="exact" w:val="230"/>
        </w:trPr>
        <w:tc>
          <w:tcPr>
            <w:tcW w:w="305" w:type="dxa"/>
          </w:tcPr>
          <w:p w14:paraId="56928BC9" w14:textId="77777777" w:rsidR="006A35FB" w:rsidRPr="00356734" w:rsidRDefault="006A35FB" w:rsidP="00BB3E17">
            <w:pPr>
              <w:jc w:val="right"/>
              <w:rPr>
                <w:snapToGrid w:val="0"/>
                <w:color w:val="000000"/>
              </w:rPr>
            </w:pPr>
          </w:p>
        </w:tc>
        <w:tc>
          <w:tcPr>
            <w:tcW w:w="4795" w:type="dxa"/>
          </w:tcPr>
          <w:p w14:paraId="4F098E7C" w14:textId="77777777" w:rsidR="006A35FB" w:rsidRPr="00356734" w:rsidRDefault="006A35FB" w:rsidP="00BB3E17">
            <w:pPr>
              <w:jc w:val="right"/>
              <w:rPr>
                <w:snapToGrid w:val="0"/>
                <w:color w:val="000000"/>
              </w:rPr>
            </w:pPr>
          </w:p>
        </w:tc>
        <w:tc>
          <w:tcPr>
            <w:tcW w:w="1125" w:type="dxa"/>
            <w:tcBorders>
              <w:bottom w:val="single" w:sz="6" w:space="0" w:color="auto"/>
            </w:tcBorders>
          </w:tcPr>
          <w:p w14:paraId="3CAC1D8A" w14:textId="7C4842D1" w:rsidR="006A35FB" w:rsidRDefault="006A35FB" w:rsidP="00BB3E17">
            <w:pPr>
              <w:jc w:val="center"/>
              <w:rPr>
                <w:snapToGrid w:val="0"/>
                <w:color w:val="000000"/>
              </w:rPr>
            </w:pPr>
            <w:r>
              <w:rPr>
                <w:snapToGrid w:val="0"/>
                <w:color w:val="000000"/>
              </w:rPr>
              <w:t>Shares</w:t>
            </w:r>
          </w:p>
        </w:tc>
        <w:tc>
          <w:tcPr>
            <w:tcW w:w="1125" w:type="dxa"/>
            <w:tcBorders>
              <w:bottom w:val="single" w:sz="4" w:space="0" w:color="auto"/>
            </w:tcBorders>
          </w:tcPr>
          <w:p w14:paraId="31F5FF97" w14:textId="1FB80C05" w:rsidR="006A35FB" w:rsidRDefault="006A35FB" w:rsidP="00D7277A">
            <w:pPr>
              <w:jc w:val="center"/>
              <w:rPr>
                <w:snapToGrid w:val="0"/>
                <w:color w:val="000000"/>
              </w:rPr>
            </w:pPr>
            <w:r>
              <w:rPr>
                <w:snapToGrid w:val="0"/>
                <w:color w:val="000000"/>
              </w:rPr>
              <w:t>Value</w:t>
            </w:r>
          </w:p>
        </w:tc>
        <w:tc>
          <w:tcPr>
            <w:tcW w:w="376" w:type="dxa"/>
          </w:tcPr>
          <w:p w14:paraId="455B1022" w14:textId="77777777" w:rsidR="006A35FB" w:rsidRPr="00356734" w:rsidRDefault="006A35FB" w:rsidP="00BB3E17">
            <w:pPr>
              <w:jc w:val="right"/>
              <w:rPr>
                <w:snapToGrid w:val="0"/>
                <w:color w:val="000000"/>
              </w:rPr>
            </w:pPr>
          </w:p>
        </w:tc>
        <w:tc>
          <w:tcPr>
            <w:tcW w:w="1056" w:type="dxa"/>
            <w:tcBorders>
              <w:bottom w:val="single" w:sz="4" w:space="0" w:color="auto"/>
            </w:tcBorders>
          </w:tcPr>
          <w:p w14:paraId="5186BEBE" w14:textId="12AF6427" w:rsidR="006A35FB" w:rsidRDefault="006A35FB" w:rsidP="00BB3E17">
            <w:pPr>
              <w:jc w:val="center"/>
              <w:rPr>
                <w:snapToGrid w:val="0"/>
                <w:color w:val="000000"/>
              </w:rPr>
            </w:pPr>
            <w:r>
              <w:rPr>
                <w:snapToGrid w:val="0"/>
                <w:color w:val="000000"/>
              </w:rPr>
              <w:t>Shares</w:t>
            </w:r>
          </w:p>
        </w:tc>
        <w:tc>
          <w:tcPr>
            <w:tcW w:w="1056" w:type="dxa"/>
            <w:tcBorders>
              <w:bottom w:val="single" w:sz="6" w:space="0" w:color="auto"/>
            </w:tcBorders>
          </w:tcPr>
          <w:p w14:paraId="3950696C" w14:textId="36813E9B" w:rsidR="006A35FB" w:rsidRDefault="006A35FB" w:rsidP="00BB3E17">
            <w:pPr>
              <w:jc w:val="center"/>
              <w:rPr>
                <w:snapToGrid w:val="0"/>
                <w:color w:val="000000"/>
              </w:rPr>
            </w:pPr>
            <w:r>
              <w:rPr>
                <w:snapToGrid w:val="0"/>
                <w:color w:val="000000"/>
              </w:rPr>
              <w:t>Value</w:t>
            </w:r>
          </w:p>
        </w:tc>
      </w:tr>
      <w:tr w:rsidR="00BB3E17" w:rsidRPr="00E74795" w14:paraId="14DADBED" w14:textId="77777777" w:rsidTr="00666D62">
        <w:trPr>
          <w:trHeight w:hRule="exact" w:val="230"/>
        </w:trPr>
        <w:tc>
          <w:tcPr>
            <w:tcW w:w="305" w:type="dxa"/>
          </w:tcPr>
          <w:p w14:paraId="015B5619" w14:textId="77777777" w:rsidR="00BB3E17" w:rsidRPr="00EB7BF0" w:rsidRDefault="00BB3E17" w:rsidP="00BB3E17">
            <w:pPr>
              <w:jc w:val="right"/>
              <w:rPr>
                <w:snapToGrid w:val="0"/>
                <w:color w:val="000000"/>
              </w:rPr>
            </w:pPr>
          </w:p>
        </w:tc>
        <w:tc>
          <w:tcPr>
            <w:tcW w:w="4795" w:type="dxa"/>
          </w:tcPr>
          <w:p w14:paraId="082E274B" w14:textId="4CE93A04" w:rsidR="00BB3E17" w:rsidRPr="00E74795" w:rsidRDefault="00BB3E17" w:rsidP="00BB3E17">
            <w:pPr>
              <w:tabs>
                <w:tab w:val="left" w:pos="203"/>
              </w:tabs>
              <w:rPr>
                <w:snapToGrid w:val="0"/>
                <w:color w:val="000000"/>
              </w:rPr>
            </w:pPr>
            <w:r w:rsidRPr="00374FE3">
              <w:rPr>
                <w:snapToGrid w:val="0"/>
                <w:color w:val="000000"/>
              </w:rPr>
              <w:t xml:space="preserve">Series B </w:t>
            </w:r>
            <w:r w:rsidR="006A35FB">
              <w:rPr>
                <w:snapToGrid w:val="0"/>
                <w:color w:val="000000"/>
              </w:rPr>
              <w:t>C</w:t>
            </w:r>
            <w:r w:rsidRPr="00374FE3">
              <w:rPr>
                <w:snapToGrid w:val="0"/>
                <w:color w:val="000000"/>
              </w:rPr>
              <w:t xml:space="preserve">onvertible </w:t>
            </w:r>
            <w:r w:rsidR="006A35FB">
              <w:rPr>
                <w:snapToGrid w:val="0"/>
                <w:color w:val="000000"/>
              </w:rPr>
              <w:t>P</w:t>
            </w:r>
            <w:r w:rsidRPr="00374FE3">
              <w:rPr>
                <w:snapToGrid w:val="0"/>
                <w:color w:val="000000"/>
              </w:rPr>
              <w:t xml:space="preserve">referred </w:t>
            </w:r>
            <w:r w:rsidR="006A35FB">
              <w:rPr>
                <w:snapToGrid w:val="0"/>
                <w:color w:val="000000"/>
              </w:rPr>
              <w:t>S</w:t>
            </w:r>
            <w:r w:rsidRPr="00374FE3">
              <w:rPr>
                <w:snapToGrid w:val="0"/>
                <w:color w:val="000000"/>
              </w:rPr>
              <w:t>toc</w:t>
            </w:r>
            <w:r w:rsidR="00C84EC5">
              <w:rPr>
                <w:snapToGrid w:val="0"/>
                <w:color w:val="000000"/>
              </w:rPr>
              <w:t>k</w:t>
            </w:r>
          </w:p>
        </w:tc>
        <w:tc>
          <w:tcPr>
            <w:tcW w:w="1125" w:type="dxa"/>
          </w:tcPr>
          <w:p w14:paraId="18334D70" w14:textId="754D43A5" w:rsidR="00BB3E17" w:rsidRPr="00E74795" w:rsidRDefault="00BB3E17" w:rsidP="00BB3E17">
            <w:pPr>
              <w:tabs>
                <w:tab w:val="decimal" w:pos="1195"/>
              </w:tabs>
              <w:jc w:val="right"/>
              <w:rPr>
                <w:snapToGrid w:val="0"/>
                <w:color w:val="000000"/>
              </w:rPr>
            </w:pPr>
            <w:r>
              <w:rPr>
                <w:snapToGrid w:val="0"/>
                <w:color w:val="000000"/>
              </w:rPr>
              <w:t>100</w:t>
            </w:r>
          </w:p>
        </w:tc>
        <w:tc>
          <w:tcPr>
            <w:tcW w:w="1125" w:type="dxa"/>
            <w:tcBorders>
              <w:top w:val="single" w:sz="4" w:space="0" w:color="auto"/>
            </w:tcBorders>
          </w:tcPr>
          <w:p w14:paraId="0D0F933F" w14:textId="533F5F2F" w:rsidR="00BB3E17" w:rsidRPr="00E74795" w:rsidRDefault="004C72B5" w:rsidP="004C72B5">
            <w:pPr>
              <w:tabs>
                <w:tab w:val="left" w:pos="263"/>
              </w:tabs>
              <w:jc w:val="right"/>
              <w:rPr>
                <w:snapToGrid w:val="0"/>
                <w:color w:val="000000"/>
              </w:rPr>
            </w:pPr>
            <w:r>
              <w:rPr>
                <w:snapToGrid w:val="0"/>
                <w:color w:val="000000"/>
              </w:rPr>
              <w:t>$</w:t>
            </w:r>
            <w:r>
              <w:rPr>
                <w:snapToGrid w:val="0"/>
                <w:color w:val="000000"/>
              </w:rPr>
              <w:tab/>
            </w:r>
            <w:r w:rsidR="00BB3E17">
              <w:rPr>
                <w:snapToGrid w:val="0"/>
                <w:color w:val="000000"/>
              </w:rPr>
              <w:t>76,095</w:t>
            </w:r>
          </w:p>
        </w:tc>
        <w:tc>
          <w:tcPr>
            <w:tcW w:w="376" w:type="dxa"/>
          </w:tcPr>
          <w:p w14:paraId="032E8640" w14:textId="3BDA3836" w:rsidR="00BB3E17" w:rsidRPr="00E74795" w:rsidRDefault="00BB3E17" w:rsidP="00BB3E17">
            <w:pPr>
              <w:jc w:val="right"/>
              <w:rPr>
                <w:snapToGrid w:val="0"/>
                <w:color w:val="000000"/>
              </w:rPr>
            </w:pPr>
          </w:p>
        </w:tc>
        <w:tc>
          <w:tcPr>
            <w:tcW w:w="1056" w:type="dxa"/>
            <w:tcBorders>
              <w:top w:val="single" w:sz="4" w:space="0" w:color="auto"/>
            </w:tcBorders>
          </w:tcPr>
          <w:p w14:paraId="5886EC8D" w14:textId="3BF1C448" w:rsidR="00BB3E17" w:rsidRPr="00E74795" w:rsidRDefault="00BB3E17" w:rsidP="00BB3E17">
            <w:pPr>
              <w:tabs>
                <w:tab w:val="decimal" w:pos="1195"/>
              </w:tabs>
              <w:jc w:val="right"/>
              <w:rPr>
                <w:snapToGrid w:val="0"/>
                <w:color w:val="000000"/>
              </w:rPr>
            </w:pPr>
            <w:r>
              <w:rPr>
                <w:snapToGrid w:val="0"/>
                <w:color w:val="000000"/>
              </w:rPr>
              <w:t>100</w:t>
            </w:r>
          </w:p>
        </w:tc>
        <w:tc>
          <w:tcPr>
            <w:tcW w:w="1056" w:type="dxa"/>
          </w:tcPr>
          <w:p w14:paraId="2AE10072" w14:textId="15655F41" w:rsidR="00BB3E17" w:rsidRPr="00E74795" w:rsidRDefault="004C72B5" w:rsidP="004C72B5">
            <w:pPr>
              <w:tabs>
                <w:tab w:val="left" w:pos="62"/>
                <w:tab w:val="decimal" w:pos="1195"/>
              </w:tabs>
              <w:jc w:val="right"/>
              <w:rPr>
                <w:snapToGrid w:val="0"/>
                <w:color w:val="000000"/>
              </w:rPr>
            </w:pPr>
            <w:r>
              <w:rPr>
                <w:snapToGrid w:val="0"/>
                <w:color w:val="000000"/>
              </w:rPr>
              <w:t xml:space="preserve">  $</w:t>
            </w:r>
            <w:r>
              <w:rPr>
                <w:snapToGrid w:val="0"/>
                <w:color w:val="000000"/>
              </w:rPr>
              <w:tab/>
            </w:r>
            <w:r w:rsidR="00BB3E17">
              <w:rPr>
                <w:snapToGrid w:val="0"/>
                <w:color w:val="000000"/>
              </w:rPr>
              <w:t>76,095</w:t>
            </w:r>
          </w:p>
        </w:tc>
      </w:tr>
      <w:tr w:rsidR="00BB3E17" w:rsidRPr="00E74795" w14:paraId="5C449251" w14:textId="77777777" w:rsidTr="00666D62">
        <w:trPr>
          <w:trHeight w:hRule="exact" w:val="230"/>
        </w:trPr>
        <w:tc>
          <w:tcPr>
            <w:tcW w:w="305" w:type="dxa"/>
          </w:tcPr>
          <w:p w14:paraId="072C8578" w14:textId="77777777" w:rsidR="00BB3E17" w:rsidRPr="00EB7BF0" w:rsidRDefault="00BB3E17" w:rsidP="00BB3E17">
            <w:pPr>
              <w:jc w:val="right"/>
              <w:rPr>
                <w:snapToGrid w:val="0"/>
                <w:color w:val="000000"/>
              </w:rPr>
            </w:pPr>
          </w:p>
        </w:tc>
        <w:tc>
          <w:tcPr>
            <w:tcW w:w="4795" w:type="dxa"/>
          </w:tcPr>
          <w:p w14:paraId="4142C275" w14:textId="383AACE2" w:rsidR="00BB3E17" w:rsidRPr="00E74795" w:rsidRDefault="00BB3E17" w:rsidP="00BB3E17">
            <w:pPr>
              <w:tabs>
                <w:tab w:val="left" w:pos="203"/>
              </w:tabs>
              <w:rPr>
                <w:snapToGrid w:val="0"/>
                <w:color w:val="000000"/>
              </w:rPr>
            </w:pPr>
            <w:r w:rsidRPr="00374FE3">
              <w:rPr>
                <w:snapToGrid w:val="0"/>
                <w:color w:val="000000"/>
              </w:rPr>
              <w:t xml:space="preserve">Series C </w:t>
            </w:r>
            <w:r w:rsidR="006A35FB">
              <w:rPr>
                <w:snapToGrid w:val="0"/>
                <w:color w:val="000000"/>
              </w:rPr>
              <w:t>C</w:t>
            </w:r>
            <w:r w:rsidRPr="00374FE3">
              <w:rPr>
                <w:snapToGrid w:val="0"/>
                <w:color w:val="000000"/>
              </w:rPr>
              <w:t xml:space="preserve">onvertible </w:t>
            </w:r>
            <w:r w:rsidR="006A35FB">
              <w:rPr>
                <w:snapToGrid w:val="0"/>
                <w:color w:val="000000"/>
              </w:rPr>
              <w:t>P</w:t>
            </w:r>
            <w:r w:rsidRPr="00374FE3">
              <w:rPr>
                <w:snapToGrid w:val="0"/>
                <w:color w:val="000000"/>
              </w:rPr>
              <w:t xml:space="preserve">referred </w:t>
            </w:r>
            <w:r w:rsidR="006A35FB">
              <w:rPr>
                <w:snapToGrid w:val="0"/>
                <w:color w:val="000000"/>
              </w:rPr>
              <w:t>S</w:t>
            </w:r>
            <w:r w:rsidRPr="00374FE3">
              <w:rPr>
                <w:snapToGrid w:val="0"/>
                <w:color w:val="000000"/>
              </w:rPr>
              <w:t>tock</w:t>
            </w:r>
          </w:p>
        </w:tc>
        <w:tc>
          <w:tcPr>
            <w:tcW w:w="1125" w:type="dxa"/>
          </w:tcPr>
          <w:p w14:paraId="3C0C10E0" w14:textId="08A95398" w:rsidR="00BB3E17" w:rsidRPr="00E74795" w:rsidRDefault="00B84D6C" w:rsidP="00BB3E17">
            <w:pPr>
              <w:tabs>
                <w:tab w:val="decimal" w:pos="1320"/>
              </w:tabs>
              <w:rPr>
                <w:snapToGrid w:val="0"/>
                <w:color w:val="000000"/>
              </w:rPr>
            </w:pPr>
            <w:r>
              <w:rPr>
                <w:snapToGrid w:val="0"/>
                <w:color w:val="000000"/>
              </w:rPr>
              <w:t>-</w:t>
            </w:r>
          </w:p>
        </w:tc>
        <w:tc>
          <w:tcPr>
            <w:tcW w:w="1125" w:type="dxa"/>
          </w:tcPr>
          <w:p w14:paraId="4E571799" w14:textId="19ED394A" w:rsidR="00BB3E17" w:rsidRPr="00E74795" w:rsidRDefault="00B84D6C" w:rsidP="00BB3E17">
            <w:pPr>
              <w:jc w:val="right"/>
              <w:rPr>
                <w:snapToGrid w:val="0"/>
                <w:color w:val="000000"/>
              </w:rPr>
            </w:pPr>
            <w:r>
              <w:rPr>
                <w:snapToGrid w:val="0"/>
                <w:color w:val="000000"/>
              </w:rPr>
              <w:t>-</w:t>
            </w:r>
          </w:p>
        </w:tc>
        <w:tc>
          <w:tcPr>
            <w:tcW w:w="376" w:type="dxa"/>
          </w:tcPr>
          <w:p w14:paraId="35F02EB4" w14:textId="180EBF59" w:rsidR="00BB3E17" w:rsidRPr="00E74795" w:rsidRDefault="00BB3E17" w:rsidP="00BB3E17">
            <w:pPr>
              <w:jc w:val="right"/>
              <w:rPr>
                <w:snapToGrid w:val="0"/>
                <w:color w:val="000000"/>
              </w:rPr>
            </w:pPr>
          </w:p>
        </w:tc>
        <w:tc>
          <w:tcPr>
            <w:tcW w:w="1056" w:type="dxa"/>
          </w:tcPr>
          <w:p w14:paraId="624CDFD1" w14:textId="398FE309" w:rsidR="00BB3E17" w:rsidRPr="00E74795" w:rsidRDefault="00B84D6C" w:rsidP="00BB3E17">
            <w:pPr>
              <w:tabs>
                <w:tab w:val="decimal" w:pos="1500"/>
              </w:tabs>
              <w:rPr>
                <w:snapToGrid w:val="0"/>
                <w:color w:val="000000"/>
              </w:rPr>
            </w:pPr>
            <w:r>
              <w:rPr>
                <w:snapToGrid w:val="0"/>
                <w:color w:val="000000"/>
              </w:rPr>
              <w:t>2,150</w:t>
            </w:r>
          </w:p>
        </w:tc>
        <w:tc>
          <w:tcPr>
            <w:tcW w:w="1056" w:type="dxa"/>
          </w:tcPr>
          <w:p w14:paraId="5A3C7440" w14:textId="53524E26" w:rsidR="00BB3E17" w:rsidRPr="00E74795" w:rsidRDefault="00B84D6C" w:rsidP="00BB3E17">
            <w:pPr>
              <w:tabs>
                <w:tab w:val="decimal" w:pos="1500"/>
              </w:tabs>
              <w:rPr>
                <w:snapToGrid w:val="0"/>
                <w:color w:val="000000"/>
              </w:rPr>
            </w:pPr>
            <w:r>
              <w:rPr>
                <w:snapToGrid w:val="0"/>
                <w:color w:val="000000"/>
              </w:rPr>
              <w:t>705,238</w:t>
            </w:r>
          </w:p>
        </w:tc>
      </w:tr>
      <w:tr w:rsidR="00BB3E17" w:rsidRPr="00E74795" w14:paraId="7E14FFA4" w14:textId="77777777" w:rsidTr="00666D62">
        <w:trPr>
          <w:trHeight w:hRule="exact" w:val="230"/>
        </w:trPr>
        <w:tc>
          <w:tcPr>
            <w:tcW w:w="305" w:type="dxa"/>
          </w:tcPr>
          <w:p w14:paraId="12E37669" w14:textId="77777777" w:rsidR="00BB3E17" w:rsidRPr="00EB7BF0" w:rsidRDefault="00BB3E17" w:rsidP="00BB3E17">
            <w:pPr>
              <w:jc w:val="right"/>
              <w:rPr>
                <w:snapToGrid w:val="0"/>
                <w:color w:val="000000"/>
              </w:rPr>
            </w:pPr>
          </w:p>
        </w:tc>
        <w:tc>
          <w:tcPr>
            <w:tcW w:w="4795" w:type="dxa"/>
          </w:tcPr>
          <w:p w14:paraId="78B4496C" w14:textId="1B7678FF" w:rsidR="00BB3E17" w:rsidRPr="00E74795" w:rsidRDefault="00BB3E17" w:rsidP="00BB3E17">
            <w:pPr>
              <w:tabs>
                <w:tab w:val="left" w:pos="203"/>
              </w:tabs>
              <w:rPr>
                <w:snapToGrid w:val="0"/>
                <w:color w:val="000000"/>
              </w:rPr>
            </w:pPr>
            <w:r w:rsidRPr="00374FE3">
              <w:rPr>
                <w:snapToGrid w:val="0"/>
                <w:color w:val="000000"/>
              </w:rPr>
              <w:t xml:space="preserve">Series </w:t>
            </w:r>
            <w:r>
              <w:rPr>
                <w:snapToGrid w:val="0"/>
                <w:color w:val="000000"/>
              </w:rPr>
              <w:t>E</w:t>
            </w:r>
            <w:r w:rsidRPr="00374FE3">
              <w:rPr>
                <w:snapToGrid w:val="0"/>
                <w:color w:val="000000"/>
              </w:rPr>
              <w:t xml:space="preserve"> </w:t>
            </w:r>
            <w:r w:rsidR="006A35FB">
              <w:rPr>
                <w:snapToGrid w:val="0"/>
                <w:color w:val="000000"/>
              </w:rPr>
              <w:t>C</w:t>
            </w:r>
            <w:r w:rsidRPr="00374FE3">
              <w:rPr>
                <w:snapToGrid w:val="0"/>
                <w:color w:val="000000"/>
              </w:rPr>
              <w:t xml:space="preserve">onvertible </w:t>
            </w:r>
            <w:r w:rsidR="006A35FB">
              <w:rPr>
                <w:snapToGrid w:val="0"/>
                <w:color w:val="000000"/>
              </w:rPr>
              <w:t>P</w:t>
            </w:r>
            <w:r w:rsidRPr="00374FE3">
              <w:rPr>
                <w:snapToGrid w:val="0"/>
                <w:color w:val="000000"/>
              </w:rPr>
              <w:t xml:space="preserve">referred </w:t>
            </w:r>
            <w:r w:rsidR="006A35FB">
              <w:rPr>
                <w:snapToGrid w:val="0"/>
                <w:color w:val="000000"/>
              </w:rPr>
              <w:t>S</w:t>
            </w:r>
            <w:r w:rsidRPr="00374FE3">
              <w:rPr>
                <w:snapToGrid w:val="0"/>
                <w:color w:val="000000"/>
              </w:rPr>
              <w:t>tock</w:t>
            </w:r>
          </w:p>
        </w:tc>
        <w:tc>
          <w:tcPr>
            <w:tcW w:w="1125" w:type="dxa"/>
          </w:tcPr>
          <w:p w14:paraId="20D35679" w14:textId="7588348F" w:rsidR="00BB3E17" w:rsidRPr="00E74795" w:rsidRDefault="00B84D6C" w:rsidP="00BB3E17">
            <w:pPr>
              <w:tabs>
                <w:tab w:val="decimal" w:pos="1320"/>
              </w:tabs>
              <w:rPr>
                <w:snapToGrid w:val="0"/>
                <w:color w:val="000000"/>
              </w:rPr>
            </w:pPr>
            <w:r>
              <w:rPr>
                <w:snapToGrid w:val="0"/>
                <w:color w:val="000000"/>
              </w:rPr>
              <w:t>-</w:t>
            </w:r>
          </w:p>
        </w:tc>
        <w:tc>
          <w:tcPr>
            <w:tcW w:w="1125" w:type="dxa"/>
          </w:tcPr>
          <w:p w14:paraId="59D1F9B7" w14:textId="0276028D" w:rsidR="00BB3E17" w:rsidRPr="00E74795" w:rsidRDefault="00B84D6C" w:rsidP="00BB3E17">
            <w:pPr>
              <w:jc w:val="right"/>
              <w:rPr>
                <w:snapToGrid w:val="0"/>
                <w:color w:val="000000"/>
              </w:rPr>
            </w:pPr>
            <w:r>
              <w:rPr>
                <w:snapToGrid w:val="0"/>
                <w:color w:val="000000"/>
              </w:rPr>
              <w:t>-</w:t>
            </w:r>
          </w:p>
        </w:tc>
        <w:tc>
          <w:tcPr>
            <w:tcW w:w="376" w:type="dxa"/>
          </w:tcPr>
          <w:p w14:paraId="66A92424" w14:textId="1069CAF0" w:rsidR="00BB3E17" w:rsidRPr="00E74795" w:rsidRDefault="00BB3E17" w:rsidP="00BB3E17">
            <w:pPr>
              <w:jc w:val="right"/>
              <w:rPr>
                <w:snapToGrid w:val="0"/>
                <w:color w:val="000000"/>
              </w:rPr>
            </w:pPr>
          </w:p>
        </w:tc>
        <w:tc>
          <w:tcPr>
            <w:tcW w:w="1056" w:type="dxa"/>
          </w:tcPr>
          <w:p w14:paraId="175B89EB" w14:textId="732AD04C" w:rsidR="00BB3E17" w:rsidRPr="00E74795" w:rsidRDefault="00B84D6C" w:rsidP="00BB3E17">
            <w:pPr>
              <w:tabs>
                <w:tab w:val="decimal" w:pos="1500"/>
              </w:tabs>
              <w:rPr>
                <w:snapToGrid w:val="0"/>
                <w:color w:val="000000"/>
              </w:rPr>
            </w:pPr>
            <w:r>
              <w:rPr>
                <w:snapToGrid w:val="0"/>
                <w:color w:val="000000"/>
              </w:rPr>
              <w:t>1,200</w:t>
            </w:r>
          </w:p>
        </w:tc>
        <w:tc>
          <w:tcPr>
            <w:tcW w:w="1056" w:type="dxa"/>
          </w:tcPr>
          <w:p w14:paraId="01DC5E29" w14:textId="44722F82" w:rsidR="00BB3E17" w:rsidRPr="00E74795" w:rsidRDefault="00B84D6C" w:rsidP="00BB3E17">
            <w:pPr>
              <w:tabs>
                <w:tab w:val="decimal" w:pos="1500"/>
              </w:tabs>
              <w:rPr>
                <w:snapToGrid w:val="0"/>
                <w:color w:val="000000"/>
              </w:rPr>
            </w:pPr>
            <w:r>
              <w:rPr>
                <w:snapToGrid w:val="0"/>
                <w:color w:val="000000"/>
              </w:rPr>
              <w:t>1,190,000</w:t>
            </w:r>
          </w:p>
        </w:tc>
      </w:tr>
      <w:tr w:rsidR="004C72B5" w:rsidRPr="00E74795" w14:paraId="6754C6DA" w14:textId="77777777" w:rsidTr="00D7277A">
        <w:trPr>
          <w:trHeight w:hRule="exact" w:val="230"/>
        </w:trPr>
        <w:tc>
          <w:tcPr>
            <w:tcW w:w="305" w:type="dxa"/>
          </w:tcPr>
          <w:p w14:paraId="1D6B7DB4" w14:textId="77777777" w:rsidR="004C72B5" w:rsidRPr="00EB7BF0" w:rsidRDefault="004C72B5" w:rsidP="00BB3E17">
            <w:pPr>
              <w:jc w:val="right"/>
              <w:rPr>
                <w:snapToGrid w:val="0"/>
                <w:color w:val="000000"/>
              </w:rPr>
            </w:pPr>
          </w:p>
        </w:tc>
        <w:tc>
          <w:tcPr>
            <w:tcW w:w="4795" w:type="dxa"/>
          </w:tcPr>
          <w:p w14:paraId="3FC232F0" w14:textId="4A4F7FE8" w:rsidR="004C72B5" w:rsidRPr="00374FE3" w:rsidRDefault="004C72B5" w:rsidP="00BB3E17">
            <w:pPr>
              <w:tabs>
                <w:tab w:val="left" w:pos="203"/>
              </w:tabs>
              <w:rPr>
                <w:snapToGrid w:val="0"/>
                <w:color w:val="000000"/>
              </w:rPr>
            </w:pPr>
            <w:r w:rsidRPr="00374FE3">
              <w:rPr>
                <w:snapToGrid w:val="0"/>
                <w:color w:val="000000"/>
              </w:rPr>
              <w:t xml:space="preserve">Series </w:t>
            </w:r>
            <w:r>
              <w:rPr>
                <w:snapToGrid w:val="0"/>
                <w:color w:val="000000"/>
              </w:rPr>
              <w:t>H</w:t>
            </w:r>
            <w:r w:rsidRPr="00374FE3">
              <w:rPr>
                <w:snapToGrid w:val="0"/>
                <w:color w:val="000000"/>
              </w:rPr>
              <w:t xml:space="preserve"> </w:t>
            </w:r>
            <w:r>
              <w:rPr>
                <w:snapToGrid w:val="0"/>
                <w:color w:val="000000"/>
              </w:rPr>
              <w:t>C</w:t>
            </w:r>
            <w:r w:rsidRPr="00374FE3">
              <w:rPr>
                <w:snapToGrid w:val="0"/>
                <w:color w:val="000000"/>
              </w:rPr>
              <w:t xml:space="preserve">onvertible </w:t>
            </w:r>
            <w:r>
              <w:rPr>
                <w:snapToGrid w:val="0"/>
                <w:color w:val="000000"/>
              </w:rPr>
              <w:t>P</w:t>
            </w:r>
            <w:r w:rsidRPr="00374FE3">
              <w:rPr>
                <w:snapToGrid w:val="0"/>
                <w:color w:val="000000"/>
              </w:rPr>
              <w:t xml:space="preserve">referred </w:t>
            </w:r>
            <w:r>
              <w:rPr>
                <w:snapToGrid w:val="0"/>
                <w:color w:val="000000"/>
              </w:rPr>
              <w:t>S</w:t>
            </w:r>
            <w:r w:rsidRPr="00374FE3">
              <w:rPr>
                <w:snapToGrid w:val="0"/>
                <w:color w:val="000000"/>
              </w:rPr>
              <w:t>tock</w:t>
            </w:r>
          </w:p>
        </w:tc>
        <w:tc>
          <w:tcPr>
            <w:tcW w:w="1125" w:type="dxa"/>
          </w:tcPr>
          <w:p w14:paraId="18290525" w14:textId="75C9B4B5" w:rsidR="004C72B5" w:rsidRDefault="004C72B5" w:rsidP="00BB3E17">
            <w:pPr>
              <w:tabs>
                <w:tab w:val="decimal" w:pos="1320"/>
              </w:tabs>
              <w:rPr>
                <w:snapToGrid w:val="0"/>
                <w:color w:val="000000"/>
              </w:rPr>
            </w:pPr>
            <w:r>
              <w:rPr>
                <w:snapToGrid w:val="0"/>
                <w:color w:val="000000"/>
              </w:rPr>
              <w:t>2,254</w:t>
            </w:r>
          </w:p>
        </w:tc>
        <w:tc>
          <w:tcPr>
            <w:tcW w:w="1125" w:type="dxa"/>
          </w:tcPr>
          <w:p w14:paraId="78B71BC1" w14:textId="6E3DEA8B" w:rsidR="004C72B5" w:rsidRDefault="004C72B5" w:rsidP="00BB3E17">
            <w:pPr>
              <w:jc w:val="right"/>
              <w:rPr>
                <w:snapToGrid w:val="0"/>
                <w:color w:val="000000"/>
              </w:rPr>
            </w:pPr>
            <w:r>
              <w:rPr>
                <w:snapToGrid w:val="0"/>
                <w:color w:val="000000"/>
              </w:rPr>
              <w:t>1,545,728</w:t>
            </w:r>
          </w:p>
        </w:tc>
        <w:tc>
          <w:tcPr>
            <w:tcW w:w="376" w:type="dxa"/>
          </w:tcPr>
          <w:p w14:paraId="23B0A79D" w14:textId="77777777" w:rsidR="004C72B5" w:rsidRPr="00E74795" w:rsidRDefault="004C72B5" w:rsidP="00BB3E17">
            <w:pPr>
              <w:jc w:val="right"/>
              <w:rPr>
                <w:snapToGrid w:val="0"/>
                <w:color w:val="000000"/>
              </w:rPr>
            </w:pPr>
          </w:p>
        </w:tc>
        <w:tc>
          <w:tcPr>
            <w:tcW w:w="1056" w:type="dxa"/>
          </w:tcPr>
          <w:p w14:paraId="4B1AE61C" w14:textId="368D3F48" w:rsidR="004C72B5" w:rsidRDefault="004C72B5" w:rsidP="00BB3E17">
            <w:pPr>
              <w:tabs>
                <w:tab w:val="decimal" w:pos="1500"/>
              </w:tabs>
              <w:rPr>
                <w:snapToGrid w:val="0"/>
                <w:color w:val="000000"/>
              </w:rPr>
            </w:pPr>
            <w:r>
              <w:rPr>
                <w:snapToGrid w:val="0"/>
                <w:color w:val="000000"/>
              </w:rPr>
              <w:t>-</w:t>
            </w:r>
          </w:p>
        </w:tc>
        <w:tc>
          <w:tcPr>
            <w:tcW w:w="1056" w:type="dxa"/>
          </w:tcPr>
          <w:p w14:paraId="61FAA33A" w14:textId="12E8F05D" w:rsidR="004C72B5" w:rsidRDefault="004C72B5" w:rsidP="00BB3E17">
            <w:pPr>
              <w:tabs>
                <w:tab w:val="decimal" w:pos="1500"/>
              </w:tabs>
              <w:rPr>
                <w:snapToGrid w:val="0"/>
                <w:color w:val="000000"/>
              </w:rPr>
            </w:pPr>
            <w:r>
              <w:rPr>
                <w:snapToGrid w:val="0"/>
                <w:color w:val="000000"/>
              </w:rPr>
              <w:t>-</w:t>
            </w:r>
          </w:p>
        </w:tc>
      </w:tr>
      <w:tr w:rsidR="00BB3E17" w:rsidRPr="00E74795" w14:paraId="71D86A16" w14:textId="77777777" w:rsidTr="00D7277A">
        <w:trPr>
          <w:trHeight w:hRule="exact" w:val="230"/>
        </w:trPr>
        <w:tc>
          <w:tcPr>
            <w:tcW w:w="305" w:type="dxa"/>
          </w:tcPr>
          <w:p w14:paraId="56160F64" w14:textId="77777777" w:rsidR="00BB3E17" w:rsidRPr="00EB7BF0" w:rsidRDefault="00BB3E17" w:rsidP="00BB3E17">
            <w:pPr>
              <w:jc w:val="right"/>
              <w:rPr>
                <w:snapToGrid w:val="0"/>
                <w:color w:val="000000"/>
              </w:rPr>
            </w:pPr>
          </w:p>
        </w:tc>
        <w:tc>
          <w:tcPr>
            <w:tcW w:w="4795" w:type="dxa"/>
          </w:tcPr>
          <w:p w14:paraId="29DF8B32" w14:textId="595B38C6" w:rsidR="00BB3E17" w:rsidRPr="00E74795" w:rsidRDefault="00BB3E17" w:rsidP="00BB3E17">
            <w:pPr>
              <w:tabs>
                <w:tab w:val="left" w:pos="203"/>
              </w:tabs>
              <w:rPr>
                <w:snapToGrid w:val="0"/>
                <w:color w:val="000000"/>
              </w:rPr>
            </w:pPr>
            <w:r w:rsidRPr="00374FE3">
              <w:rPr>
                <w:snapToGrid w:val="0"/>
                <w:color w:val="000000"/>
              </w:rPr>
              <w:t xml:space="preserve">Series </w:t>
            </w:r>
            <w:r w:rsidR="004C72B5">
              <w:rPr>
                <w:snapToGrid w:val="0"/>
                <w:color w:val="000000"/>
              </w:rPr>
              <w:t>I</w:t>
            </w:r>
            <w:r w:rsidRPr="00374FE3">
              <w:rPr>
                <w:snapToGrid w:val="0"/>
                <w:color w:val="000000"/>
              </w:rPr>
              <w:t xml:space="preserve"> </w:t>
            </w:r>
            <w:r w:rsidR="006A35FB">
              <w:rPr>
                <w:snapToGrid w:val="0"/>
                <w:color w:val="000000"/>
              </w:rPr>
              <w:t>C</w:t>
            </w:r>
            <w:r w:rsidRPr="00374FE3">
              <w:rPr>
                <w:snapToGrid w:val="0"/>
                <w:color w:val="000000"/>
              </w:rPr>
              <w:t xml:space="preserve">onvertible </w:t>
            </w:r>
            <w:r w:rsidR="006A35FB">
              <w:rPr>
                <w:snapToGrid w:val="0"/>
                <w:color w:val="000000"/>
              </w:rPr>
              <w:t>P</w:t>
            </w:r>
            <w:r w:rsidRPr="00374FE3">
              <w:rPr>
                <w:snapToGrid w:val="0"/>
                <w:color w:val="000000"/>
              </w:rPr>
              <w:t xml:space="preserve">referred </w:t>
            </w:r>
            <w:r w:rsidR="006A35FB">
              <w:rPr>
                <w:snapToGrid w:val="0"/>
                <w:color w:val="000000"/>
              </w:rPr>
              <w:t>S</w:t>
            </w:r>
            <w:r w:rsidRPr="00374FE3">
              <w:rPr>
                <w:snapToGrid w:val="0"/>
                <w:color w:val="000000"/>
              </w:rPr>
              <w:t>tock</w:t>
            </w:r>
          </w:p>
        </w:tc>
        <w:tc>
          <w:tcPr>
            <w:tcW w:w="1125" w:type="dxa"/>
            <w:tcBorders>
              <w:bottom w:val="single" w:sz="4" w:space="0" w:color="auto"/>
            </w:tcBorders>
          </w:tcPr>
          <w:p w14:paraId="1498BF11" w14:textId="1C05475F" w:rsidR="00BB3E17" w:rsidRPr="00E74795" w:rsidRDefault="004C72B5" w:rsidP="00BB3E17">
            <w:pPr>
              <w:tabs>
                <w:tab w:val="decimal" w:pos="1320"/>
              </w:tabs>
              <w:rPr>
                <w:snapToGrid w:val="0"/>
                <w:color w:val="000000"/>
              </w:rPr>
            </w:pPr>
            <w:r>
              <w:rPr>
                <w:snapToGrid w:val="0"/>
                <w:color w:val="000000"/>
              </w:rPr>
              <w:t>700</w:t>
            </w:r>
          </w:p>
        </w:tc>
        <w:tc>
          <w:tcPr>
            <w:tcW w:w="1125" w:type="dxa"/>
            <w:tcBorders>
              <w:bottom w:val="single" w:sz="4" w:space="0" w:color="auto"/>
            </w:tcBorders>
          </w:tcPr>
          <w:p w14:paraId="0AE9286F" w14:textId="1AF64814" w:rsidR="00BB3E17" w:rsidRPr="00E74795" w:rsidRDefault="004C72B5" w:rsidP="00BB3E17">
            <w:pPr>
              <w:jc w:val="right"/>
              <w:rPr>
                <w:snapToGrid w:val="0"/>
                <w:color w:val="000000"/>
              </w:rPr>
            </w:pPr>
            <w:r>
              <w:rPr>
                <w:snapToGrid w:val="0"/>
                <w:color w:val="000000"/>
              </w:rPr>
              <w:t>700,000</w:t>
            </w:r>
          </w:p>
        </w:tc>
        <w:tc>
          <w:tcPr>
            <w:tcW w:w="376" w:type="dxa"/>
          </w:tcPr>
          <w:p w14:paraId="42E6A1E7" w14:textId="6AA97F76" w:rsidR="00BB3E17" w:rsidRPr="00E74795" w:rsidRDefault="00BB3E17" w:rsidP="00BB3E17">
            <w:pPr>
              <w:jc w:val="right"/>
              <w:rPr>
                <w:snapToGrid w:val="0"/>
                <w:color w:val="000000"/>
              </w:rPr>
            </w:pPr>
          </w:p>
        </w:tc>
        <w:tc>
          <w:tcPr>
            <w:tcW w:w="1056" w:type="dxa"/>
            <w:tcBorders>
              <w:bottom w:val="single" w:sz="4" w:space="0" w:color="auto"/>
            </w:tcBorders>
          </w:tcPr>
          <w:p w14:paraId="5253D65F" w14:textId="731E43CC" w:rsidR="00BB3E17" w:rsidRPr="00E74795" w:rsidRDefault="00B84D6C" w:rsidP="00BB3E17">
            <w:pPr>
              <w:tabs>
                <w:tab w:val="decimal" w:pos="1500"/>
              </w:tabs>
              <w:rPr>
                <w:snapToGrid w:val="0"/>
                <w:color w:val="000000"/>
              </w:rPr>
            </w:pPr>
            <w:r>
              <w:rPr>
                <w:snapToGrid w:val="0"/>
                <w:color w:val="000000"/>
              </w:rPr>
              <w:t>-</w:t>
            </w:r>
          </w:p>
        </w:tc>
        <w:tc>
          <w:tcPr>
            <w:tcW w:w="1056" w:type="dxa"/>
            <w:tcBorders>
              <w:bottom w:val="single" w:sz="4" w:space="0" w:color="auto"/>
            </w:tcBorders>
          </w:tcPr>
          <w:p w14:paraId="24DDF3A3" w14:textId="07C7568E" w:rsidR="00BB3E17" w:rsidRPr="00E74795" w:rsidRDefault="00B84D6C" w:rsidP="00BB3E17">
            <w:pPr>
              <w:tabs>
                <w:tab w:val="decimal" w:pos="1500"/>
              </w:tabs>
              <w:rPr>
                <w:snapToGrid w:val="0"/>
                <w:color w:val="000000"/>
              </w:rPr>
            </w:pPr>
            <w:r>
              <w:rPr>
                <w:snapToGrid w:val="0"/>
                <w:color w:val="000000"/>
              </w:rPr>
              <w:t>-</w:t>
            </w:r>
          </w:p>
        </w:tc>
      </w:tr>
      <w:tr w:rsidR="00BB3E17" w:rsidRPr="00E74795" w14:paraId="3031899C" w14:textId="77777777" w:rsidTr="00D7277A">
        <w:trPr>
          <w:trHeight w:hRule="exact" w:val="230"/>
        </w:trPr>
        <w:tc>
          <w:tcPr>
            <w:tcW w:w="305" w:type="dxa"/>
          </w:tcPr>
          <w:p w14:paraId="32CDAE0A" w14:textId="77777777" w:rsidR="00BB3E17" w:rsidRPr="00EB7BF0" w:rsidRDefault="00BB3E17" w:rsidP="00BB3E17">
            <w:pPr>
              <w:jc w:val="right"/>
              <w:rPr>
                <w:snapToGrid w:val="0"/>
                <w:color w:val="000000"/>
              </w:rPr>
            </w:pPr>
          </w:p>
        </w:tc>
        <w:tc>
          <w:tcPr>
            <w:tcW w:w="4795" w:type="dxa"/>
          </w:tcPr>
          <w:p w14:paraId="1E3A153F" w14:textId="0A722052" w:rsidR="00BB3E17" w:rsidRPr="00E74795" w:rsidRDefault="00C84EC5" w:rsidP="00C84EC5">
            <w:pPr>
              <w:rPr>
                <w:snapToGrid w:val="0"/>
                <w:color w:val="000000"/>
              </w:rPr>
            </w:pPr>
            <w:r>
              <w:rPr>
                <w:snapToGrid w:val="0"/>
                <w:color w:val="000000"/>
              </w:rPr>
              <w:t>Total</w:t>
            </w:r>
          </w:p>
        </w:tc>
        <w:tc>
          <w:tcPr>
            <w:tcW w:w="1125" w:type="dxa"/>
            <w:tcBorders>
              <w:top w:val="single" w:sz="4" w:space="0" w:color="auto"/>
              <w:bottom w:val="double" w:sz="4" w:space="0" w:color="auto"/>
            </w:tcBorders>
          </w:tcPr>
          <w:p w14:paraId="04542A0E" w14:textId="17DD45B9" w:rsidR="00BB3E17" w:rsidRPr="00E74795" w:rsidRDefault="004C72B5" w:rsidP="00BB3E17">
            <w:pPr>
              <w:tabs>
                <w:tab w:val="decimal" w:pos="1320"/>
              </w:tabs>
              <w:rPr>
                <w:snapToGrid w:val="0"/>
                <w:color w:val="000000"/>
              </w:rPr>
            </w:pPr>
            <w:r>
              <w:rPr>
                <w:snapToGrid w:val="0"/>
                <w:color w:val="000000"/>
              </w:rPr>
              <w:t>3,054</w:t>
            </w:r>
          </w:p>
        </w:tc>
        <w:tc>
          <w:tcPr>
            <w:tcW w:w="1125" w:type="dxa"/>
            <w:tcBorders>
              <w:top w:val="single" w:sz="4" w:space="0" w:color="auto"/>
              <w:bottom w:val="double" w:sz="4" w:space="0" w:color="auto"/>
            </w:tcBorders>
          </w:tcPr>
          <w:p w14:paraId="00F49AD1" w14:textId="12BC8E61" w:rsidR="00BB3E17" w:rsidRPr="00E74795" w:rsidRDefault="004C72B5" w:rsidP="00BB3E17">
            <w:pPr>
              <w:jc w:val="right"/>
              <w:rPr>
                <w:snapToGrid w:val="0"/>
                <w:color w:val="000000"/>
              </w:rPr>
            </w:pPr>
            <w:r>
              <w:rPr>
                <w:snapToGrid w:val="0"/>
                <w:color w:val="000000"/>
              </w:rPr>
              <w:t>$</w:t>
            </w:r>
            <w:r w:rsidR="00C84EC5">
              <w:rPr>
                <w:snapToGrid w:val="0"/>
                <w:color w:val="000000"/>
              </w:rPr>
              <w:t>2,</w:t>
            </w:r>
            <w:r>
              <w:rPr>
                <w:snapToGrid w:val="0"/>
                <w:color w:val="000000"/>
              </w:rPr>
              <w:t>321,823</w:t>
            </w:r>
          </w:p>
        </w:tc>
        <w:tc>
          <w:tcPr>
            <w:tcW w:w="376" w:type="dxa"/>
          </w:tcPr>
          <w:p w14:paraId="2BDE0ECA" w14:textId="386F3CA8" w:rsidR="00BB3E17" w:rsidRPr="00E74795" w:rsidRDefault="00BB3E17" w:rsidP="00BB3E17">
            <w:pPr>
              <w:jc w:val="right"/>
              <w:rPr>
                <w:snapToGrid w:val="0"/>
                <w:color w:val="000000"/>
              </w:rPr>
            </w:pPr>
          </w:p>
        </w:tc>
        <w:tc>
          <w:tcPr>
            <w:tcW w:w="1056" w:type="dxa"/>
            <w:tcBorders>
              <w:top w:val="single" w:sz="4" w:space="0" w:color="auto"/>
              <w:bottom w:val="double" w:sz="4" w:space="0" w:color="auto"/>
            </w:tcBorders>
          </w:tcPr>
          <w:p w14:paraId="60B2D8C1" w14:textId="31332CD5" w:rsidR="00BB3E17" w:rsidRPr="00E74795" w:rsidRDefault="00C84EC5" w:rsidP="00BB3E17">
            <w:pPr>
              <w:tabs>
                <w:tab w:val="decimal" w:pos="1195"/>
              </w:tabs>
              <w:jc w:val="right"/>
              <w:rPr>
                <w:snapToGrid w:val="0"/>
                <w:color w:val="000000"/>
              </w:rPr>
            </w:pPr>
            <w:r>
              <w:rPr>
                <w:snapToGrid w:val="0"/>
                <w:color w:val="000000"/>
              </w:rPr>
              <w:t>3,450</w:t>
            </w:r>
          </w:p>
        </w:tc>
        <w:tc>
          <w:tcPr>
            <w:tcW w:w="1056" w:type="dxa"/>
            <w:tcBorders>
              <w:top w:val="single" w:sz="4" w:space="0" w:color="auto"/>
              <w:bottom w:val="double" w:sz="4" w:space="0" w:color="auto"/>
            </w:tcBorders>
          </w:tcPr>
          <w:p w14:paraId="00EA1B9A" w14:textId="6D0407F1" w:rsidR="00BB3E17" w:rsidRPr="00E74795" w:rsidRDefault="004C72B5" w:rsidP="00BB3E17">
            <w:pPr>
              <w:tabs>
                <w:tab w:val="decimal" w:pos="1195"/>
              </w:tabs>
              <w:jc w:val="right"/>
              <w:rPr>
                <w:snapToGrid w:val="0"/>
                <w:color w:val="000000"/>
              </w:rPr>
            </w:pPr>
            <w:r>
              <w:rPr>
                <w:snapToGrid w:val="0"/>
                <w:color w:val="000000"/>
              </w:rPr>
              <w:t xml:space="preserve">$ </w:t>
            </w:r>
            <w:r w:rsidR="00C84EC5">
              <w:rPr>
                <w:snapToGrid w:val="0"/>
                <w:color w:val="000000"/>
              </w:rPr>
              <w:t>1,971,333</w:t>
            </w:r>
          </w:p>
        </w:tc>
      </w:tr>
    </w:tbl>
    <w:p w14:paraId="202FC4F0" w14:textId="3054B7F8" w:rsidR="00FE32B3" w:rsidRDefault="00FE32B3" w:rsidP="000A55AE">
      <w:pPr>
        <w:pStyle w:val="BodyTitle"/>
        <w:spacing w:after="0"/>
      </w:pPr>
    </w:p>
    <w:p w14:paraId="73AC0F6C" w14:textId="47C6A6F1" w:rsidR="00775DD0" w:rsidRPr="00E663A3" w:rsidRDefault="00775DD0" w:rsidP="000A55AE">
      <w:pPr>
        <w:pStyle w:val="BodyTitle"/>
        <w:spacing w:after="0"/>
        <w:rPr>
          <w:i/>
          <w:u w:val="none"/>
        </w:rPr>
      </w:pPr>
      <w:r w:rsidRPr="00E663A3">
        <w:rPr>
          <w:i/>
          <w:u w:val="none"/>
        </w:rPr>
        <w:t>Series B Preferred Stock</w:t>
      </w:r>
    </w:p>
    <w:p w14:paraId="036C0303" w14:textId="77777777" w:rsidR="00E663A3" w:rsidRDefault="00E663A3" w:rsidP="000A55AE">
      <w:pPr>
        <w:pStyle w:val="BodyText"/>
        <w:spacing w:after="0"/>
      </w:pPr>
    </w:p>
    <w:p w14:paraId="2AD8A908" w14:textId="46E8BD3B" w:rsidR="00775DD0" w:rsidRPr="008C287F" w:rsidRDefault="00775DD0" w:rsidP="000A55AE">
      <w:pPr>
        <w:pStyle w:val="BodyText"/>
        <w:spacing w:after="0"/>
      </w:pPr>
      <w:bookmarkStart w:id="19" w:name="_Hlk510532085"/>
      <w:r w:rsidRPr="008C287F">
        <w:t xml:space="preserve">During the </w:t>
      </w:r>
      <w:r w:rsidR="004C72B5">
        <w:t>nine</w:t>
      </w:r>
      <w:r w:rsidR="001E2D68">
        <w:t>-month period</w:t>
      </w:r>
      <w:r w:rsidRPr="008C287F">
        <w:t xml:space="preserve"> ended </w:t>
      </w:r>
      <w:r w:rsidR="007C20EB">
        <w:t>September</w:t>
      </w:r>
      <w:r w:rsidRPr="008C287F">
        <w:t> 3</w:t>
      </w:r>
      <w:r w:rsidR="001E2D68">
        <w:t>0</w:t>
      </w:r>
      <w:r w:rsidRPr="008C287F">
        <w:t xml:space="preserve">, </w:t>
      </w:r>
      <w:r w:rsidR="001E2D68">
        <w:t>2019</w:t>
      </w:r>
      <w:r w:rsidRPr="008C287F">
        <w:t xml:space="preserve">, there were no conversions or other transactions involving our Series B </w:t>
      </w:r>
      <w:r w:rsidR="00411ACA">
        <w:t xml:space="preserve">Convertible </w:t>
      </w:r>
      <w:r w:rsidRPr="008C287F">
        <w:t>Preferred Stock</w:t>
      </w:r>
      <w:bookmarkEnd w:id="19"/>
      <w:r w:rsidR="00411ACA">
        <w:t xml:space="preserve"> (“Series B Preferred Stock”)</w:t>
      </w:r>
      <w:r w:rsidRPr="008C287F">
        <w:t>.</w:t>
      </w:r>
      <w:r w:rsidR="00411ACA" w:rsidRPr="00411ACA">
        <w:t xml:space="preserve"> </w:t>
      </w:r>
      <w:bookmarkStart w:id="20" w:name="_Hlk22116892"/>
      <w:r w:rsidR="00411ACA">
        <w:t xml:space="preserve">As of </w:t>
      </w:r>
      <w:r w:rsidR="004C72B5">
        <w:t>September</w:t>
      </w:r>
      <w:r w:rsidR="00411ACA">
        <w:t xml:space="preserve"> 30, 2019, there are 100 shares of our Series B Convertible Preferred Stock outstanding.</w:t>
      </w:r>
      <w:r w:rsidR="00411ACA" w:rsidRPr="00881E20">
        <w:t xml:space="preserve"> </w:t>
      </w:r>
      <w:r w:rsidR="00411ACA">
        <w:rPr>
          <w:color w:val="000000"/>
        </w:rPr>
        <w:t>T</w:t>
      </w:r>
      <w:r w:rsidR="00411ACA" w:rsidRPr="00580F8A">
        <w:rPr>
          <w:color w:val="000000"/>
        </w:rPr>
        <w:t>he</w:t>
      </w:r>
      <w:r w:rsidR="00411ACA">
        <w:rPr>
          <w:color w:val="000000"/>
        </w:rPr>
        <w:t xml:space="preserve"> Series B</w:t>
      </w:r>
      <w:r w:rsidR="00411ACA" w:rsidRPr="00580F8A">
        <w:rPr>
          <w:color w:val="000000"/>
        </w:rPr>
        <w:t xml:space="preserve"> </w:t>
      </w:r>
      <w:r w:rsidR="00411ACA" w:rsidRPr="008C287F">
        <w:rPr>
          <w:color w:val="000000"/>
        </w:rPr>
        <w:t>Preferred Stock may be converted at any time at the option of the holder into shares of our common stock at a conversion price of $175 per share</w:t>
      </w:r>
      <w:bookmarkEnd w:id="20"/>
      <w:r w:rsidR="00411ACA" w:rsidRPr="008C287F">
        <w:rPr>
          <w:color w:val="000000"/>
        </w:rPr>
        <w:t>.</w:t>
      </w:r>
    </w:p>
    <w:p w14:paraId="11175B6A" w14:textId="22085C36" w:rsidR="000A55AE" w:rsidRDefault="000A55AE" w:rsidP="000A55AE">
      <w:pPr>
        <w:pStyle w:val="BodyTitle"/>
        <w:spacing w:after="0"/>
      </w:pPr>
    </w:p>
    <w:p w14:paraId="7E1F7287" w14:textId="312FA5DA" w:rsidR="00996E99" w:rsidRPr="00E663A3" w:rsidRDefault="00996E99" w:rsidP="00996E99">
      <w:pPr>
        <w:pStyle w:val="BodyTitle"/>
        <w:spacing w:after="0"/>
        <w:rPr>
          <w:i/>
          <w:u w:val="none"/>
        </w:rPr>
      </w:pPr>
      <w:r w:rsidRPr="00E663A3">
        <w:rPr>
          <w:i/>
          <w:u w:val="none"/>
        </w:rPr>
        <w:t xml:space="preserve">Series </w:t>
      </w:r>
      <w:r>
        <w:rPr>
          <w:i/>
          <w:u w:val="none"/>
        </w:rPr>
        <w:t>C</w:t>
      </w:r>
      <w:r w:rsidRPr="00E663A3">
        <w:rPr>
          <w:i/>
          <w:u w:val="none"/>
        </w:rPr>
        <w:t xml:space="preserve"> Preferred Stock</w:t>
      </w:r>
    </w:p>
    <w:p w14:paraId="35C6446E" w14:textId="123C0E60" w:rsidR="00996E99" w:rsidRDefault="00996E99" w:rsidP="000A55AE">
      <w:pPr>
        <w:pStyle w:val="BodyTitle"/>
        <w:spacing w:after="0"/>
      </w:pPr>
    </w:p>
    <w:p w14:paraId="44AA1DF7" w14:textId="74D57C46" w:rsidR="00411ACA" w:rsidRPr="008C287F" w:rsidRDefault="00411ACA" w:rsidP="00411ACA">
      <w:pPr>
        <w:pStyle w:val="BodyText"/>
        <w:spacing w:after="0"/>
      </w:pPr>
      <w:r>
        <w:t xml:space="preserve">During January and February 2019, 587 shares of our Series C Convertible Preferred Stock (“Series C Preferred Stock”) were converted into 78,280 shares of our common stock. </w:t>
      </w:r>
      <w:bookmarkStart w:id="21" w:name="_Hlk12880982"/>
      <w:r w:rsidR="007C20EB">
        <w:t>As discussed below, d</w:t>
      </w:r>
      <w:r w:rsidR="00B3171A">
        <w:t>uring February 2019, all remaining shares of Series C Preferred Stock (1,563 shares) were exchanged for Series F Preferred Stock</w:t>
      </w:r>
      <w:bookmarkEnd w:id="21"/>
      <w:r w:rsidRPr="008C287F">
        <w:t>.</w:t>
      </w:r>
    </w:p>
    <w:p w14:paraId="4D4C5F60" w14:textId="3EBAB913" w:rsidR="00411ACA" w:rsidRDefault="00411ACA" w:rsidP="00411ACA">
      <w:pPr>
        <w:pStyle w:val="BodyTitle"/>
        <w:spacing w:after="0"/>
      </w:pPr>
    </w:p>
    <w:p w14:paraId="410FA66D" w14:textId="6DD7C412" w:rsidR="00411ACA" w:rsidRPr="00E663A3" w:rsidRDefault="00411ACA" w:rsidP="00411ACA">
      <w:pPr>
        <w:pStyle w:val="BodyTitle"/>
        <w:spacing w:after="0"/>
        <w:rPr>
          <w:i/>
          <w:u w:val="none"/>
        </w:rPr>
      </w:pPr>
      <w:r w:rsidRPr="00E663A3">
        <w:rPr>
          <w:i/>
          <w:u w:val="none"/>
        </w:rPr>
        <w:t xml:space="preserve">Series </w:t>
      </w:r>
      <w:r w:rsidR="00B3171A">
        <w:rPr>
          <w:i/>
          <w:u w:val="none"/>
        </w:rPr>
        <w:t>E</w:t>
      </w:r>
      <w:r w:rsidRPr="00E663A3">
        <w:rPr>
          <w:i/>
          <w:u w:val="none"/>
        </w:rPr>
        <w:t xml:space="preserve"> Preferred Stock</w:t>
      </w:r>
    </w:p>
    <w:p w14:paraId="10706D1B" w14:textId="77777777" w:rsidR="00411ACA" w:rsidRDefault="00411ACA" w:rsidP="00411ACA">
      <w:pPr>
        <w:pStyle w:val="BodyTitle"/>
        <w:spacing w:after="0"/>
      </w:pPr>
    </w:p>
    <w:p w14:paraId="2823588D" w14:textId="2C30D05D" w:rsidR="00411ACA" w:rsidRPr="00B3171A" w:rsidRDefault="007C20EB" w:rsidP="00B3171A">
      <w:pPr>
        <w:rPr>
          <w:color w:val="000000"/>
        </w:rPr>
      </w:pPr>
      <w:bookmarkStart w:id="22" w:name="_Hlk2337917"/>
      <w:r>
        <w:t>Durin</w:t>
      </w:r>
      <w:r w:rsidRPr="008C287F">
        <w:t xml:space="preserve">g the </w:t>
      </w:r>
      <w:r>
        <w:t>nine-month period</w:t>
      </w:r>
      <w:r w:rsidRPr="008C287F">
        <w:t xml:space="preserve"> ended </w:t>
      </w:r>
      <w:r>
        <w:t>September</w:t>
      </w:r>
      <w:r w:rsidRPr="008C287F">
        <w:t> 3</w:t>
      </w:r>
      <w:r>
        <w:t>0</w:t>
      </w:r>
      <w:r w:rsidRPr="008C287F">
        <w:t xml:space="preserve">, </w:t>
      </w:r>
      <w:r>
        <w:t>2019</w:t>
      </w:r>
      <w:r w:rsidRPr="008C287F">
        <w:t xml:space="preserve">, there were no conversions involving our Series </w:t>
      </w:r>
      <w:r>
        <w:t>E</w:t>
      </w:r>
      <w:r w:rsidRPr="008C287F">
        <w:t xml:space="preserve"> </w:t>
      </w:r>
      <w:r>
        <w:t xml:space="preserve">Convertible </w:t>
      </w:r>
      <w:r w:rsidRPr="008C287F">
        <w:t>Preferred Stock</w:t>
      </w:r>
      <w:r>
        <w:t xml:space="preserve"> (“Series E Preferred Stock”)</w:t>
      </w:r>
      <w:r w:rsidRPr="008C287F">
        <w:t>.</w:t>
      </w:r>
      <w:r w:rsidRPr="00411ACA">
        <w:t xml:space="preserve"> </w:t>
      </w:r>
      <w:r>
        <w:t>As discussed below, d</w:t>
      </w:r>
      <w:r w:rsidR="00B3171A">
        <w:t xml:space="preserve">uring February 2019, all </w:t>
      </w:r>
      <w:r>
        <w:t>remaining</w:t>
      </w:r>
      <w:r w:rsidR="00B3171A">
        <w:t xml:space="preserve"> shares of Series E Preferred Stock (1,200 shares) were exchanged for Series F Preferred Stock. </w:t>
      </w:r>
      <w:bookmarkEnd w:id="22"/>
    </w:p>
    <w:p w14:paraId="2035E911" w14:textId="77777777" w:rsidR="00411ACA" w:rsidRPr="008C287F" w:rsidRDefault="00411ACA" w:rsidP="000A55AE">
      <w:pPr>
        <w:pStyle w:val="BodyTitle"/>
        <w:spacing w:after="0"/>
      </w:pPr>
    </w:p>
    <w:p w14:paraId="5CBBE2C9" w14:textId="59626799" w:rsidR="00E663A3" w:rsidRPr="008C287F" w:rsidRDefault="00E663A3" w:rsidP="00E663A3">
      <w:pPr>
        <w:suppressAutoHyphens/>
        <w:spacing w:line="240" w:lineRule="exact"/>
        <w:rPr>
          <w:rFonts w:ascii="CG Times (WN)" w:hAnsi="CG Times (WN)"/>
          <w:i/>
        </w:rPr>
      </w:pPr>
      <w:r w:rsidRPr="008C287F">
        <w:rPr>
          <w:rFonts w:ascii="CG Times (WN)" w:hAnsi="CG Times (WN)"/>
          <w:i/>
        </w:rPr>
        <w:t>Series F Preferred Stock</w:t>
      </w:r>
    </w:p>
    <w:p w14:paraId="2EF82298" w14:textId="77777777" w:rsidR="00E663A3" w:rsidRPr="008C287F" w:rsidRDefault="00E663A3" w:rsidP="00E663A3">
      <w:pPr>
        <w:suppressAutoHyphens/>
        <w:spacing w:line="240" w:lineRule="exact"/>
        <w:rPr>
          <w:rFonts w:ascii="CG Times (WN)" w:hAnsi="CG Times (WN)"/>
          <w:i/>
        </w:rPr>
      </w:pPr>
    </w:p>
    <w:p w14:paraId="19EFBD5F" w14:textId="5A87A0B2" w:rsidR="00E663A3" w:rsidRPr="00E663A3" w:rsidRDefault="00E663A3" w:rsidP="00B82733">
      <w:r w:rsidRPr="008C287F">
        <w:t xml:space="preserve">On February 18, 2019, we entered into Exchange Agreements with holders of our Series C and Series E Preferred Stock, pursuant to which the holders exchanged all shares of Series C and Series E Preferred Stock held by them for an aggregate of 2,763 shares of Series F Convertible Preferred Stock (“Series F Preferred Stock”). </w:t>
      </w:r>
      <w:bookmarkStart w:id="23" w:name="_Hlk2338354"/>
      <w:r w:rsidRPr="008C287F">
        <w:rPr>
          <w:color w:val="000000"/>
        </w:rPr>
        <w:t xml:space="preserve">Each share of Series F Preferred Stock is entitled to a liquidation preference equal to its </w:t>
      </w:r>
      <w:r w:rsidR="003D3EA8" w:rsidRPr="008C287F">
        <w:rPr>
          <w:color w:val="000000"/>
        </w:rPr>
        <w:t xml:space="preserve">$1,000 </w:t>
      </w:r>
      <w:r w:rsidRPr="008C287F">
        <w:rPr>
          <w:color w:val="000000"/>
        </w:rPr>
        <w:t xml:space="preserve">stated value, has no voting rights, and is not entitled to a dividend. The Series F Preferred Stock is convertible at any time at the option of the holders into shares of our common stock, at a conversion price </w:t>
      </w:r>
      <w:r w:rsidRPr="008C287F">
        <w:t>equal to the lesser of (i) $</w:t>
      </w:r>
      <w:r w:rsidR="00D90BE6" w:rsidRPr="008C287F">
        <w:t>7.50</w:t>
      </w:r>
      <w:r w:rsidRPr="008C287F">
        <w:t xml:space="preserve"> per share</w:t>
      </w:r>
      <w:r w:rsidRPr="00E663A3">
        <w:t xml:space="preserve"> and (ii) 90% of the volume weighted average price of the </w:t>
      </w:r>
      <w:r w:rsidR="00DC7213">
        <w:t>c</w:t>
      </w:r>
      <w:r w:rsidRPr="00E663A3">
        <w:t xml:space="preserve">ommon </w:t>
      </w:r>
      <w:r w:rsidR="00DC7213">
        <w:t>s</w:t>
      </w:r>
      <w:r w:rsidRPr="00E663A3">
        <w:t>tock immediately preceding the delivery of a notice of conversion</w:t>
      </w:r>
      <w:r w:rsidRPr="00E663A3">
        <w:rPr>
          <w:color w:val="000000"/>
        </w:rPr>
        <w:t xml:space="preserve">. The Series F Preferred </w:t>
      </w:r>
      <w:r w:rsidR="00BE61F2">
        <w:rPr>
          <w:color w:val="000000"/>
        </w:rPr>
        <w:t>Stock</w:t>
      </w:r>
      <w:r w:rsidRPr="00E663A3">
        <w:rPr>
          <w:color w:val="000000"/>
        </w:rPr>
        <w:t xml:space="preserve"> contains price adjustment provisions, which may, under certain circumstances reduce the conversion price to match if we sell or grant options to purchase, including rights to reprice, our common stock or common stock equivalents at a price lower than the then conversion price of the Series F Preferred Stock.</w:t>
      </w:r>
      <w:r w:rsidRPr="00E663A3">
        <w:t xml:space="preserve"> </w:t>
      </w:r>
      <w:bookmarkStart w:id="24" w:name="_Hlk12882194"/>
      <w:bookmarkEnd w:id="23"/>
      <w:r w:rsidR="00C914D8">
        <w:t xml:space="preserve">During </w:t>
      </w:r>
      <w:r w:rsidR="00B3171A">
        <w:t xml:space="preserve">the three-month and </w:t>
      </w:r>
      <w:r w:rsidR="004C72B5">
        <w:t>nine</w:t>
      </w:r>
      <w:r w:rsidR="00B3171A">
        <w:t>-month</w:t>
      </w:r>
      <w:r w:rsidR="00C914D8">
        <w:t xml:space="preserve"> </w:t>
      </w:r>
      <w:r w:rsidR="00B3171A">
        <w:t xml:space="preserve">periods ending </w:t>
      </w:r>
      <w:r w:rsidR="00DF7B28">
        <w:t>September</w:t>
      </w:r>
      <w:r w:rsidR="00B3171A">
        <w:t xml:space="preserve"> 30, 2019</w:t>
      </w:r>
      <w:r w:rsidR="00C914D8">
        <w:t xml:space="preserve">, </w:t>
      </w:r>
      <w:r w:rsidR="00DF7B28">
        <w:t>46</w:t>
      </w:r>
      <w:r w:rsidR="00B3171A">
        <w:t xml:space="preserve"> and </w:t>
      </w:r>
      <w:r w:rsidR="00DF7B28">
        <w:t>507</w:t>
      </w:r>
      <w:r w:rsidR="00C914D8">
        <w:t xml:space="preserve"> shares</w:t>
      </w:r>
      <w:r w:rsidR="00B3171A">
        <w:t>, respectively,</w:t>
      </w:r>
      <w:r w:rsidR="00C914D8">
        <w:t xml:space="preserve"> of Series F Preferred Stock </w:t>
      </w:r>
      <w:r w:rsidR="00B3171A">
        <w:t xml:space="preserve">were converted </w:t>
      </w:r>
      <w:r w:rsidR="00C914D8">
        <w:t xml:space="preserve">into </w:t>
      </w:r>
      <w:r w:rsidR="00DF7B28">
        <w:t>88,400</w:t>
      </w:r>
      <w:r w:rsidR="007D1555">
        <w:t xml:space="preserve"> and </w:t>
      </w:r>
      <w:r w:rsidR="00DF7B28">
        <w:t>381,700</w:t>
      </w:r>
      <w:r w:rsidR="00C914D8">
        <w:t xml:space="preserve"> shares</w:t>
      </w:r>
      <w:r w:rsidR="007D1555">
        <w:t>, respectively,</w:t>
      </w:r>
      <w:r w:rsidR="00C914D8">
        <w:t xml:space="preserve"> of our common stock. </w:t>
      </w:r>
      <w:r w:rsidR="007C20EB">
        <w:t>As discussed below, d</w:t>
      </w:r>
      <w:r w:rsidR="00DF7B28">
        <w:t>uring July 2019, all remaining shares of Series F Preferred Stock (2,256 shares) were exchanged for Series H Preferred Stock</w:t>
      </w:r>
      <w:r w:rsidR="00DF7B28" w:rsidRPr="008C287F">
        <w:t>.</w:t>
      </w:r>
    </w:p>
    <w:bookmarkEnd w:id="24"/>
    <w:p w14:paraId="535F2664" w14:textId="0450A55F" w:rsidR="00E663A3" w:rsidRPr="00E663A3" w:rsidRDefault="00E663A3" w:rsidP="000A55AE">
      <w:pPr>
        <w:pStyle w:val="BodyTitle"/>
        <w:spacing w:after="0"/>
        <w:rPr>
          <w:u w:val="none"/>
        </w:rPr>
      </w:pPr>
    </w:p>
    <w:p w14:paraId="77689AC6" w14:textId="68881626" w:rsidR="00C914D8" w:rsidRPr="00C914D8" w:rsidRDefault="00C914D8" w:rsidP="00C914D8">
      <w:pPr>
        <w:suppressAutoHyphens/>
        <w:spacing w:line="240" w:lineRule="exact"/>
        <w:rPr>
          <w:i/>
        </w:rPr>
      </w:pPr>
      <w:bookmarkStart w:id="25" w:name="_Hlk22058462"/>
      <w:r w:rsidRPr="00C914D8">
        <w:rPr>
          <w:i/>
        </w:rPr>
        <w:t>Series G Preferred Stock</w:t>
      </w:r>
    </w:p>
    <w:bookmarkEnd w:id="25"/>
    <w:p w14:paraId="0306A3AE" w14:textId="77777777" w:rsidR="00C914D8" w:rsidRPr="00C914D8" w:rsidRDefault="00C914D8" w:rsidP="00C914D8">
      <w:pPr>
        <w:suppressAutoHyphens/>
        <w:spacing w:line="240" w:lineRule="exact"/>
      </w:pPr>
    </w:p>
    <w:p w14:paraId="5D7D2F1B" w14:textId="06676351" w:rsidR="005E3D8A" w:rsidRPr="008C287F" w:rsidRDefault="00C914D8" w:rsidP="00B82733">
      <w:bookmarkStart w:id="26" w:name="_Hlk6492391"/>
      <w:r w:rsidRPr="00C914D8">
        <w:t xml:space="preserve">On February 25, 2019, we entered into a Securities Purchase Agreement with the purchasers identified therein (the “Purchasers”) providing for sale to the Purchasers of an aggregate of up to 1,000 shares of our Series G Convertible Preferred Stock (“Series G Preferred Stock”) and related warrants for gross proceeds of up to $1.0 million, </w:t>
      </w:r>
      <w:r w:rsidR="003A1B5B">
        <w:t>which was</w:t>
      </w:r>
      <w:r w:rsidRPr="008C287F">
        <w:t xml:space="preserve"> funded at three different closings.  </w:t>
      </w:r>
      <w:r w:rsidR="005E3D8A" w:rsidRPr="008C287F">
        <w:rPr>
          <w:color w:val="000000"/>
        </w:rPr>
        <w:t xml:space="preserve">Each share of Series G Preferred Stock is entitled to a liquidation preference equal to its $1,000 stated value, has no voting rights, and is not entitled to a dividend. The Series G Preferred Stock is convertible at any time at the option of the holders into shares of our common stock, at a conversion price </w:t>
      </w:r>
      <w:r w:rsidR="005E3D8A" w:rsidRPr="008C287F">
        <w:rPr>
          <w:rFonts w:ascii="CG Times (WN)" w:hAnsi="CG Times (WN)"/>
        </w:rPr>
        <w:t>equal to the lesser of (i) $</w:t>
      </w:r>
      <w:r w:rsidR="00D90BE6" w:rsidRPr="008C287F">
        <w:rPr>
          <w:rFonts w:ascii="CG Times (WN)" w:hAnsi="CG Times (WN)"/>
        </w:rPr>
        <w:t>7.50</w:t>
      </w:r>
      <w:r w:rsidR="005E3D8A" w:rsidRPr="008C287F">
        <w:rPr>
          <w:rFonts w:ascii="CG Times (WN)" w:hAnsi="CG Times (WN)"/>
        </w:rPr>
        <w:t xml:space="preserve"> per share and (ii) 90% of the volume weighted average price of the common stock immediately preceding the delivery of a notice of conversion</w:t>
      </w:r>
      <w:r w:rsidR="005E3D8A" w:rsidRPr="008C287F">
        <w:rPr>
          <w:color w:val="000000"/>
        </w:rPr>
        <w:t>. The Series G Preferred Stock contains price adjustment provisions, which may, under certain circumstances reduce the conversion price to match if we sell or grant options to purchase, including rights to reprice, our common stock or common stock equivalents at a price lower than the then conversion price of the Series G Preferred Stock.</w:t>
      </w:r>
    </w:p>
    <w:p w14:paraId="213D8DB2" w14:textId="77777777" w:rsidR="005E3D8A" w:rsidRPr="008C287F" w:rsidRDefault="005E3D8A" w:rsidP="00C914D8">
      <w:pPr>
        <w:jc w:val="both"/>
      </w:pPr>
    </w:p>
    <w:p w14:paraId="3F57A133" w14:textId="0A1247AE" w:rsidR="00A218AC" w:rsidRDefault="00C914D8" w:rsidP="00B82733">
      <w:r w:rsidRPr="008C287F">
        <w:lastRenderedPageBreak/>
        <w:t>At the first closing, which occurred on February 26, 2019, we issued 500 shares of Series G Preferred Stock in exchange for the payment by the Purchasers of $250,000 in the aggregate, plus the cancellation of Term Notes</w:t>
      </w:r>
      <w:r w:rsidR="00C91073" w:rsidRPr="008C287F">
        <w:t xml:space="preserve"> held by the Purchasers</w:t>
      </w:r>
      <w:r w:rsidRPr="008C287F">
        <w:t xml:space="preserve"> (see Note </w:t>
      </w:r>
      <w:r w:rsidR="00C91073" w:rsidRPr="008C287F">
        <w:t>7</w:t>
      </w:r>
      <w:r w:rsidRPr="008C287F">
        <w:t xml:space="preserve">) in the amount of $250,000.  </w:t>
      </w:r>
      <w:r w:rsidR="005E3D8A" w:rsidRPr="008C287F">
        <w:t xml:space="preserve">At the first closing we also issued </w:t>
      </w:r>
      <w:r w:rsidR="001A5175">
        <w:t>w</w:t>
      </w:r>
      <w:r w:rsidR="005E3D8A" w:rsidRPr="008C287F">
        <w:t xml:space="preserve">arrants to purchase an aggregate of </w:t>
      </w:r>
      <w:r w:rsidR="00D90BE6" w:rsidRPr="008C287F">
        <w:t>33,334</w:t>
      </w:r>
      <w:r w:rsidR="005E3D8A" w:rsidRPr="008C287F">
        <w:t xml:space="preserve"> shares of our common stock. </w:t>
      </w:r>
      <w:r w:rsidR="005E3D8A" w:rsidRPr="008C287F">
        <w:rPr>
          <w:color w:val="000000"/>
        </w:rPr>
        <w:t xml:space="preserve">The warrants have an </w:t>
      </w:r>
      <w:r w:rsidR="006E60BB">
        <w:rPr>
          <w:color w:val="000000"/>
        </w:rPr>
        <w:t xml:space="preserve">initial </w:t>
      </w:r>
      <w:r w:rsidR="005E3D8A" w:rsidRPr="008C287F">
        <w:rPr>
          <w:color w:val="000000"/>
        </w:rPr>
        <w:t>exercise price of $</w:t>
      </w:r>
      <w:r w:rsidR="00D90BE6" w:rsidRPr="008C287F">
        <w:rPr>
          <w:color w:val="000000"/>
        </w:rPr>
        <w:t>7.50</w:t>
      </w:r>
      <w:r w:rsidR="005E3D8A" w:rsidRPr="008C287F">
        <w:rPr>
          <w:color w:val="000000"/>
        </w:rPr>
        <w:t xml:space="preserve"> per share, </w:t>
      </w:r>
      <w:r w:rsidR="005E3D8A" w:rsidRPr="008C287F">
        <w:t>are exercisable six months from the issuance date, and have a term of exercise equal to five years from the date they first become exercisable</w:t>
      </w:r>
      <w:r w:rsidR="005E3D8A" w:rsidRPr="008C287F">
        <w:rPr>
          <w:color w:val="000000"/>
        </w:rPr>
        <w:t>. The warrants contain anti-dilution and price adjustment provisions, which may, under certain circumstances</w:t>
      </w:r>
      <w:r w:rsidR="005E3D8A" w:rsidRPr="00C914D8">
        <w:rPr>
          <w:color w:val="000000"/>
        </w:rPr>
        <w:t xml:space="preserve"> reduce the exercise price to match if we sell or grant options to purchase, including rights to reprice, our common stock or common stock equivalents at a price lower than the then exercise price of the warrants</w:t>
      </w:r>
      <w:r w:rsidR="005E3D8A">
        <w:rPr>
          <w:color w:val="000000"/>
        </w:rPr>
        <w:t xml:space="preserve">; in the event of such adjustment, </w:t>
      </w:r>
      <w:r w:rsidR="005E3D8A">
        <w:t>t</w:t>
      </w:r>
      <w:r w:rsidR="005E3D8A" w:rsidRPr="00C914D8">
        <w:t xml:space="preserve">he number of shares subject to the warrants will also increase so that the aggregate exercise price remains the same for each warrant.  </w:t>
      </w:r>
      <w:r w:rsidR="00A218AC" w:rsidRPr="008C287F">
        <w:t xml:space="preserve">At the </w:t>
      </w:r>
      <w:r w:rsidR="00A218AC">
        <w:t>second</w:t>
      </w:r>
      <w:r w:rsidR="00A218AC" w:rsidRPr="008C287F">
        <w:t xml:space="preserve"> </w:t>
      </w:r>
      <w:r w:rsidR="009A45A4">
        <w:t xml:space="preserve">and third </w:t>
      </w:r>
      <w:r w:rsidR="00A218AC" w:rsidRPr="008C287F">
        <w:t>closing</w:t>
      </w:r>
      <w:r w:rsidR="009A45A4">
        <w:t>s</w:t>
      </w:r>
      <w:r w:rsidR="00A218AC" w:rsidRPr="008C287F">
        <w:t xml:space="preserve">, which occurred on </w:t>
      </w:r>
      <w:r w:rsidR="00A218AC">
        <w:t>April</w:t>
      </w:r>
      <w:r w:rsidR="00A218AC" w:rsidRPr="008C287F">
        <w:t xml:space="preserve"> </w:t>
      </w:r>
      <w:r w:rsidR="009A45A4">
        <w:t>26 and June 19</w:t>
      </w:r>
      <w:r w:rsidR="00A218AC" w:rsidRPr="008C287F">
        <w:t xml:space="preserve">, 2019, we issued </w:t>
      </w:r>
      <w:r w:rsidR="009A45A4">
        <w:t>an aggregate of 500</w:t>
      </w:r>
      <w:r w:rsidR="00A218AC" w:rsidRPr="008C287F">
        <w:t xml:space="preserve"> </w:t>
      </w:r>
      <w:r w:rsidR="009A45A4">
        <w:t xml:space="preserve">additional </w:t>
      </w:r>
      <w:r w:rsidR="00A218AC" w:rsidRPr="008C287F">
        <w:t xml:space="preserve">shares of Series G Preferred Stock in exchange for the payment by the Purchasers of </w:t>
      </w:r>
      <w:r w:rsidR="009A45A4">
        <w:t xml:space="preserve">a total of </w:t>
      </w:r>
      <w:r w:rsidR="00A218AC" w:rsidRPr="008C287F">
        <w:t>$</w:t>
      </w:r>
      <w:r w:rsidR="009A45A4">
        <w:t>500</w:t>
      </w:r>
      <w:r w:rsidR="00A218AC" w:rsidRPr="008C287F">
        <w:t xml:space="preserve">,000.  </w:t>
      </w:r>
      <w:r w:rsidR="00A218AC">
        <w:t>W</w:t>
      </w:r>
      <w:r w:rsidR="00A218AC" w:rsidRPr="008C287F">
        <w:t xml:space="preserve">e also issued the Purchasers </w:t>
      </w:r>
      <w:r w:rsidR="001A5175">
        <w:t>w</w:t>
      </w:r>
      <w:r w:rsidR="00A218AC" w:rsidRPr="008C287F">
        <w:t xml:space="preserve">arrants to purchase an aggregate of </w:t>
      </w:r>
      <w:r w:rsidR="009A45A4">
        <w:t>66,668</w:t>
      </w:r>
      <w:r w:rsidR="00A218AC" w:rsidRPr="008C287F">
        <w:t xml:space="preserve"> shares of our common stock. </w:t>
      </w:r>
      <w:r w:rsidR="00AC0C13">
        <w:t>As discussed below, d</w:t>
      </w:r>
      <w:r w:rsidR="00DF7B28">
        <w:t>uring July 2019, all of the then-outstanding shares of Series G Preferred Stock (1,000 shares) were exchanged for Series H Preferred Stock</w:t>
      </w:r>
      <w:r w:rsidR="00DF7B28" w:rsidRPr="008C287F">
        <w:t>.</w:t>
      </w:r>
    </w:p>
    <w:bookmarkEnd w:id="26"/>
    <w:p w14:paraId="30620AB1" w14:textId="788E5C67" w:rsidR="000A55AE" w:rsidRDefault="000A55AE" w:rsidP="000A55AE">
      <w:pPr>
        <w:rPr>
          <w:color w:val="000000"/>
        </w:rPr>
      </w:pPr>
    </w:p>
    <w:p w14:paraId="09CC75D8" w14:textId="06785BF3" w:rsidR="00DF7B28" w:rsidRPr="006B494F" w:rsidRDefault="00DF7B28" w:rsidP="00DF7B28">
      <w:pPr>
        <w:suppressAutoHyphens/>
        <w:spacing w:line="240" w:lineRule="exact"/>
        <w:rPr>
          <w:i/>
        </w:rPr>
      </w:pPr>
      <w:r w:rsidRPr="006B494F">
        <w:rPr>
          <w:i/>
        </w:rPr>
        <w:t>Series H Preferred Stock</w:t>
      </w:r>
    </w:p>
    <w:p w14:paraId="087BCE10" w14:textId="686EC3F0" w:rsidR="00DF7B28" w:rsidRPr="006B494F" w:rsidRDefault="00DF7B28" w:rsidP="000A55AE">
      <w:pPr>
        <w:rPr>
          <w:color w:val="000000"/>
        </w:rPr>
      </w:pPr>
    </w:p>
    <w:p w14:paraId="7C5FC924" w14:textId="59E9B7D9" w:rsidR="00B021D7" w:rsidRDefault="00B021D7" w:rsidP="000A55AE">
      <w:pPr>
        <w:rPr>
          <w:color w:val="000000"/>
        </w:rPr>
      </w:pPr>
      <w:r w:rsidRPr="006B494F">
        <w:t xml:space="preserve">On July </w:t>
      </w:r>
      <w:r w:rsidR="006B494F" w:rsidRPr="006B494F">
        <w:t>16</w:t>
      </w:r>
      <w:r w:rsidRPr="006B494F">
        <w:t xml:space="preserve">, 2019, we entered into Exchange Agreements with holders of our Series F and Series G Preferred Stock, pursuant to which the holders exchanged all shares of Series F and Series G Preferred Stock held by them for an aggregate of 3,256 shares of Series H Convertible Preferred Stock (“Series H Preferred Stock”). </w:t>
      </w:r>
      <w:r w:rsidRPr="006B494F">
        <w:rPr>
          <w:color w:val="000000"/>
        </w:rPr>
        <w:t xml:space="preserve">Each share of Series H Preferred Stock is entitled to a liquidation preference equal to its $1,000 stated value, has no voting rights, and is not entitled to a dividend. The Series H Preferred Stock is convertible at any time at the option of the holders into shares of our common stock, at a conversion price </w:t>
      </w:r>
      <w:r w:rsidRPr="006B494F">
        <w:t xml:space="preserve">equal to the lesser of (i) $7.50 per share and (ii) </w:t>
      </w:r>
      <w:r w:rsidR="006B494F" w:rsidRPr="006B494F">
        <w:t xml:space="preserve">80% of the lowest volume weighted average price of the Common Stock during the ten trading days immediately preceding the delivery of a notice of conversion. </w:t>
      </w:r>
      <w:r w:rsidRPr="006B494F">
        <w:rPr>
          <w:color w:val="000000"/>
        </w:rPr>
        <w:t>The Series H Preferred Stock contains price adjustment provisions, which may, under certain circumstances reduce the conversion price to match if we sell or grant options to purchase, including rights to reprice, our common stock or common stock equivalents at a price lower than the then conversion price of the Series H Preferred Stock.</w:t>
      </w:r>
      <w:r w:rsidRPr="006B494F">
        <w:t xml:space="preserve"> During the three-month</w:t>
      </w:r>
      <w:r>
        <w:t xml:space="preserve"> period ending September 30, 2019, 1,002 shares of Series H Preferred Stock were converted into 94,6</w:t>
      </w:r>
      <w:r w:rsidR="008A07EA">
        <w:t>8</w:t>
      </w:r>
      <w:r>
        <w:t xml:space="preserve">7,441 shares of our common stock. </w:t>
      </w:r>
      <w:bookmarkStart w:id="27" w:name="_Hlk22117370"/>
      <w:r>
        <w:t xml:space="preserve">As of September 30, 2019, there are 2,254 shares of our Series H Preferred Stock outstanding, which </w:t>
      </w:r>
      <w:r w:rsidRPr="008C287F">
        <w:rPr>
          <w:color w:val="000000"/>
        </w:rPr>
        <w:t xml:space="preserve">may be converted at any time at the option of the holder into shares of our common stock at a conversion price </w:t>
      </w:r>
      <w:r>
        <w:rPr>
          <w:color w:val="000000"/>
        </w:rPr>
        <w:t>determined based on the calculation described above</w:t>
      </w:r>
      <w:bookmarkEnd w:id="27"/>
      <w:r>
        <w:rPr>
          <w:color w:val="000000"/>
        </w:rPr>
        <w:t>.</w:t>
      </w:r>
    </w:p>
    <w:p w14:paraId="7DB4CA23" w14:textId="77777777" w:rsidR="00DF7B28" w:rsidRDefault="00DF7B28" w:rsidP="000A55AE">
      <w:pPr>
        <w:rPr>
          <w:color w:val="000000"/>
        </w:rPr>
      </w:pPr>
    </w:p>
    <w:p w14:paraId="3FFF8316" w14:textId="1A935E93" w:rsidR="00DF7B28" w:rsidRPr="00C914D8" w:rsidRDefault="00DF7B28" w:rsidP="00DF7B28">
      <w:pPr>
        <w:suppressAutoHyphens/>
        <w:spacing w:line="240" w:lineRule="exact"/>
        <w:rPr>
          <w:i/>
        </w:rPr>
      </w:pPr>
      <w:r w:rsidRPr="008A07EA">
        <w:rPr>
          <w:i/>
        </w:rPr>
        <w:t>Series I Preferred Stock</w:t>
      </w:r>
    </w:p>
    <w:p w14:paraId="6F16413E" w14:textId="43D1DCC9" w:rsidR="00DF7B28" w:rsidRDefault="00DF7B28" w:rsidP="000A55AE">
      <w:pPr>
        <w:rPr>
          <w:color w:val="000000"/>
        </w:rPr>
      </w:pPr>
    </w:p>
    <w:p w14:paraId="0867AEE2" w14:textId="6802C12F" w:rsidR="008A07EA" w:rsidRPr="008C287F" w:rsidRDefault="008A07EA" w:rsidP="008A07EA">
      <w:r w:rsidRPr="00C914D8">
        <w:t xml:space="preserve">On </w:t>
      </w:r>
      <w:r>
        <w:t>July</w:t>
      </w:r>
      <w:r w:rsidRPr="00C914D8">
        <w:t xml:space="preserve"> 2</w:t>
      </w:r>
      <w:r>
        <w:t>4</w:t>
      </w:r>
      <w:r w:rsidRPr="00C914D8">
        <w:t xml:space="preserve">, 2019, we entered into a Securities Purchase Agreement with the purchasers identified therein (the “Purchasers”) providing for sale to the Purchasers of an aggregate of </w:t>
      </w:r>
      <w:r>
        <w:t>700</w:t>
      </w:r>
      <w:r w:rsidRPr="00C914D8">
        <w:t xml:space="preserve"> shares of our Series </w:t>
      </w:r>
      <w:r>
        <w:t>I</w:t>
      </w:r>
      <w:r w:rsidRPr="00C914D8">
        <w:t xml:space="preserve"> Convertible Preferred Stock (“Series </w:t>
      </w:r>
      <w:r>
        <w:t>I</w:t>
      </w:r>
      <w:r w:rsidRPr="00C914D8">
        <w:t xml:space="preserve"> Preferred Stock”) for gross proceeds of </w:t>
      </w:r>
      <w:r>
        <w:t>$700,000</w:t>
      </w:r>
      <w:r w:rsidRPr="008C287F">
        <w:t xml:space="preserve">.  </w:t>
      </w:r>
      <w:r w:rsidRPr="008C287F">
        <w:rPr>
          <w:color w:val="000000"/>
        </w:rPr>
        <w:t xml:space="preserve">Each share of Series </w:t>
      </w:r>
      <w:r>
        <w:rPr>
          <w:color w:val="000000"/>
        </w:rPr>
        <w:t>I</w:t>
      </w:r>
      <w:r w:rsidRPr="008C287F">
        <w:rPr>
          <w:color w:val="000000"/>
        </w:rPr>
        <w:t xml:space="preserve"> Preferred Stock is entitled to a liquidation preference equal to its $1,000 stated value, has no voting rights, and is not entitled to a dividend. The Series </w:t>
      </w:r>
      <w:r>
        <w:rPr>
          <w:color w:val="000000"/>
        </w:rPr>
        <w:t>I</w:t>
      </w:r>
      <w:r w:rsidRPr="008C287F">
        <w:rPr>
          <w:color w:val="000000"/>
        </w:rPr>
        <w:t xml:space="preserve"> Preferred Stock is convertible at any time at the option of the holders into shares of our common stock, at a conversion price </w:t>
      </w:r>
      <w:r w:rsidRPr="008C287F">
        <w:rPr>
          <w:rFonts w:ascii="CG Times (WN)" w:hAnsi="CG Times (WN)"/>
        </w:rPr>
        <w:t xml:space="preserve">equal to the lesser of (i) $7.50 per share and (ii) </w:t>
      </w:r>
      <w:r w:rsidRPr="006B494F">
        <w:t>80% of the lowest volume weighted average price of the Common Stock during the ten trading days immediately preceding the delivery of a notice of conversion</w:t>
      </w:r>
      <w:r w:rsidRPr="008C287F">
        <w:rPr>
          <w:color w:val="000000"/>
        </w:rPr>
        <w:t xml:space="preserve">. The Series </w:t>
      </w:r>
      <w:r>
        <w:rPr>
          <w:color w:val="000000"/>
        </w:rPr>
        <w:t>I</w:t>
      </w:r>
      <w:r w:rsidRPr="008C287F">
        <w:rPr>
          <w:color w:val="000000"/>
        </w:rPr>
        <w:t xml:space="preserve"> Preferred Stock contains price adjustment provisions, which may, under certain circumstances reduce the conversion price to match if we sell or grant options to purchase, including rights to reprice, our common stock or common stock equivalents at a price lower than the then conversion price of the Series </w:t>
      </w:r>
      <w:r>
        <w:rPr>
          <w:color w:val="000000"/>
        </w:rPr>
        <w:t>I</w:t>
      </w:r>
      <w:r w:rsidRPr="008C287F">
        <w:rPr>
          <w:color w:val="000000"/>
        </w:rPr>
        <w:t xml:space="preserve"> Preferred Stock.</w:t>
      </w:r>
      <w:r w:rsidRPr="008A07EA">
        <w:t xml:space="preserve"> </w:t>
      </w:r>
      <w:r>
        <w:t>Durin</w:t>
      </w:r>
      <w:r w:rsidRPr="008C287F">
        <w:t>g the three</w:t>
      </w:r>
      <w:r>
        <w:t>-</w:t>
      </w:r>
      <w:r w:rsidRPr="008C287F">
        <w:t>month</w:t>
      </w:r>
      <w:r>
        <w:t xml:space="preserve"> period</w:t>
      </w:r>
      <w:r w:rsidRPr="008C287F">
        <w:t xml:space="preserve"> ended </w:t>
      </w:r>
      <w:r>
        <w:t>September</w:t>
      </w:r>
      <w:r w:rsidRPr="008C287F">
        <w:t> 3</w:t>
      </w:r>
      <w:r>
        <w:t>0</w:t>
      </w:r>
      <w:r w:rsidRPr="008C287F">
        <w:t xml:space="preserve">, </w:t>
      </w:r>
      <w:r>
        <w:t>2019</w:t>
      </w:r>
      <w:r w:rsidRPr="008C287F">
        <w:t xml:space="preserve">, there were no conversions involving our Series </w:t>
      </w:r>
      <w:r>
        <w:t>I</w:t>
      </w:r>
      <w:r w:rsidRPr="008C287F">
        <w:t xml:space="preserve"> Preferred </w:t>
      </w:r>
      <w:r>
        <w:t>Stock.</w:t>
      </w:r>
      <w:r w:rsidRPr="008A07EA">
        <w:t xml:space="preserve"> </w:t>
      </w:r>
      <w:r>
        <w:t xml:space="preserve">As of September 30, 2019, there are 700 shares of our Series I Preferred Stock outstanding, which </w:t>
      </w:r>
      <w:r w:rsidRPr="008C287F">
        <w:rPr>
          <w:color w:val="000000"/>
        </w:rPr>
        <w:t xml:space="preserve">may be converted at any time at the option of the holder into shares of our common stock at a conversion price </w:t>
      </w:r>
      <w:r>
        <w:rPr>
          <w:color w:val="000000"/>
        </w:rPr>
        <w:t>determined based on the calculation described above</w:t>
      </w:r>
    </w:p>
    <w:p w14:paraId="0FD691A0" w14:textId="77777777" w:rsidR="00900AF3" w:rsidRDefault="00900AF3" w:rsidP="000A55AE">
      <w:pPr>
        <w:rPr>
          <w:color w:val="000000"/>
        </w:rPr>
      </w:pPr>
    </w:p>
    <w:p w14:paraId="59AD7C7F" w14:textId="124616FB" w:rsidR="001A5175" w:rsidRDefault="001A5175" w:rsidP="001A5175">
      <w:pPr>
        <w:pStyle w:val="ListNumbering"/>
        <w:spacing w:after="0"/>
      </w:pPr>
      <w:r w:rsidRPr="006A28B2">
        <w:t>10.</w:t>
      </w:r>
      <w:r w:rsidRPr="006A28B2">
        <w:tab/>
        <w:t>Common Stock and Stock-Based Compensation</w:t>
      </w:r>
    </w:p>
    <w:p w14:paraId="1DFF91C6" w14:textId="70880C7A" w:rsidR="001A5175" w:rsidRDefault="001A5175" w:rsidP="000A55AE">
      <w:pPr>
        <w:rPr>
          <w:color w:val="000000"/>
        </w:rPr>
      </w:pPr>
    </w:p>
    <w:p w14:paraId="18C00FC0" w14:textId="77777777" w:rsidR="00F75B47" w:rsidRPr="00C372FB" w:rsidRDefault="00F75B47" w:rsidP="00F75B47">
      <w:pPr>
        <w:pStyle w:val="BodyText"/>
        <w:spacing w:after="0"/>
        <w:rPr>
          <w:i/>
        </w:rPr>
      </w:pPr>
      <w:r w:rsidRPr="00C372FB">
        <w:rPr>
          <w:i/>
        </w:rPr>
        <w:t>Reverse Stock Split</w:t>
      </w:r>
    </w:p>
    <w:p w14:paraId="1B28F24C" w14:textId="77777777" w:rsidR="00F75B47" w:rsidRDefault="00F75B47" w:rsidP="00F75B47">
      <w:pPr>
        <w:pStyle w:val="BodyText"/>
        <w:spacing w:after="0"/>
      </w:pPr>
    </w:p>
    <w:p w14:paraId="0CE41445" w14:textId="385659F0" w:rsidR="00F75B47" w:rsidRDefault="00F75B47" w:rsidP="00F75B47">
      <w:pPr>
        <w:pStyle w:val="BodyText"/>
        <w:spacing w:after="0"/>
      </w:pPr>
      <w:r>
        <w:t>Following approval by our shareholders at a meeting held on April 1</w:t>
      </w:r>
      <w:r w:rsidR="000664F5">
        <w:t>5</w:t>
      </w:r>
      <w:r>
        <w:t>, 2019, on April 30, 2019, we effected a one-for-five hundred reverse split of our common stock by the filing of an amendment to our certificate of incorporation with the State of Delaware.  All share and per share information in our condensed consolidated financial statements and notes that relate to our common stock has been retroactively restated to reflect the reverse stock split.</w:t>
      </w:r>
    </w:p>
    <w:p w14:paraId="3414B066" w14:textId="77777777" w:rsidR="00F75B47" w:rsidRPr="008B66A9" w:rsidRDefault="00F75B47" w:rsidP="000A55AE">
      <w:pPr>
        <w:rPr>
          <w:color w:val="000000"/>
        </w:rPr>
      </w:pPr>
    </w:p>
    <w:p w14:paraId="199A20A5" w14:textId="77777777" w:rsidR="003A1B5B" w:rsidRDefault="003A1B5B">
      <w:pPr>
        <w:rPr>
          <w:rFonts w:eastAsia="????"/>
          <w:i/>
        </w:rPr>
      </w:pPr>
      <w:r>
        <w:rPr>
          <w:i/>
        </w:rPr>
        <w:br w:type="page"/>
      </w:r>
    </w:p>
    <w:p w14:paraId="4BF608A6" w14:textId="4CBA13E5" w:rsidR="00881E20" w:rsidRPr="00DB1C8D" w:rsidRDefault="00881E20" w:rsidP="000A55AE">
      <w:pPr>
        <w:pStyle w:val="BodyTitle"/>
        <w:spacing w:after="0"/>
        <w:rPr>
          <w:i/>
          <w:u w:val="none"/>
        </w:rPr>
      </w:pPr>
      <w:r w:rsidRPr="00DB1C8D">
        <w:rPr>
          <w:i/>
          <w:u w:val="none"/>
        </w:rPr>
        <w:lastRenderedPageBreak/>
        <w:t>Common Stock Transactions</w:t>
      </w:r>
    </w:p>
    <w:p w14:paraId="3AB0D953" w14:textId="77777777" w:rsidR="001E78A9" w:rsidRDefault="001E78A9" w:rsidP="000A55AE">
      <w:pPr>
        <w:pStyle w:val="BodyText"/>
        <w:spacing w:after="0"/>
      </w:pPr>
    </w:p>
    <w:p w14:paraId="2297AC4C" w14:textId="54A1ABD9" w:rsidR="000A55AE" w:rsidRDefault="00DB1C8D" w:rsidP="0093535A">
      <w:pPr>
        <w:pStyle w:val="BodyText"/>
        <w:spacing w:after="0"/>
      </w:pPr>
      <w:r>
        <w:t xml:space="preserve">As discussed </w:t>
      </w:r>
      <w:r w:rsidR="000664F5">
        <w:t>in Note 9</w:t>
      </w:r>
      <w:r>
        <w:t>, d</w:t>
      </w:r>
      <w:r w:rsidR="0093535A">
        <w:t>uring</w:t>
      </w:r>
      <w:r w:rsidR="008B66A9">
        <w:t xml:space="preserve"> the </w:t>
      </w:r>
      <w:r w:rsidR="006A28B2">
        <w:t>nine</w:t>
      </w:r>
      <w:r w:rsidR="0093535A">
        <w:t>-month period</w:t>
      </w:r>
      <w:r w:rsidR="008B66A9">
        <w:t xml:space="preserve"> ended </w:t>
      </w:r>
      <w:r w:rsidR="006A28B2">
        <w:t>September</w:t>
      </w:r>
      <w:r w:rsidR="008B66A9">
        <w:t xml:space="preserve"> 3</w:t>
      </w:r>
      <w:r w:rsidR="0093535A">
        <w:t>0</w:t>
      </w:r>
      <w:r w:rsidR="008B66A9">
        <w:t>, 201</w:t>
      </w:r>
      <w:r w:rsidR="00C914D8">
        <w:t>9</w:t>
      </w:r>
      <w:r w:rsidR="008B66A9">
        <w:t xml:space="preserve">, we issued </w:t>
      </w:r>
      <w:r w:rsidR="006A28B2">
        <w:t>95,147,421</w:t>
      </w:r>
      <w:r w:rsidR="008B66A9">
        <w:t xml:space="preserve"> shares of our common stock pursuant to conversion</w:t>
      </w:r>
      <w:r w:rsidR="00C914D8">
        <w:t>s</w:t>
      </w:r>
      <w:r w:rsidR="008B66A9">
        <w:t xml:space="preserve"> our Series </w:t>
      </w:r>
      <w:r w:rsidR="00C914D8">
        <w:t>C</w:t>
      </w:r>
      <w:r w:rsidR="006A28B2">
        <w:t xml:space="preserve">, </w:t>
      </w:r>
      <w:r w:rsidR="00C914D8">
        <w:t>Series F</w:t>
      </w:r>
      <w:r w:rsidR="006A28B2">
        <w:t xml:space="preserve"> and Series H</w:t>
      </w:r>
      <w:r w:rsidR="008B66A9">
        <w:t xml:space="preserve"> Preferred Stock</w:t>
      </w:r>
      <w:r w:rsidR="0093535A">
        <w:t>.</w:t>
      </w:r>
    </w:p>
    <w:p w14:paraId="35867790" w14:textId="02A5A137" w:rsidR="0093535A" w:rsidRDefault="0093535A" w:rsidP="0093535A">
      <w:pPr>
        <w:pStyle w:val="BodyText"/>
        <w:spacing w:after="0"/>
      </w:pPr>
    </w:p>
    <w:p w14:paraId="2180994B" w14:textId="735629DF" w:rsidR="00DB1C8D" w:rsidRDefault="00DB1C8D" w:rsidP="00DB1C8D">
      <w:pPr>
        <w:pStyle w:val="BodyText"/>
        <w:spacing w:after="0"/>
      </w:pPr>
      <w:r>
        <w:t xml:space="preserve">During the </w:t>
      </w:r>
      <w:r w:rsidR="006A28B2">
        <w:t>nine</w:t>
      </w:r>
      <w:r>
        <w:t xml:space="preserve">-month period ended </w:t>
      </w:r>
      <w:r w:rsidR="006A28B2">
        <w:t>September</w:t>
      </w:r>
      <w:r>
        <w:t xml:space="preserve"> 30, 2019, we issued </w:t>
      </w:r>
      <w:r w:rsidR="006A28B2">
        <w:t xml:space="preserve">41,954 </w:t>
      </w:r>
      <w:r>
        <w:t xml:space="preserve">shares of our common stock in exchange for consulting services.  See </w:t>
      </w:r>
      <w:r w:rsidR="003D3149">
        <w:t>“Stock-Based Compensation Expense” below.</w:t>
      </w:r>
    </w:p>
    <w:p w14:paraId="2A1035DE" w14:textId="758520C5" w:rsidR="0093535A" w:rsidRDefault="0093535A" w:rsidP="00DB1C8D">
      <w:pPr>
        <w:pStyle w:val="BodyText"/>
        <w:spacing w:after="0"/>
      </w:pPr>
    </w:p>
    <w:p w14:paraId="5151D8CB" w14:textId="3C40F22E" w:rsidR="00881E20" w:rsidRPr="001E78A9" w:rsidRDefault="00881E20" w:rsidP="000A55AE">
      <w:pPr>
        <w:pStyle w:val="BodyTitle"/>
        <w:spacing w:after="0"/>
        <w:rPr>
          <w:i/>
          <w:u w:val="none"/>
        </w:rPr>
      </w:pPr>
      <w:r w:rsidRPr="001E78A9">
        <w:rPr>
          <w:i/>
          <w:u w:val="none"/>
        </w:rPr>
        <w:t>Stock Options</w:t>
      </w:r>
    </w:p>
    <w:p w14:paraId="47DD24C7" w14:textId="77777777" w:rsidR="001E78A9" w:rsidRDefault="001E78A9" w:rsidP="000A55AE"/>
    <w:p w14:paraId="024BAB1E" w14:textId="1DAB7F4A" w:rsidR="000A55AE" w:rsidRPr="008C287F" w:rsidRDefault="001E78A9" w:rsidP="005450C3">
      <w:pPr>
        <w:rPr>
          <w:color w:val="000000"/>
        </w:rPr>
      </w:pPr>
      <w:r>
        <w:t xml:space="preserve">During the </w:t>
      </w:r>
      <w:r w:rsidR="006A28B2">
        <w:t>nine</w:t>
      </w:r>
      <w:r>
        <w:t xml:space="preserve"> months ended </w:t>
      </w:r>
      <w:r w:rsidR="006A28B2">
        <w:t>September</w:t>
      </w:r>
      <w:r>
        <w:t xml:space="preserve"> </w:t>
      </w:r>
      <w:r w:rsidRPr="008C287F">
        <w:t>3</w:t>
      </w:r>
      <w:r w:rsidR="003D3149">
        <w:t>0</w:t>
      </w:r>
      <w:r w:rsidRPr="008C287F">
        <w:t xml:space="preserve">, 2019, there were no transactions involving our stock option plans.  </w:t>
      </w:r>
      <w:bookmarkStart w:id="28" w:name="_Hlk5356933"/>
      <w:r w:rsidR="008E4BA9" w:rsidRPr="008C287F">
        <w:t>A</w:t>
      </w:r>
      <w:r w:rsidRPr="008C287F">
        <w:t xml:space="preserve">s of </w:t>
      </w:r>
      <w:r w:rsidR="006A28B2">
        <w:t>September</w:t>
      </w:r>
      <w:r w:rsidR="005F4076" w:rsidRPr="008C287F">
        <w:t xml:space="preserve"> 3</w:t>
      </w:r>
      <w:r w:rsidR="003D3149">
        <w:t>0</w:t>
      </w:r>
      <w:r w:rsidR="005F4076" w:rsidRPr="008C287F">
        <w:t>, 201</w:t>
      </w:r>
      <w:r w:rsidRPr="008C287F">
        <w:t>9</w:t>
      </w:r>
      <w:r w:rsidR="008E4BA9" w:rsidRPr="008C287F">
        <w:t xml:space="preserve">, there are </w:t>
      </w:r>
      <w:r w:rsidR="00111D74">
        <w:t>28,800</w:t>
      </w:r>
      <w:r w:rsidR="005450C3" w:rsidRPr="008C287F">
        <w:t xml:space="preserve"> stock options outstanding </w:t>
      </w:r>
      <w:bookmarkStart w:id="29" w:name="_Hlk5356732"/>
      <w:r w:rsidR="00972E8F" w:rsidRPr="008C287F">
        <w:t>(</w:t>
      </w:r>
      <w:r w:rsidR="005450C3" w:rsidRPr="008C287F">
        <w:t>$</w:t>
      </w:r>
      <w:r w:rsidR="00D90BE6" w:rsidRPr="008C287F">
        <w:t>53.</w:t>
      </w:r>
      <w:r w:rsidR="00111D74">
        <w:t>9</w:t>
      </w:r>
      <w:r w:rsidR="00D90BE6" w:rsidRPr="008C287F">
        <w:t>9</w:t>
      </w:r>
      <w:r w:rsidR="00972E8F" w:rsidRPr="008C287F">
        <w:t>/</w:t>
      </w:r>
      <w:r w:rsidR="005450C3" w:rsidRPr="008C287F">
        <w:t>share</w:t>
      </w:r>
      <w:bookmarkEnd w:id="29"/>
      <w:r w:rsidR="005450C3" w:rsidRPr="008C287F">
        <w:t xml:space="preserve"> weighted-average exercise price</w:t>
      </w:r>
      <w:r w:rsidR="00972E8F" w:rsidRPr="008C287F">
        <w:t>),</w:t>
      </w:r>
      <w:r w:rsidR="005450C3" w:rsidRPr="008C287F">
        <w:t xml:space="preserve"> </w:t>
      </w:r>
      <w:r w:rsidR="00D90BE6" w:rsidRPr="008C287F">
        <w:t>13,585</w:t>
      </w:r>
      <w:r w:rsidR="005450C3" w:rsidRPr="008C287F">
        <w:t xml:space="preserve"> of which are exercisable</w:t>
      </w:r>
      <w:r w:rsidR="00295626">
        <w:t xml:space="preserve"> at that date</w:t>
      </w:r>
      <w:r w:rsidR="005450C3" w:rsidRPr="008C287F">
        <w:t xml:space="preserve"> </w:t>
      </w:r>
      <w:r w:rsidR="00972E8F" w:rsidRPr="008C287F">
        <w:t>(</w:t>
      </w:r>
      <w:r w:rsidR="005450C3" w:rsidRPr="008C287F">
        <w:t>$</w:t>
      </w:r>
      <w:r w:rsidR="00D90BE6" w:rsidRPr="008C287F">
        <w:t>93.9</w:t>
      </w:r>
      <w:r w:rsidR="009B76ED">
        <w:t>2</w:t>
      </w:r>
      <w:r w:rsidR="00972E8F" w:rsidRPr="008C287F">
        <w:t>/</w:t>
      </w:r>
      <w:r w:rsidR="005450C3" w:rsidRPr="008C287F">
        <w:t>share weighted-average exercise price</w:t>
      </w:r>
      <w:r w:rsidR="00972E8F" w:rsidRPr="008C287F">
        <w:t>)</w:t>
      </w:r>
      <w:r w:rsidR="005450C3" w:rsidRPr="008C287F">
        <w:t>.</w:t>
      </w:r>
      <w:bookmarkEnd w:id="28"/>
    </w:p>
    <w:p w14:paraId="79DD0BA4" w14:textId="77777777" w:rsidR="001E78A9" w:rsidRPr="008C287F" w:rsidRDefault="001E78A9" w:rsidP="000A55AE">
      <w:pPr>
        <w:pStyle w:val="BodyTitle"/>
        <w:spacing w:after="0"/>
        <w:rPr>
          <w:rFonts w:eastAsia="Times New Roman"/>
          <w:color w:val="000000"/>
        </w:rPr>
      </w:pPr>
    </w:p>
    <w:p w14:paraId="7BBD6D74" w14:textId="2189C3AF" w:rsidR="00881E20" w:rsidRPr="008C287F" w:rsidRDefault="00881E20" w:rsidP="000A55AE">
      <w:pPr>
        <w:pStyle w:val="BodyTitle"/>
        <w:spacing w:after="0"/>
        <w:rPr>
          <w:rFonts w:eastAsia="Times New Roman"/>
          <w:i/>
          <w:color w:val="000000"/>
          <w:u w:val="none"/>
        </w:rPr>
      </w:pPr>
      <w:r w:rsidRPr="008C287F">
        <w:rPr>
          <w:rFonts w:eastAsia="Times New Roman"/>
          <w:i/>
          <w:color w:val="000000"/>
          <w:u w:val="none"/>
        </w:rPr>
        <w:t>Stock Purchase Warrants</w:t>
      </w:r>
    </w:p>
    <w:p w14:paraId="066F900D" w14:textId="77777777" w:rsidR="00844352" w:rsidRPr="008C287F" w:rsidRDefault="00844352" w:rsidP="000A55AE">
      <w:pPr>
        <w:suppressAutoHyphens/>
        <w:spacing w:line="240" w:lineRule="exact"/>
      </w:pPr>
    </w:p>
    <w:p w14:paraId="27B86545" w14:textId="76971E8A" w:rsidR="005450C3" w:rsidRDefault="005450C3" w:rsidP="000A55AE">
      <w:pPr>
        <w:suppressAutoHyphens/>
        <w:spacing w:line="240" w:lineRule="exact"/>
        <w:rPr>
          <w:rFonts w:ascii="CG Times (WN)" w:hAnsi="CG Times (WN)"/>
        </w:rPr>
      </w:pPr>
      <w:r w:rsidRPr="008C287F">
        <w:t xml:space="preserve">During the </w:t>
      </w:r>
      <w:r w:rsidR="00111D74">
        <w:t>nine</w:t>
      </w:r>
      <w:r w:rsidRPr="008C287F">
        <w:t xml:space="preserve"> months ended </w:t>
      </w:r>
      <w:r w:rsidR="00111D74">
        <w:t>September</w:t>
      </w:r>
      <w:r w:rsidRPr="008C287F">
        <w:t xml:space="preserve"> 3</w:t>
      </w:r>
      <w:r w:rsidR="00295626">
        <w:t>0</w:t>
      </w:r>
      <w:r w:rsidRPr="008C287F">
        <w:t xml:space="preserve">, 2019, we issued </w:t>
      </w:r>
      <w:r w:rsidR="00295626">
        <w:t>an aggregate of 100,002</w:t>
      </w:r>
      <w:r w:rsidRPr="008C287F">
        <w:t xml:space="preserve"> stock purchase warrants in connection with the sale of our Series G Preferred Stock as discussed above. As of </w:t>
      </w:r>
      <w:r w:rsidR="00111D74">
        <w:t>September</w:t>
      </w:r>
      <w:r w:rsidRPr="008C287F">
        <w:t xml:space="preserve"> 3</w:t>
      </w:r>
      <w:r w:rsidR="00295626">
        <w:t>0</w:t>
      </w:r>
      <w:r w:rsidRPr="008C287F">
        <w:t xml:space="preserve">, 2019, there are </w:t>
      </w:r>
      <w:r w:rsidR="00295626">
        <w:t>294,302</w:t>
      </w:r>
      <w:r w:rsidRPr="008C287F">
        <w:t xml:space="preserve"> stock purchase warrants outstanding ($</w:t>
      </w:r>
      <w:r w:rsidR="00295626">
        <w:t>7.50</w:t>
      </w:r>
      <w:r w:rsidRPr="008C287F">
        <w:t xml:space="preserve">/share </w:t>
      </w:r>
      <w:bookmarkStart w:id="30" w:name="_Hlk5357222"/>
      <w:r w:rsidRPr="008C287F">
        <w:t>weighted-average exercise price</w:t>
      </w:r>
      <w:bookmarkEnd w:id="30"/>
      <w:r w:rsidRPr="008C287F">
        <w:t xml:space="preserve">), </w:t>
      </w:r>
      <w:r w:rsidR="00111D74">
        <w:t>227,634</w:t>
      </w:r>
      <w:r w:rsidRPr="008C287F">
        <w:t xml:space="preserve"> of which are exercisable</w:t>
      </w:r>
      <w:r w:rsidR="00295626">
        <w:t xml:space="preserve"> at that date</w:t>
      </w:r>
      <w:r w:rsidRPr="008C287F">
        <w:t xml:space="preserve"> ($</w:t>
      </w:r>
      <w:r w:rsidR="00295626">
        <w:t>7.50</w:t>
      </w:r>
      <w:r w:rsidRPr="008C287F">
        <w:t>/share weighted-average exercise price).</w:t>
      </w:r>
    </w:p>
    <w:p w14:paraId="3E7FB543" w14:textId="77777777" w:rsidR="000A55AE" w:rsidRDefault="000A55AE" w:rsidP="000A55AE">
      <w:pPr>
        <w:pStyle w:val="BodyTitle"/>
        <w:spacing w:after="0"/>
        <w:rPr>
          <w:rFonts w:eastAsia="Times New Roman"/>
          <w:color w:val="000000"/>
        </w:rPr>
      </w:pPr>
    </w:p>
    <w:p w14:paraId="5AC57DB9" w14:textId="3D76C9DD" w:rsidR="00881E20" w:rsidRPr="00312A9D" w:rsidRDefault="00881E20" w:rsidP="000A55AE">
      <w:pPr>
        <w:pStyle w:val="BodyTitle"/>
        <w:spacing w:after="0"/>
        <w:rPr>
          <w:rFonts w:eastAsia="Times New Roman"/>
          <w:i/>
          <w:color w:val="000000"/>
          <w:u w:val="none"/>
        </w:rPr>
      </w:pPr>
      <w:r w:rsidRPr="00312A9D">
        <w:rPr>
          <w:rFonts w:eastAsia="Times New Roman"/>
          <w:i/>
          <w:color w:val="000000"/>
          <w:u w:val="none"/>
        </w:rPr>
        <w:t>Stock-Based Compensation Expense</w:t>
      </w:r>
    </w:p>
    <w:p w14:paraId="3B8BFD40" w14:textId="77777777" w:rsidR="00312A9D" w:rsidRDefault="00312A9D" w:rsidP="000A55AE"/>
    <w:p w14:paraId="157BC89D" w14:textId="1CE12A4E" w:rsidR="00954516" w:rsidRDefault="00B932CD" w:rsidP="000A55AE">
      <w:pPr>
        <w:rPr>
          <w:color w:val="000000"/>
        </w:rPr>
      </w:pPr>
      <w:r w:rsidRPr="00EB7BF0">
        <w:t xml:space="preserve">Stock-based compensation expense related to </w:t>
      </w:r>
      <w:r>
        <w:t>our stock option plans</w:t>
      </w:r>
      <w:r w:rsidRPr="00EB7BF0">
        <w:t xml:space="preserve"> was</w:t>
      </w:r>
      <w:r>
        <w:t xml:space="preserve"> $</w:t>
      </w:r>
      <w:r w:rsidR="00711E98">
        <w:t>26,348</w:t>
      </w:r>
      <w:r w:rsidR="00295626">
        <w:t xml:space="preserve"> </w:t>
      </w:r>
      <w:r>
        <w:t>and $</w:t>
      </w:r>
      <w:r w:rsidR="00711E98">
        <w:t>79,664</w:t>
      </w:r>
      <w:r>
        <w:t xml:space="preserve"> </w:t>
      </w:r>
      <w:r w:rsidRPr="00EB7BF0">
        <w:t>during t</w:t>
      </w:r>
      <w:r>
        <w:t xml:space="preserve">he three-month </w:t>
      </w:r>
      <w:r w:rsidR="00295626">
        <w:t xml:space="preserve">and </w:t>
      </w:r>
      <w:r w:rsidR="00711E98">
        <w:t>nine</w:t>
      </w:r>
      <w:r w:rsidR="00295626">
        <w:t xml:space="preserve">-month </w:t>
      </w:r>
      <w:r>
        <w:t xml:space="preserve">periods ended </w:t>
      </w:r>
      <w:r w:rsidR="00711E98">
        <w:t>September</w:t>
      </w:r>
      <w:r>
        <w:t xml:space="preserve"> 3</w:t>
      </w:r>
      <w:r w:rsidR="00295626">
        <w:t>0</w:t>
      </w:r>
      <w:r>
        <w:t>, 201</w:t>
      </w:r>
      <w:r w:rsidR="00312A9D">
        <w:t>9</w:t>
      </w:r>
      <w:r w:rsidRPr="00EB7BF0">
        <w:t>, respectively</w:t>
      </w:r>
      <w:r w:rsidR="00295626">
        <w:t>, as compared to $</w:t>
      </w:r>
      <w:r w:rsidR="00711E98">
        <w:t>85,370</w:t>
      </w:r>
      <w:r w:rsidR="00295626">
        <w:t xml:space="preserve"> and $</w:t>
      </w:r>
      <w:r w:rsidR="00711E98">
        <w:t>132,569</w:t>
      </w:r>
      <w:r w:rsidR="00295626">
        <w:t>, respectively, during the same periods of 2018</w:t>
      </w:r>
      <w:r>
        <w:t xml:space="preserve">. </w:t>
      </w:r>
      <w:r w:rsidR="00954516">
        <w:rPr>
          <w:color w:val="000000"/>
        </w:rPr>
        <w:t>Stock-based compensation expense related to stock options is recognized on a straight-line basis over the requisite service period for the award and is allocated to research and development expense or general and administrative expense based upon the re</w:t>
      </w:r>
      <w:r>
        <w:rPr>
          <w:color w:val="000000"/>
        </w:rPr>
        <w:t xml:space="preserve">lated employee classification. </w:t>
      </w:r>
      <w:r w:rsidR="00954516">
        <w:rPr>
          <w:color w:val="000000"/>
        </w:rPr>
        <w:t xml:space="preserve">As of </w:t>
      </w:r>
      <w:r w:rsidR="00711E98">
        <w:rPr>
          <w:color w:val="000000"/>
        </w:rPr>
        <w:t>September</w:t>
      </w:r>
      <w:r w:rsidR="002C785E">
        <w:rPr>
          <w:color w:val="000000"/>
        </w:rPr>
        <w:t> </w:t>
      </w:r>
      <w:r>
        <w:rPr>
          <w:color w:val="000000"/>
        </w:rPr>
        <w:t>3</w:t>
      </w:r>
      <w:r w:rsidR="00295626">
        <w:rPr>
          <w:color w:val="000000"/>
        </w:rPr>
        <w:t>0</w:t>
      </w:r>
      <w:r>
        <w:rPr>
          <w:color w:val="000000"/>
        </w:rPr>
        <w:t>, 201</w:t>
      </w:r>
      <w:r w:rsidR="00312A9D">
        <w:rPr>
          <w:color w:val="000000"/>
        </w:rPr>
        <w:t>9</w:t>
      </w:r>
      <w:r w:rsidR="00954516">
        <w:rPr>
          <w:color w:val="000000"/>
        </w:rPr>
        <w:t xml:space="preserve">, there was </w:t>
      </w:r>
      <w:r w:rsidR="00954516" w:rsidRPr="00B11FF6">
        <w:rPr>
          <w:color w:val="000000"/>
        </w:rPr>
        <w:t>$</w:t>
      </w:r>
      <w:r w:rsidR="00711E98">
        <w:rPr>
          <w:color w:val="000000"/>
        </w:rPr>
        <w:t>130,719</w:t>
      </w:r>
      <w:r w:rsidR="00954516" w:rsidRPr="00214555">
        <w:rPr>
          <w:color w:val="000000"/>
        </w:rPr>
        <w:t xml:space="preserve"> of unrecognized compensation expense related to stock options, which </w:t>
      </w:r>
      <w:r w:rsidR="00762AA1">
        <w:rPr>
          <w:color w:val="000000"/>
        </w:rPr>
        <w:t>we</w:t>
      </w:r>
      <w:r w:rsidR="00954516" w:rsidRPr="00214555">
        <w:rPr>
          <w:color w:val="000000"/>
        </w:rPr>
        <w:t xml:space="preserve"> expect to recognize over a weighted average period of </w:t>
      </w:r>
      <w:r w:rsidR="00295626">
        <w:rPr>
          <w:color w:val="000000"/>
        </w:rPr>
        <w:t>1.</w:t>
      </w:r>
      <w:r w:rsidR="00711E98">
        <w:rPr>
          <w:color w:val="000000"/>
        </w:rPr>
        <w:t>6</w:t>
      </w:r>
      <w:r w:rsidR="00954516" w:rsidRPr="00214555">
        <w:rPr>
          <w:color w:val="000000"/>
        </w:rPr>
        <w:t xml:space="preserve"> years.</w:t>
      </w:r>
    </w:p>
    <w:p w14:paraId="5B36E240" w14:textId="77777777" w:rsidR="000A55AE" w:rsidRDefault="000A55AE" w:rsidP="000A55AE">
      <w:pPr>
        <w:rPr>
          <w:color w:val="000000"/>
        </w:rPr>
      </w:pPr>
    </w:p>
    <w:p w14:paraId="6F2228E0" w14:textId="182276A4" w:rsidR="00312A9D" w:rsidRDefault="00295626" w:rsidP="00312A9D">
      <w:pPr>
        <w:rPr>
          <w:color w:val="000000"/>
        </w:rPr>
      </w:pPr>
      <w:r>
        <w:t>D</w:t>
      </w:r>
      <w:r w:rsidR="00312A9D" w:rsidRPr="00E0278C">
        <w:t>uring the three</w:t>
      </w:r>
      <w:r w:rsidR="00312A9D">
        <w:t>-</w:t>
      </w:r>
      <w:r w:rsidR="00312A9D" w:rsidRPr="00E0278C">
        <w:t>month</w:t>
      </w:r>
      <w:r>
        <w:t xml:space="preserve"> and </w:t>
      </w:r>
      <w:r w:rsidR="00711E98">
        <w:t>nine</w:t>
      </w:r>
      <w:r>
        <w:t>-month</w:t>
      </w:r>
      <w:r w:rsidR="00312A9D">
        <w:t xml:space="preserve"> </w:t>
      </w:r>
      <w:r w:rsidR="00312A9D" w:rsidRPr="00E0278C">
        <w:t>period</w:t>
      </w:r>
      <w:r w:rsidR="00312A9D">
        <w:t>s</w:t>
      </w:r>
      <w:r w:rsidR="00312A9D" w:rsidRPr="00E0278C">
        <w:t xml:space="preserve"> ended </w:t>
      </w:r>
      <w:r w:rsidR="00711E98">
        <w:t>September</w:t>
      </w:r>
      <w:r w:rsidR="00312A9D">
        <w:t xml:space="preserve"> 3</w:t>
      </w:r>
      <w:r>
        <w:t>0</w:t>
      </w:r>
      <w:r w:rsidR="00312A9D" w:rsidRPr="00E0278C">
        <w:t>, 201</w:t>
      </w:r>
      <w:r w:rsidR="00312A9D">
        <w:t>9</w:t>
      </w:r>
      <w:r w:rsidR="00312A9D" w:rsidRPr="00E0278C">
        <w:t xml:space="preserve"> we recorded stock-based compensation expense of $</w:t>
      </w:r>
      <w:r w:rsidR="00711E98">
        <w:t>6,000</w:t>
      </w:r>
      <w:r w:rsidR="00312A9D">
        <w:t xml:space="preserve"> and $</w:t>
      </w:r>
      <w:r w:rsidR="00711E98">
        <w:t>211,080</w:t>
      </w:r>
      <w:r w:rsidR="00312A9D">
        <w:t>, respectively,</w:t>
      </w:r>
      <w:r w:rsidR="00312A9D" w:rsidRPr="00E0278C">
        <w:t xml:space="preserve"> associated with common stock issued for </w:t>
      </w:r>
      <w:r>
        <w:t xml:space="preserve">consulting and </w:t>
      </w:r>
      <w:r w:rsidR="00312A9D" w:rsidRPr="00E0278C">
        <w:t>financial advisory services</w:t>
      </w:r>
      <w:r>
        <w:t>, as compared to $</w:t>
      </w:r>
      <w:r w:rsidR="00B561C5">
        <w:t>57,143</w:t>
      </w:r>
      <w:r>
        <w:t xml:space="preserve"> and $</w:t>
      </w:r>
      <w:r w:rsidR="00711E98">
        <w:t>142,856</w:t>
      </w:r>
      <w:r>
        <w:t>, respectively, during the same periods of 2018.</w:t>
      </w:r>
    </w:p>
    <w:p w14:paraId="40560E09" w14:textId="77777777" w:rsidR="000A55AE" w:rsidRDefault="000A55AE" w:rsidP="000A55AE">
      <w:pPr>
        <w:rPr>
          <w:color w:val="000000"/>
        </w:rPr>
      </w:pPr>
    </w:p>
    <w:p w14:paraId="45163D60" w14:textId="3B2CF197" w:rsidR="00881E20" w:rsidRPr="001C6303" w:rsidRDefault="00346823" w:rsidP="000A55AE">
      <w:pPr>
        <w:pStyle w:val="ListNumbering"/>
        <w:spacing w:after="0"/>
      </w:pPr>
      <w:r>
        <w:t>1</w:t>
      </w:r>
      <w:r w:rsidR="00C35471">
        <w:t>1</w:t>
      </w:r>
      <w:r w:rsidR="00881E20" w:rsidRPr="001C6303">
        <w:t>.</w:t>
      </w:r>
      <w:r w:rsidR="00881E20" w:rsidRPr="001C6303">
        <w:tab/>
        <w:t>Income Taxes</w:t>
      </w:r>
    </w:p>
    <w:p w14:paraId="0850CD3F" w14:textId="77777777" w:rsidR="000A55AE" w:rsidRDefault="000A55AE" w:rsidP="000A55AE">
      <w:pPr>
        <w:pStyle w:val="BodyText"/>
        <w:spacing w:after="0"/>
      </w:pPr>
    </w:p>
    <w:p w14:paraId="08409E42" w14:textId="6392A802" w:rsidR="005414A9" w:rsidRDefault="00881E20" w:rsidP="000A55AE">
      <w:pPr>
        <w:pStyle w:val="BodyText"/>
        <w:spacing w:after="0"/>
      </w:pPr>
      <w:r w:rsidRPr="001C6303">
        <w:t>Because of our historically significant net operating losses, we have not paid</w:t>
      </w:r>
      <w:r w:rsidR="00954516">
        <w:t xml:space="preserve"> income taxes since inception. </w:t>
      </w:r>
      <w:r w:rsidRPr="001C6303">
        <w:t>We maintain deferred tax assets that reflect the net tax effects of temporary differences between the carrying amounts of assets and liabilities for financial reporting purposes and the amounts used for income tax purposes. These deferred tax assets are comprised primarily of net operating loss carryforwards and also include amounts relating to nonqualified stock options and research and development credits. The net deferred tax asset</w:t>
      </w:r>
      <w:r w:rsidR="004D285A">
        <w:t xml:space="preserve"> </w:t>
      </w:r>
      <w:r w:rsidRPr="001C6303">
        <w:t>has been fully offset by a valuation allowance because of the uncertainty of our future profitability and our ability to ut</w:t>
      </w:r>
      <w:r w:rsidR="00A871D2">
        <w:t xml:space="preserve">ilize the deferred tax assets. </w:t>
      </w:r>
      <w:r w:rsidRPr="001C6303">
        <w:t xml:space="preserve">Utilization of operating losses and credits </w:t>
      </w:r>
      <w:r w:rsidR="003D6A75">
        <w:t>will</w:t>
      </w:r>
      <w:r w:rsidR="003D6A75" w:rsidRPr="001C6303">
        <w:t xml:space="preserve"> </w:t>
      </w:r>
      <w:r w:rsidRPr="001C6303">
        <w:t xml:space="preserve">be subject to substantial annual limitations due to ownership change provisions of Section 382 of the Internal Revenue Code. The annual limitation </w:t>
      </w:r>
      <w:r w:rsidR="003D6A75">
        <w:t>will</w:t>
      </w:r>
      <w:r w:rsidR="003D6A75" w:rsidRPr="001C6303">
        <w:t xml:space="preserve"> </w:t>
      </w:r>
      <w:r w:rsidRPr="001C6303">
        <w:t>result in the expiration of net operating losses and credits before utilization.</w:t>
      </w:r>
    </w:p>
    <w:p w14:paraId="0C44511C" w14:textId="77777777" w:rsidR="000A55AE" w:rsidRPr="005414A9" w:rsidRDefault="000A55AE" w:rsidP="000A55AE">
      <w:pPr>
        <w:pStyle w:val="BodyText"/>
        <w:spacing w:after="0"/>
      </w:pPr>
    </w:p>
    <w:p w14:paraId="34FCCEE9" w14:textId="2DD8CF49" w:rsidR="00653E5F" w:rsidRDefault="000E74A1" w:rsidP="000A55AE">
      <w:pPr>
        <w:pStyle w:val="ListNumbering"/>
        <w:spacing w:after="0"/>
      </w:pPr>
      <w:r w:rsidRPr="00F3545A">
        <w:t>1</w:t>
      </w:r>
      <w:r w:rsidR="00C35471">
        <w:t>2</w:t>
      </w:r>
      <w:r w:rsidR="00881E20" w:rsidRPr="00F3545A">
        <w:t>.</w:t>
      </w:r>
      <w:r w:rsidR="00881E20" w:rsidRPr="00F3545A">
        <w:tab/>
        <w:t>Grants</w:t>
      </w:r>
      <w:r w:rsidR="003E2B17" w:rsidRPr="00F3545A">
        <w:t xml:space="preserve"> and </w:t>
      </w:r>
      <w:r w:rsidR="00E37E28" w:rsidRPr="00F3545A">
        <w:t>Collaboration Revenue</w:t>
      </w:r>
    </w:p>
    <w:p w14:paraId="44D85234" w14:textId="69220D38" w:rsidR="000A55AE" w:rsidRDefault="000A55AE" w:rsidP="000A55AE"/>
    <w:p w14:paraId="759CBA05" w14:textId="49BE0CD3" w:rsidR="00F3545A" w:rsidRDefault="008346F5" w:rsidP="00F3545A">
      <w:r>
        <w:t xml:space="preserve">We receive payments from government entities under our grants from the National Institute of Allergy and Infectious Diseases (NIAID) and from the U.S. Department of Defense in support of our vaccine research and development efforts. </w:t>
      </w:r>
      <w:r w:rsidRPr="002C2FFF">
        <w:t xml:space="preserve">We record revenue associated with </w:t>
      </w:r>
      <w:r>
        <w:t>government</w:t>
      </w:r>
      <w:r w:rsidRPr="002C2FFF">
        <w:t xml:space="preserve"> grant</w:t>
      </w:r>
      <w:r>
        <w:t>s</w:t>
      </w:r>
      <w:r w:rsidRPr="002C2FFF">
        <w:t xml:space="preserve"> as the </w:t>
      </w:r>
      <w:r>
        <w:t xml:space="preserve">reimbursable costs are incurred. </w:t>
      </w:r>
      <w:r w:rsidR="00F3545A">
        <w:t xml:space="preserve">During the three-month and </w:t>
      </w:r>
      <w:r w:rsidR="00A4589B">
        <w:t>nine</w:t>
      </w:r>
      <w:r w:rsidR="00F3545A">
        <w:t xml:space="preserve">-month periods ended </w:t>
      </w:r>
      <w:r w:rsidR="00A4589B">
        <w:t>September</w:t>
      </w:r>
      <w:r w:rsidR="00F3545A">
        <w:t xml:space="preserve"> 30, 2019, we recorded $</w:t>
      </w:r>
      <w:r w:rsidR="00A4589B">
        <w:t>214,765</w:t>
      </w:r>
      <w:r w:rsidR="00F3545A">
        <w:t xml:space="preserve"> and $</w:t>
      </w:r>
      <w:r w:rsidR="00A4589B">
        <w:t>754,022</w:t>
      </w:r>
      <w:r w:rsidR="00F3545A">
        <w:t>, respectively, of revenues associated with these grants, as compared to $</w:t>
      </w:r>
      <w:r w:rsidR="00A4589B">
        <w:t>340,716</w:t>
      </w:r>
      <w:r w:rsidR="00F3545A">
        <w:t xml:space="preserve"> and $</w:t>
      </w:r>
      <w:r w:rsidR="00A4589B">
        <w:t>650,280</w:t>
      </w:r>
      <w:r w:rsidR="00F3545A">
        <w:t xml:space="preserve">, respectively, for the comparable periods of 2018. As of </w:t>
      </w:r>
      <w:r w:rsidR="00A4589B">
        <w:t>September</w:t>
      </w:r>
      <w:r w:rsidR="00F3545A">
        <w:t xml:space="preserve"> 30, 2019, there is an aggregate of $</w:t>
      </w:r>
      <w:r w:rsidR="00A4589B">
        <w:t>1,835,225</w:t>
      </w:r>
      <w:r w:rsidR="00F3545A" w:rsidRPr="00700CEA">
        <w:t xml:space="preserve"> in</w:t>
      </w:r>
      <w:r w:rsidR="00F3545A" w:rsidRPr="00640BA0">
        <w:t xml:space="preserve"> approved grant funds available for use</w:t>
      </w:r>
      <w:r w:rsidR="00F3545A">
        <w:t xml:space="preserve"> during 2019 and 2020.</w:t>
      </w:r>
    </w:p>
    <w:p w14:paraId="4B4F7265" w14:textId="77777777" w:rsidR="00F3545A" w:rsidRDefault="00F3545A" w:rsidP="00F3545A"/>
    <w:p w14:paraId="19CBCFDE" w14:textId="78B9F30A" w:rsidR="00F3545A" w:rsidRDefault="00F3545A" w:rsidP="000A55AE">
      <w:r>
        <w:t xml:space="preserve">During the three-month and </w:t>
      </w:r>
      <w:r w:rsidR="00A4589B">
        <w:t>nine</w:t>
      </w:r>
      <w:r>
        <w:t xml:space="preserve">-month periods ended </w:t>
      </w:r>
      <w:r w:rsidR="00A4589B">
        <w:t>September</w:t>
      </w:r>
      <w:r>
        <w:t xml:space="preserve"> 30, 2019, we recorded $</w:t>
      </w:r>
      <w:r w:rsidR="00A4589B">
        <w:t>118,444</w:t>
      </w:r>
      <w:r>
        <w:t xml:space="preserve"> and $</w:t>
      </w:r>
      <w:r w:rsidR="00A4589B">
        <w:t>153,360</w:t>
      </w:r>
      <w:r>
        <w:t>, respectively, of revenues associated with research collaboration agreements with third parties, as compared to $</w:t>
      </w:r>
      <w:r w:rsidR="00A4589B">
        <w:t xml:space="preserve">8,628 and $13,628, respectively, </w:t>
      </w:r>
      <w:r>
        <w:t>for the comparable periods of 2018.</w:t>
      </w:r>
    </w:p>
    <w:p w14:paraId="0C3E9629" w14:textId="77777777" w:rsidR="00F3545A" w:rsidRDefault="00F3545A" w:rsidP="000A55AE"/>
    <w:p w14:paraId="62EAA2FD" w14:textId="202486EA" w:rsidR="00E74795" w:rsidRDefault="00E74795" w:rsidP="000A55AE">
      <w:pPr>
        <w:pStyle w:val="ListNumbering"/>
        <w:spacing w:after="0"/>
      </w:pPr>
      <w:r>
        <w:lastRenderedPageBreak/>
        <w:t>1</w:t>
      </w:r>
      <w:r w:rsidR="00C35471">
        <w:t>3</w:t>
      </w:r>
      <w:r w:rsidRPr="001C6303">
        <w:t>.</w:t>
      </w:r>
      <w:r w:rsidRPr="001C6303">
        <w:tab/>
      </w:r>
      <w:r>
        <w:t>Subsequent Event</w:t>
      </w:r>
      <w:r w:rsidR="009C6192">
        <w:t>s</w:t>
      </w:r>
    </w:p>
    <w:p w14:paraId="3A863AD6" w14:textId="6421BA56" w:rsidR="00A2060E" w:rsidRDefault="00A2060E" w:rsidP="000A55AE"/>
    <w:p w14:paraId="032FE8EC" w14:textId="6C61D5C6" w:rsidR="006E3AEB" w:rsidRPr="008E6CE7" w:rsidRDefault="00EA1CE2" w:rsidP="00B82733">
      <w:r w:rsidRPr="008E6CE7">
        <w:t>During</w:t>
      </w:r>
      <w:r w:rsidR="00226E90">
        <w:t xml:space="preserve"> October and </w:t>
      </w:r>
      <w:r w:rsidR="00226E90" w:rsidRPr="00C1516A">
        <w:t xml:space="preserve">November (through November </w:t>
      </w:r>
      <w:r w:rsidR="00C1516A">
        <w:t>6</w:t>
      </w:r>
      <w:r w:rsidR="00226E90" w:rsidRPr="00C1516A">
        <w:t>)</w:t>
      </w:r>
      <w:r w:rsidR="00B82733" w:rsidRPr="00C1516A">
        <w:t xml:space="preserve"> </w:t>
      </w:r>
      <w:r w:rsidRPr="00C1516A">
        <w:t xml:space="preserve">2019, holders of our preferred stock converted </w:t>
      </w:r>
      <w:r w:rsidR="00C1516A">
        <w:t>approximately 466</w:t>
      </w:r>
      <w:r w:rsidRPr="00C1516A">
        <w:t xml:space="preserve"> shares of our Series </w:t>
      </w:r>
      <w:r w:rsidR="00226E90" w:rsidRPr="00C1516A">
        <w:t>H</w:t>
      </w:r>
      <w:r w:rsidRPr="00C1516A">
        <w:t xml:space="preserve"> Preferred Stock into </w:t>
      </w:r>
      <w:r w:rsidR="00C1516A">
        <w:t>330,000,000</w:t>
      </w:r>
      <w:r w:rsidRPr="00C1516A">
        <w:t xml:space="preserve"> shares of our common stock.</w:t>
      </w:r>
      <w:r w:rsidR="00B82733" w:rsidRPr="00C1516A">
        <w:t xml:space="preserve"> </w:t>
      </w:r>
      <w:r w:rsidR="006E3AEB" w:rsidRPr="00C1516A">
        <w:t xml:space="preserve">During </w:t>
      </w:r>
      <w:r w:rsidR="00226E90" w:rsidRPr="00C1516A">
        <w:t>October</w:t>
      </w:r>
      <w:r w:rsidR="006E3AEB" w:rsidRPr="00C1516A">
        <w:t xml:space="preserve"> 2019, we issued </w:t>
      </w:r>
      <w:r w:rsidR="00226E90" w:rsidRPr="00C1516A">
        <w:t>678,744</w:t>
      </w:r>
      <w:r w:rsidR="006E3AEB" w:rsidRPr="00C1516A">
        <w:t xml:space="preserve"> shares of our common stock in exchange for consulting services.</w:t>
      </w:r>
    </w:p>
    <w:p w14:paraId="47FAF247" w14:textId="7B5D6070" w:rsidR="00A2060E" w:rsidRDefault="00A2060E" w:rsidP="000A55AE"/>
    <w:p w14:paraId="4849940F" w14:textId="49C1E887" w:rsidR="00226E90" w:rsidRDefault="00226E90" w:rsidP="000A55AE"/>
    <w:p w14:paraId="2F025E28" w14:textId="77777777" w:rsidR="00226E90" w:rsidRDefault="00226E90" w:rsidP="000A55AE"/>
    <w:p w14:paraId="511152B0" w14:textId="4235B0DD" w:rsidR="00BD6BBE" w:rsidRPr="001C6303" w:rsidRDefault="0054260E" w:rsidP="000A55AE">
      <w:pPr>
        <w:pStyle w:val="Heading2"/>
        <w:numPr>
          <w:ilvl w:val="0"/>
          <w:numId w:val="0"/>
        </w:numPr>
        <w:tabs>
          <w:tab w:val="left" w:pos="1080"/>
        </w:tabs>
        <w:spacing w:after="0"/>
      </w:pPr>
      <w:r w:rsidRPr="001C6303">
        <w:rPr>
          <w:u w:val="none"/>
        </w:rPr>
        <w:t>Item 2</w:t>
      </w:r>
      <w:r w:rsidRPr="001C6303">
        <w:rPr>
          <w:u w:val="none"/>
        </w:rPr>
        <w:tab/>
      </w:r>
      <w:r w:rsidR="00BD6BBE" w:rsidRPr="001C6303">
        <w:t>Management</w:t>
      </w:r>
      <w:r w:rsidR="00B44A4C" w:rsidRPr="001C6303">
        <w:t>’</w:t>
      </w:r>
      <w:r w:rsidR="00BD6BBE" w:rsidRPr="001C6303">
        <w:t>s Discussion and Analysis of Financial Condition And Results of Operations</w:t>
      </w:r>
      <w:bookmarkEnd w:id="18"/>
    </w:p>
    <w:p w14:paraId="10D16227" w14:textId="77777777" w:rsidR="000A55AE" w:rsidRDefault="000A55AE" w:rsidP="000A55AE">
      <w:pPr>
        <w:pStyle w:val="Subtitle"/>
        <w:spacing w:after="0"/>
      </w:pPr>
    </w:p>
    <w:p w14:paraId="209E002F" w14:textId="513C4935" w:rsidR="00BD6BBE" w:rsidRPr="001C6303" w:rsidRDefault="007F5D4D" w:rsidP="000A55AE">
      <w:pPr>
        <w:pStyle w:val="Subtitle"/>
        <w:spacing w:after="0"/>
      </w:pPr>
      <w:r w:rsidRPr="001C6303">
        <w:t>FORWARD LOOKING STATEMENTS</w:t>
      </w:r>
    </w:p>
    <w:p w14:paraId="1C7FD75F" w14:textId="77777777" w:rsidR="000A55AE" w:rsidRDefault="000A55AE" w:rsidP="000A55AE">
      <w:pPr>
        <w:pStyle w:val="BodyItalic"/>
        <w:spacing w:after="0"/>
      </w:pPr>
    </w:p>
    <w:p w14:paraId="6879CCA2" w14:textId="09A62899" w:rsidR="005A1716" w:rsidRPr="001C6303" w:rsidRDefault="00BD6BBE" w:rsidP="000A55AE">
      <w:pPr>
        <w:pStyle w:val="BodyItalic"/>
        <w:spacing w:after="0"/>
      </w:pPr>
      <w:r w:rsidRPr="001C6303">
        <w:t>In addition to historical information, the informat</w:t>
      </w:r>
      <w:r w:rsidR="00702986" w:rsidRPr="001C6303">
        <w:t>ion included in this Form 10-Q</w:t>
      </w:r>
      <w:r w:rsidRPr="001C6303">
        <w:t xml:space="preserve"> contains forward-looking statements</w:t>
      </w:r>
      <w:r w:rsidR="005A1716" w:rsidRPr="001C6303">
        <w:t>.</w:t>
      </w:r>
      <w:r w:rsidRPr="001C6303">
        <w:t xml:space="preserve">  Forward-looking statements involve numerous risks and uncertainties</w:t>
      </w:r>
      <w:r w:rsidR="00B95DE7">
        <w:t xml:space="preserve">, including but not limited to the risk factors set forth under the heading “Risk Factors” in the Annual Report on Form 10-K for </w:t>
      </w:r>
      <w:r w:rsidR="00096B1B">
        <w:t>the year ended December 31, 201</w:t>
      </w:r>
      <w:r w:rsidR="002615A4">
        <w:t>8</w:t>
      </w:r>
      <w:r w:rsidR="00B95DE7">
        <w:t>,</w:t>
      </w:r>
      <w:r w:rsidRPr="001C6303">
        <w:t xml:space="preserve"> and should not be relied upon as predictions of future events. Certain such forward-looking statements can be identified by the use of forward-looking terminology such as </w:t>
      </w:r>
      <w:r w:rsidR="00B44A4C" w:rsidRPr="001C6303">
        <w:t>‘‘</w:t>
      </w:r>
      <w:r w:rsidRPr="001C6303">
        <w:t>believes,</w:t>
      </w:r>
      <w:r w:rsidR="00B44A4C" w:rsidRPr="001C6303">
        <w:t>’’</w:t>
      </w:r>
      <w:r w:rsidRPr="001C6303">
        <w:t xml:space="preserve"> </w:t>
      </w:r>
      <w:r w:rsidR="00B44A4C" w:rsidRPr="001C6303">
        <w:t>‘‘</w:t>
      </w:r>
      <w:r w:rsidRPr="001C6303">
        <w:t>expects,</w:t>
      </w:r>
      <w:r w:rsidR="00B44A4C" w:rsidRPr="001C6303">
        <w:t>’’</w:t>
      </w:r>
      <w:r w:rsidRPr="001C6303">
        <w:t xml:space="preserve"> </w:t>
      </w:r>
      <w:r w:rsidR="00B44A4C" w:rsidRPr="001C6303">
        <w:t>‘‘</w:t>
      </w:r>
      <w:r w:rsidRPr="001C6303">
        <w:t>may,</w:t>
      </w:r>
      <w:r w:rsidR="00B44A4C" w:rsidRPr="001C6303">
        <w:t>’’</w:t>
      </w:r>
      <w:r w:rsidRPr="001C6303">
        <w:t xml:space="preserve"> </w:t>
      </w:r>
      <w:r w:rsidR="00B44A4C" w:rsidRPr="001C6303">
        <w:t>‘‘</w:t>
      </w:r>
      <w:r w:rsidRPr="001C6303">
        <w:t>will,</w:t>
      </w:r>
      <w:r w:rsidR="00B44A4C" w:rsidRPr="001C6303">
        <w:t>’’</w:t>
      </w:r>
      <w:r w:rsidRPr="001C6303">
        <w:t xml:space="preserve"> </w:t>
      </w:r>
      <w:r w:rsidR="00B44A4C" w:rsidRPr="001C6303">
        <w:t>‘‘</w:t>
      </w:r>
      <w:r w:rsidRPr="001C6303">
        <w:t>should,</w:t>
      </w:r>
      <w:r w:rsidR="00B44A4C" w:rsidRPr="001C6303">
        <w:t>’’</w:t>
      </w:r>
      <w:r w:rsidRPr="001C6303">
        <w:t xml:space="preserve"> </w:t>
      </w:r>
      <w:r w:rsidR="00B44A4C" w:rsidRPr="001C6303">
        <w:t>‘‘</w:t>
      </w:r>
      <w:r w:rsidRPr="001C6303">
        <w:t>seeks,</w:t>
      </w:r>
      <w:r w:rsidR="00B44A4C" w:rsidRPr="001C6303">
        <w:t>’’</w:t>
      </w:r>
      <w:r w:rsidRPr="001C6303">
        <w:t xml:space="preserve"> </w:t>
      </w:r>
      <w:r w:rsidR="00B44A4C" w:rsidRPr="001C6303">
        <w:t>‘‘</w:t>
      </w:r>
      <w:r w:rsidRPr="001C6303">
        <w:t>approximately,</w:t>
      </w:r>
      <w:r w:rsidR="00B44A4C" w:rsidRPr="001C6303">
        <w:t>”</w:t>
      </w:r>
      <w:r w:rsidRPr="001C6303">
        <w:t xml:space="preserve"> </w:t>
      </w:r>
      <w:r w:rsidR="00B44A4C" w:rsidRPr="001C6303">
        <w:t>‘‘</w:t>
      </w:r>
      <w:r w:rsidRPr="001C6303">
        <w:t>intends,</w:t>
      </w:r>
      <w:r w:rsidR="00B44A4C" w:rsidRPr="001C6303">
        <w:t>’’</w:t>
      </w:r>
      <w:r w:rsidRPr="001C6303">
        <w:t xml:space="preserve"> </w:t>
      </w:r>
      <w:r w:rsidR="00B44A4C" w:rsidRPr="001C6303">
        <w:t>‘‘</w:t>
      </w:r>
      <w:r w:rsidRPr="001C6303">
        <w:t>plans,</w:t>
      </w:r>
      <w:r w:rsidR="00B44A4C" w:rsidRPr="001C6303">
        <w:t>’’</w:t>
      </w:r>
      <w:r w:rsidRPr="001C6303">
        <w:t xml:space="preserve"> </w:t>
      </w:r>
      <w:r w:rsidR="00B44A4C" w:rsidRPr="001C6303">
        <w:t>‘‘</w:t>
      </w:r>
      <w:r w:rsidRPr="001C6303">
        <w:t>pro forma,</w:t>
      </w:r>
      <w:r w:rsidR="00B44A4C" w:rsidRPr="001C6303">
        <w:t>’’</w:t>
      </w:r>
      <w:r w:rsidRPr="001C6303">
        <w:t xml:space="preserve"> </w:t>
      </w:r>
      <w:r w:rsidR="00B44A4C" w:rsidRPr="001C6303">
        <w:t>‘‘</w:t>
      </w:r>
      <w:r w:rsidRPr="001C6303">
        <w:t>estimates,</w:t>
      </w:r>
      <w:r w:rsidR="00B44A4C" w:rsidRPr="001C6303">
        <w:t>’’</w:t>
      </w:r>
      <w:r w:rsidRPr="001C6303">
        <w:t xml:space="preserve"> or </w:t>
      </w:r>
      <w:r w:rsidR="00B44A4C" w:rsidRPr="001C6303">
        <w:t>‘‘</w:t>
      </w:r>
      <w:r w:rsidRPr="001C6303">
        <w:t>anticipates</w:t>
      </w:r>
      <w:r w:rsidR="00B44A4C" w:rsidRPr="001C6303">
        <w:t>’’</w:t>
      </w:r>
      <w:r w:rsidRPr="001C6303">
        <w:t xml:space="preserve"> or other variations thereof or comparable terminology, or by discussions of strategy, plans</w:t>
      </w:r>
      <w:r w:rsidR="00D068B8">
        <w:t>,</w:t>
      </w:r>
      <w:r w:rsidRPr="001C6303">
        <w:t xml:space="preserve"> or intentions. Such forward-looking statements are necessarily dependent on assumptions, data</w:t>
      </w:r>
      <w:r w:rsidR="00D068B8">
        <w:t>,</w:t>
      </w:r>
      <w:r w:rsidRPr="001C6303">
        <w:t xml:space="preserve"> or methods that may be incorrect or imprecise and may be incapable of being realized. The following factors, among others, could cause actual results and future events to differ materially from those set forth or contemplated in the forward-looking statements: </w:t>
      </w:r>
    </w:p>
    <w:p w14:paraId="23AC6095" w14:textId="77777777" w:rsidR="005A1716" w:rsidRPr="001C6303" w:rsidRDefault="005A1716" w:rsidP="000A55AE">
      <w:pPr>
        <w:pStyle w:val="BodyItalic"/>
        <w:numPr>
          <w:ilvl w:val="0"/>
          <w:numId w:val="4"/>
        </w:numPr>
        <w:spacing w:after="0"/>
        <w:ind w:left="360"/>
      </w:pPr>
      <w:r w:rsidRPr="001C6303">
        <w:t>whether we can raise additional capital as and when we need it;</w:t>
      </w:r>
    </w:p>
    <w:p w14:paraId="27020607" w14:textId="77777777" w:rsidR="005A1716" w:rsidRPr="001C6303" w:rsidRDefault="005A1716" w:rsidP="000A55AE">
      <w:pPr>
        <w:pStyle w:val="BodyItalic"/>
        <w:numPr>
          <w:ilvl w:val="0"/>
          <w:numId w:val="4"/>
        </w:numPr>
        <w:spacing w:after="0"/>
        <w:ind w:left="360"/>
      </w:pPr>
      <w:r w:rsidRPr="001C6303">
        <w:t xml:space="preserve">whether we are successful in developing our </w:t>
      </w:r>
      <w:r w:rsidR="00BD6BBE" w:rsidRPr="001C6303">
        <w:t>product</w:t>
      </w:r>
      <w:r w:rsidR="00B9332C" w:rsidRPr="001C6303">
        <w:t>s</w:t>
      </w:r>
      <w:r w:rsidRPr="001C6303">
        <w:t>;</w:t>
      </w:r>
    </w:p>
    <w:p w14:paraId="13AE027A" w14:textId="77777777" w:rsidR="005A1716" w:rsidRPr="001C6303" w:rsidRDefault="005A1716" w:rsidP="000A55AE">
      <w:pPr>
        <w:pStyle w:val="BodyItalic"/>
        <w:numPr>
          <w:ilvl w:val="0"/>
          <w:numId w:val="4"/>
        </w:numPr>
        <w:spacing w:after="0"/>
        <w:ind w:left="360"/>
      </w:pPr>
      <w:r w:rsidRPr="001C6303">
        <w:t>whether we are able</w:t>
      </w:r>
      <w:r w:rsidR="00BD6BBE" w:rsidRPr="001C6303">
        <w:t xml:space="preserve"> to obtain regulatory approvals in the United States and other countries</w:t>
      </w:r>
      <w:r w:rsidRPr="001C6303">
        <w:t xml:space="preserve"> for sale of our product</w:t>
      </w:r>
      <w:r w:rsidR="00B9332C" w:rsidRPr="001C6303">
        <w:t>s</w:t>
      </w:r>
      <w:r w:rsidRPr="001C6303">
        <w:t>;</w:t>
      </w:r>
    </w:p>
    <w:p w14:paraId="15A1C42F" w14:textId="77777777" w:rsidR="005A1716" w:rsidRPr="001C6303" w:rsidRDefault="005A1716" w:rsidP="000A55AE">
      <w:pPr>
        <w:pStyle w:val="BodyItalic"/>
        <w:numPr>
          <w:ilvl w:val="0"/>
          <w:numId w:val="4"/>
        </w:numPr>
        <w:spacing w:after="0"/>
        <w:ind w:left="360"/>
      </w:pPr>
      <w:r w:rsidRPr="001C6303">
        <w:t>whether we can compete successfully with others in our market</w:t>
      </w:r>
      <w:r w:rsidR="00933EC4" w:rsidRPr="001C6303">
        <w:t>; and</w:t>
      </w:r>
    </w:p>
    <w:p w14:paraId="79F00BF3" w14:textId="77777777" w:rsidR="00933EC4" w:rsidRPr="001C6303" w:rsidRDefault="00933EC4" w:rsidP="000A55AE">
      <w:pPr>
        <w:pStyle w:val="BodyItalic"/>
        <w:numPr>
          <w:ilvl w:val="0"/>
          <w:numId w:val="4"/>
        </w:numPr>
        <w:spacing w:after="0"/>
        <w:ind w:left="360"/>
      </w:pPr>
      <w:r w:rsidRPr="001C6303">
        <w:t>whether we are adversely affected in our efforts to raise cash by the volatility and disruption of local and national economic, credit and capital markets and the economy in general.</w:t>
      </w:r>
    </w:p>
    <w:p w14:paraId="1EDB1A39" w14:textId="77777777" w:rsidR="000A55AE" w:rsidRDefault="000A55AE" w:rsidP="000A55AE">
      <w:pPr>
        <w:pStyle w:val="BodyItalic"/>
        <w:spacing w:after="0"/>
      </w:pPr>
    </w:p>
    <w:p w14:paraId="0907510F" w14:textId="6F760CEF" w:rsidR="00BD6BBE" w:rsidRPr="001C6303" w:rsidRDefault="00BD6BBE" w:rsidP="000A55AE">
      <w:pPr>
        <w:pStyle w:val="BodyItalic"/>
        <w:spacing w:after="0"/>
      </w:pPr>
      <w:r w:rsidRPr="001C6303">
        <w:t>Readers are cautioned not to place undue reliance on forward-looking statements, which reflect our management</w:t>
      </w:r>
      <w:r w:rsidR="00B44A4C" w:rsidRPr="001C6303">
        <w:t>’</w:t>
      </w:r>
      <w:r w:rsidRPr="001C6303">
        <w:t xml:space="preserve">s analysis only. We assume no obligation to update forward-looking statements. </w:t>
      </w:r>
    </w:p>
    <w:p w14:paraId="7C583FCF" w14:textId="77777777" w:rsidR="000A55AE" w:rsidRDefault="000A55AE" w:rsidP="000A55AE">
      <w:pPr>
        <w:pStyle w:val="BodyTitle"/>
        <w:spacing w:after="0"/>
        <w:rPr>
          <w:b/>
          <w:u w:val="none"/>
        </w:rPr>
      </w:pPr>
    </w:p>
    <w:p w14:paraId="78BD4F96" w14:textId="5689B7AD" w:rsidR="00A840E6" w:rsidRPr="001C6303" w:rsidRDefault="00A840E6" w:rsidP="000A55AE">
      <w:pPr>
        <w:pStyle w:val="BodyTitle"/>
        <w:spacing w:after="0"/>
        <w:rPr>
          <w:b/>
          <w:u w:val="none"/>
        </w:rPr>
      </w:pPr>
      <w:r>
        <w:rPr>
          <w:b/>
          <w:u w:val="none"/>
        </w:rPr>
        <w:t>Overview</w:t>
      </w:r>
    </w:p>
    <w:p w14:paraId="1C31C617" w14:textId="77777777" w:rsidR="00DF7C2D" w:rsidRDefault="00DF7C2D" w:rsidP="00DF7C2D"/>
    <w:p w14:paraId="1CEED50E" w14:textId="131A1469" w:rsidR="00DF7C2D" w:rsidRDefault="00DF7C2D" w:rsidP="00DF7C2D">
      <w:r w:rsidRPr="000A55AE">
        <w:t xml:space="preserve">GeoVax is a clinical-stage biotechnology company developing immunotherapies </w:t>
      </w:r>
      <w:r>
        <w:t xml:space="preserve">and </w:t>
      </w:r>
      <w:r w:rsidRPr="000A55AE">
        <w:t xml:space="preserve">vaccines against </w:t>
      </w:r>
      <w:r>
        <w:t xml:space="preserve">cancer and </w:t>
      </w:r>
      <w:r w:rsidRPr="000A55AE">
        <w:t xml:space="preserve">infectious diseases using a novel </w:t>
      </w:r>
      <w:r>
        <w:t>vector vaccine platform</w:t>
      </w:r>
      <w:r w:rsidRPr="000A55AE">
        <w:t xml:space="preserve"> </w:t>
      </w:r>
      <w:r>
        <w:t>(</w:t>
      </w:r>
      <w:r w:rsidRPr="000A55AE">
        <w:t>Modified Vaccinia Ankara Virus-Like Particle</w:t>
      </w:r>
      <w:r>
        <w:t>, or</w:t>
      </w:r>
      <w:r w:rsidRPr="000A55AE">
        <w:t xml:space="preserve"> </w:t>
      </w:r>
      <w:r>
        <w:t>“</w:t>
      </w:r>
      <w:r w:rsidRPr="000A55AE">
        <w:t>MVA-VLP</w:t>
      </w:r>
      <w:r>
        <w:t>”</w:t>
      </w:r>
      <w:r w:rsidRPr="000A55AE">
        <w:t xml:space="preserve">). </w:t>
      </w:r>
      <w:r>
        <w:t>Our</w:t>
      </w:r>
      <w:r w:rsidRPr="002232ED">
        <w:t xml:space="preserve"> recombinant MVA vector expresses target proteins on highly immunogenic VLPs in the person being vaccinated</w:t>
      </w:r>
      <w:r>
        <w:t>,</w:t>
      </w:r>
      <w:r w:rsidRPr="002232ED">
        <w:t xml:space="preserve"> resulting in durable immune responses while providing the safety characteristics of the replication-</w:t>
      </w:r>
      <w:r w:rsidR="00673E68">
        <w:t>deficient</w:t>
      </w:r>
      <w:r w:rsidR="00673E68" w:rsidRPr="002232ED">
        <w:t xml:space="preserve"> </w:t>
      </w:r>
      <w:r w:rsidRPr="002232ED">
        <w:t xml:space="preserve">MVA vector. Important attributes of GeoVax vaccines include single dose, no adjuvant, durable immunity, extensive safety and cost-effective manufacturing.  </w:t>
      </w:r>
    </w:p>
    <w:p w14:paraId="11703F8C" w14:textId="77777777" w:rsidR="00DF7C2D" w:rsidRPr="002232ED" w:rsidRDefault="00DF7C2D" w:rsidP="00DF7C2D"/>
    <w:p w14:paraId="1A429FF3" w14:textId="0F365750" w:rsidR="00DF7C2D" w:rsidRPr="002232ED" w:rsidRDefault="00DF7C2D" w:rsidP="00DF7C2D">
      <w:r w:rsidRPr="002232ED">
        <w:t xml:space="preserve">Our </w:t>
      </w:r>
      <w:r>
        <w:t>current</w:t>
      </w:r>
      <w:r w:rsidRPr="002232ED">
        <w:t xml:space="preserve"> development programs</w:t>
      </w:r>
      <w:r>
        <w:t xml:space="preserve"> are</w:t>
      </w:r>
      <w:r w:rsidRPr="002232ED">
        <w:t xml:space="preserve"> focused on preventive and therapeutic vaccines against </w:t>
      </w:r>
      <w:r w:rsidRPr="000A55AE">
        <w:t>Human Immunodeficiency Virus (HIV</w:t>
      </w:r>
      <w:r>
        <w:t>);</w:t>
      </w:r>
      <w:r w:rsidRPr="002232ED">
        <w:t xml:space="preserve"> preventive vaccines against hemorrhagic fever viruses (Ebola</w:t>
      </w:r>
      <w:r>
        <w:t xml:space="preserve">, Sudan, Marburg, and </w:t>
      </w:r>
      <w:r w:rsidRPr="002232ED">
        <w:t xml:space="preserve">Lassa fever), Zika virus and malaria; a therapeutic vaccine for chronic hepatitis B virus infections; and </w:t>
      </w:r>
      <w:r w:rsidR="003A1B5B">
        <w:t>immunotherapies</w:t>
      </w:r>
      <w:r w:rsidRPr="002232ED">
        <w:t xml:space="preserve"> for solid tumor cancers. </w:t>
      </w:r>
      <w:r w:rsidRPr="0025217A">
        <w:t>Our most advanced vaccine program is focused on the clade B subtype of HIV prevalent in the larger commercial markets of the Americas, Western Europe, Japan and Australia; this program is currently undergoing human clinical trials.</w:t>
      </w:r>
    </w:p>
    <w:p w14:paraId="08FEE8B3" w14:textId="77777777" w:rsidR="00DF7C2D" w:rsidRPr="000A55AE" w:rsidRDefault="00DF7C2D" w:rsidP="00DF7C2D"/>
    <w:p w14:paraId="3631D014" w14:textId="77777777" w:rsidR="00DF7C2D" w:rsidRPr="000A55AE" w:rsidRDefault="00DF7C2D" w:rsidP="00DF7C2D">
      <w:r w:rsidRPr="000A55AE">
        <w:t xml:space="preserve">Our corporate strategy is to improve health to patients worldwide by advancing our vaccine platform, using its unique capabilities to design and develop an array of products addressing unmet medical needs in the areas of infectious diseases and oncology. </w:t>
      </w:r>
      <w:r>
        <w:t>Our goal is</w:t>
      </w:r>
      <w:r w:rsidRPr="000A55AE">
        <w:t xml:space="preserve">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1340FC5B" w14:textId="77777777" w:rsidR="0025217A" w:rsidRPr="0025217A" w:rsidRDefault="0025217A" w:rsidP="0025217A"/>
    <w:p w14:paraId="6F0D9798" w14:textId="1D456D07" w:rsidR="003C73D3" w:rsidRDefault="0025217A" w:rsidP="000A55AE">
      <w:r w:rsidRPr="0025217A">
        <w:t xml:space="preserve">We have not generated any revenues from the sale of any such products,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t>
      </w:r>
      <w:r w:rsidRPr="0025217A">
        <w:lastRenderedPageBreak/>
        <w:t>We may not be successful in our research and development efforts, and we may never generate sufficient product revenue to be profitable.</w:t>
      </w:r>
    </w:p>
    <w:p w14:paraId="4A9F38FB" w14:textId="77777777" w:rsidR="000A55AE" w:rsidRPr="003C73D3" w:rsidRDefault="000A55AE" w:rsidP="000A55AE"/>
    <w:p w14:paraId="7020D5CF" w14:textId="77777777" w:rsidR="00385703" w:rsidRDefault="00385703" w:rsidP="000A55AE">
      <w:pPr>
        <w:ind w:left="132"/>
        <w:rPr>
          <w:color w:val="000000"/>
          <w:sz w:val="2"/>
          <w:szCs w:val="2"/>
        </w:rPr>
      </w:pPr>
      <w:r>
        <w:rPr>
          <w:color w:val="000000"/>
          <w:sz w:val="2"/>
          <w:szCs w:val="2"/>
        </w:rPr>
        <w:t> </w:t>
      </w:r>
    </w:p>
    <w:p w14:paraId="36B76BCC" w14:textId="77777777" w:rsidR="00A840E6" w:rsidRPr="001C6303" w:rsidRDefault="00A840E6" w:rsidP="000A55AE">
      <w:pPr>
        <w:pStyle w:val="BodyTitle"/>
        <w:spacing w:after="0"/>
        <w:rPr>
          <w:b/>
          <w:u w:val="none"/>
        </w:rPr>
      </w:pPr>
      <w:r>
        <w:rPr>
          <w:b/>
          <w:u w:val="none"/>
        </w:rPr>
        <w:t>Critical Accounting Policies and Estimates</w:t>
      </w:r>
    </w:p>
    <w:p w14:paraId="64C41239" w14:textId="77777777" w:rsidR="000A55AE" w:rsidRDefault="000A55AE" w:rsidP="000A55AE"/>
    <w:p w14:paraId="0C315897" w14:textId="77777777" w:rsidR="0025217A" w:rsidRPr="0025217A" w:rsidRDefault="0025217A" w:rsidP="0025217A">
      <w:r w:rsidRPr="0025217A">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6C9F1B28" w14:textId="77777777" w:rsidR="000A55AE" w:rsidRPr="001C6303" w:rsidRDefault="000A55AE" w:rsidP="000A55AE"/>
    <w:p w14:paraId="4855563E" w14:textId="3807D603" w:rsidR="004A028C" w:rsidRDefault="004A028C" w:rsidP="000A55AE">
      <w:r w:rsidRPr="004A028C">
        <w:t>For a description of critical accounting policies that affect our significant judgments and estimates used in the preparation of our financial statements, refer to Item 7 Management’s Discussion and Analysis of Financial Condition and Results of Operations and Note 2 to our Consolidated Financial Statements contained in our Annual Report</w:t>
      </w:r>
      <w:r>
        <w:t xml:space="preserve"> on Form 10-K for the year ended December 31, 201</w:t>
      </w:r>
      <w:r w:rsidR="0025217A">
        <w:t>8</w:t>
      </w:r>
      <w:r w:rsidRPr="004A028C">
        <w:t xml:space="preserve">. </w:t>
      </w:r>
      <w:r>
        <w:t>T</w:t>
      </w:r>
      <w:r w:rsidRPr="004A028C">
        <w:t>here have been no significant changes to our critical accounting policies from those disclosed in our 201</w:t>
      </w:r>
      <w:r w:rsidR="0025217A">
        <w:t>8</w:t>
      </w:r>
      <w:r w:rsidRPr="004A028C">
        <w:t xml:space="preserve"> Annual Report</w:t>
      </w:r>
      <w:r>
        <w:t>.</w:t>
      </w:r>
    </w:p>
    <w:p w14:paraId="26D8200B" w14:textId="77777777" w:rsidR="000A55AE" w:rsidRDefault="000A55AE" w:rsidP="000A55AE">
      <w:pPr>
        <w:pStyle w:val="BodyTitle"/>
        <w:spacing w:after="0"/>
        <w:rPr>
          <w:b/>
          <w:u w:val="none"/>
        </w:rPr>
      </w:pPr>
    </w:p>
    <w:p w14:paraId="611126D7" w14:textId="2EE1C891" w:rsidR="004A028C" w:rsidRPr="001C6303" w:rsidRDefault="004A028C" w:rsidP="000A55AE">
      <w:pPr>
        <w:pStyle w:val="BodyTitle"/>
        <w:spacing w:after="0"/>
        <w:rPr>
          <w:b/>
          <w:u w:val="none"/>
        </w:rPr>
      </w:pPr>
      <w:r>
        <w:rPr>
          <w:b/>
          <w:u w:val="none"/>
        </w:rPr>
        <w:t>Recent Accounting Pronouncements</w:t>
      </w:r>
    </w:p>
    <w:p w14:paraId="04405611" w14:textId="77777777" w:rsidR="000A55AE" w:rsidRDefault="000A55AE" w:rsidP="000A55AE"/>
    <w:p w14:paraId="2694DDD8" w14:textId="2B170206" w:rsidR="004A028C" w:rsidRDefault="004A028C" w:rsidP="000A55AE">
      <w:r w:rsidRPr="004A028C">
        <w:t>Information regarding recent accounting pronouncements is contained in Note </w:t>
      </w:r>
      <w:r w:rsidR="00F63074">
        <w:t>3</w:t>
      </w:r>
      <w:r w:rsidRPr="004A028C">
        <w:t xml:space="preserve"> to the </w:t>
      </w:r>
      <w:r w:rsidR="0025217A">
        <w:t>c</w:t>
      </w:r>
      <w:r w:rsidRPr="004A028C">
        <w:t xml:space="preserve">ondensed </w:t>
      </w:r>
      <w:r w:rsidR="0025217A">
        <w:t>c</w:t>
      </w:r>
      <w:r w:rsidRPr="004A028C">
        <w:t xml:space="preserve">onsolidated </w:t>
      </w:r>
      <w:r w:rsidR="0025217A">
        <w:t>f</w:t>
      </w:r>
      <w:r w:rsidRPr="004A028C">
        <w:t xml:space="preserve">inancial </w:t>
      </w:r>
      <w:r w:rsidR="0025217A">
        <w:t>s</w:t>
      </w:r>
      <w:r w:rsidRPr="004A028C">
        <w:t>tatements, included in this Quarterly Report</w:t>
      </w:r>
      <w:r w:rsidR="00F63074">
        <w:t>.</w:t>
      </w:r>
    </w:p>
    <w:p w14:paraId="32F7223F" w14:textId="77777777" w:rsidR="000A55AE" w:rsidRDefault="000A55AE" w:rsidP="000A55AE">
      <w:pPr>
        <w:pStyle w:val="BodyTitle"/>
        <w:spacing w:after="0"/>
        <w:rPr>
          <w:b/>
          <w:u w:val="none"/>
        </w:rPr>
      </w:pPr>
    </w:p>
    <w:p w14:paraId="4DC86191" w14:textId="33327D21" w:rsidR="00A420E8" w:rsidRPr="001C6303" w:rsidRDefault="00A420E8" w:rsidP="000A55AE">
      <w:pPr>
        <w:pStyle w:val="BodyTitle"/>
        <w:spacing w:after="0"/>
        <w:rPr>
          <w:b/>
          <w:u w:val="none"/>
        </w:rPr>
      </w:pPr>
      <w:r w:rsidRPr="001C6303">
        <w:rPr>
          <w:b/>
          <w:u w:val="none"/>
        </w:rPr>
        <w:t>Liquidity and Capital Resources</w:t>
      </w:r>
    </w:p>
    <w:p w14:paraId="15E2F672" w14:textId="77777777" w:rsidR="000A55AE" w:rsidRDefault="000A55AE" w:rsidP="000A55AE"/>
    <w:p w14:paraId="54817BBA" w14:textId="7BF9C42A" w:rsidR="00647C66" w:rsidRDefault="00647C66" w:rsidP="000A55AE">
      <w:r>
        <w:t>O</w:t>
      </w:r>
      <w:r w:rsidR="0039294F" w:rsidRPr="00612B10">
        <w:t xml:space="preserve">ur </w:t>
      </w:r>
      <w:r w:rsidR="00BB71A7">
        <w:t>principal</w:t>
      </w:r>
      <w:r w:rsidR="0039294F" w:rsidRPr="00612B10">
        <w:t xml:space="preserve"> uses of cash </w:t>
      </w:r>
      <w:r>
        <w:t>are</w:t>
      </w:r>
      <w:r w:rsidR="0039294F" w:rsidRPr="00612B10">
        <w:t xml:space="preserve"> to finance our resear</w:t>
      </w:r>
      <w:r w:rsidR="0039294F">
        <w:t xml:space="preserve">ch and development activities. </w:t>
      </w:r>
      <w:r w:rsidR="0039294F" w:rsidRPr="00612B10">
        <w:t>Since inception, we have funded these activities primarily from government grants and clinical trial assistance, and from sales of our equity securities.</w:t>
      </w:r>
      <w:r w:rsidR="0039294F">
        <w:t xml:space="preserve"> </w:t>
      </w:r>
      <w:r w:rsidR="00612B10" w:rsidRPr="00612B10">
        <w:t xml:space="preserve">At </w:t>
      </w:r>
      <w:r w:rsidR="00AD5E64">
        <w:t>September</w:t>
      </w:r>
      <w:r w:rsidR="00612B10">
        <w:t xml:space="preserve"> 3</w:t>
      </w:r>
      <w:r w:rsidR="005F68E2">
        <w:t>0</w:t>
      </w:r>
      <w:r w:rsidR="00612B10">
        <w:t>, 201</w:t>
      </w:r>
      <w:r w:rsidR="007A4B96">
        <w:t>9</w:t>
      </w:r>
      <w:r w:rsidR="00612B10" w:rsidRPr="00612B10">
        <w:t>, we had cash and cash equivalents of $</w:t>
      </w:r>
      <w:r w:rsidR="00AD5E64">
        <w:t>569,359</w:t>
      </w:r>
      <w:r w:rsidR="00612B10" w:rsidRPr="00612B10">
        <w:t xml:space="preserve"> and total assets of $</w:t>
      </w:r>
      <w:r w:rsidR="00AD5E64">
        <w:t>816,529</w:t>
      </w:r>
      <w:r w:rsidR="00612B10" w:rsidRPr="00612B10">
        <w:t>, as compared to $</w:t>
      </w:r>
      <w:r w:rsidR="007A4B96">
        <w:t>259,701</w:t>
      </w:r>
      <w:r w:rsidR="00612B10" w:rsidRPr="00612B10">
        <w:t xml:space="preserve"> and $</w:t>
      </w:r>
      <w:r w:rsidR="007A4B96">
        <w:t>64</w:t>
      </w:r>
      <w:r w:rsidR="00B82609">
        <w:t>2</w:t>
      </w:r>
      <w:r w:rsidR="007A4B96">
        <w:t>,064</w:t>
      </w:r>
      <w:r w:rsidR="00612B10" w:rsidRPr="00612B10">
        <w:t xml:space="preserve">, respectively, at </w:t>
      </w:r>
      <w:r w:rsidR="00612B10">
        <w:t>December 31, 201</w:t>
      </w:r>
      <w:r w:rsidR="007A4B96">
        <w:t>8</w:t>
      </w:r>
      <w:r w:rsidR="00612B10" w:rsidRPr="00612B10">
        <w:t xml:space="preserve">. </w:t>
      </w:r>
      <w:r w:rsidR="0039294F">
        <w:t xml:space="preserve">At </w:t>
      </w:r>
      <w:r w:rsidR="00AD5E64">
        <w:t>September</w:t>
      </w:r>
      <w:r w:rsidR="0039294F">
        <w:t xml:space="preserve"> 3</w:t>
      </w:r>
      <w:r w:rsidR="005F68E2">
        <w:t>0</w:t>
      </w:r>
      <w:r w:rsidR="0039294F">
        <w:t>, 201</w:t>
      </w:r>
      <w:r w:rsidR="007A4B96">
        <w:t>9</w:t>
      </w:r>
      <w:r w:rsidR="0039294F">
        <w:t>, we</w:t>
      </w:r>
      <w:r w:rsidR="00631B52">
        <w:t xml:space="preserve"> had a w</w:t>
      </w:r>
      <w:r w:rsidR="00612B10" w:rsidRPr="00612B10">
        <w:t xml:space="preserve">orking capital </w:t>
      </w:r>
      <w:r w:rsidR="00631B52" w:rsidRPr="0003701D">
        <w:t>deficit</w:t>
      </w:r>
      <w:r w:rsidR="00631B52">
        <w:t xml:space="preserve"> </w:t>
      </w:r>
      <w:r w:rsidR="00631B52" w:rsidRPr="00631B52">
        <w:t>of</w:t>
      </w:r>
      <w:r w:rsidR="00612B10" w:rsidRPr="00631B52">
        <w:t xml:space="preserve"> $</w:t>
      </w:r>
      <w:r w:rsidR="005F68E2">
        <w:t>1,</w:t>
      </w:r>
      <w:r w:rsidR="00AD5E64">
        <w:t>012,491</w:t>
      </w:r>
      <w:r w:rsidR="00612B10" w:rsidRPr="00612B10">
        <w:t>, compared to $</w:t>
      </w:r>
      <w:r w:rsidR="007A4B96">
        <w:t>1,005,127</w:t>
      </w:r>
      <w:r w:rsidR="00612B10">
        <w:t xml:space="preserve"> at December 31, 201</w:t>
      </w:r>
      <w:r w:rsidR="007A4B96">
        <w:t>8</w:t>
      </w:r>
      <w:r w:rsidR="00612B10" w:rsidRPr="00612B10">
        <w:t xml:space="preserve">. </w:t>
      </w:r>
      <w:r w:rsidR="001113CE">
        <w:t>Our current liabiliti</w:t>
      </w:r>
      <w:r w:rsidR="00BC1F3E">
        <w:t xml:space="preserve">es at </w:t>
      </w:r>
      <w:r w:rsidR="00AD5E64">
        <w:t>September</w:t>
      </w:r>
      <w:r w:rsidR="00BC1F3E">
        <w:t xml:space="preserve"> 3</w:t>
      </w:r>
      <w:r w:rsidR="005F68E2">
        <w:t>0</w:t>
      </w:r>
      <w:r w:rsidR="00BC1F3E">
        <w:t>, 201</w:t>
      </w:r>
      <w:r w:rsidR="007A4B96">
        <w:t>9</w:t>
      </w:r>
      <w:r w:rsidR="00BC1F3E">
        <w:t xml:space="preserve"> </w:t>
      </w:r>
      <w:r w:rsidR="007A4B96">
        <w:t xml:space="preserve">and December 31, 2018 </w:t>
      </w:r>
      <w:r w:rsidR="00BC1F3E">
        <w:t>include</w:t>
      </w:r>
      <w:r w:rsidR="001113CE">
        <w:t xml:space="preserve"> $</w:t>
      </w:r>
      <w:r w:rsidR="0003701D">
        <w:t>1,</w:t>
      </w:r>
      <w:r w:rsidR="00AD5E64">
        <w:t>606,738</w:t>
      </w:r>
      <w:r w:rsidR="00A56A43">
        <w:t xml:space="preserve"> </w:t>
      </w:r>
      <w:r w:rsidR="007A4B96">
        <w:t xml:space="preserve">and $1,220,179, respectively </w:t>
      </w:r>
      <w:r w:rsidR="00A56A43">
        <w:t>of accrued manage</w:t>
      </w:r>
      <w:r w:rsidR="00433E3C">
        <w:t xml:space="preserve">ment salaries and director fees, payment of which </w:t>
      </w:r>
      <w:r w:rsidR="0039294F">
        <w:t xml:space="preserve">is </w:t>
      </w:r>
      <w:r w:rsidR="006F2532">
        <w:t xml:space="preserve">still being </w:t>
      </w:r>
      <w:r w:rsidR="0039294F">
        <w:t>deferred</w:t>
      </w:r>
      <w:r>
        <w:t xml:space="preserve"> as discussed further below</w:t>
      </w:r>
      <w:r w:rsidR="0039294F">
        <w:t>.</w:t>
      </w:r>
    </w:p>
    <w:p w14:paraId="456AEDC7" w14:textId="77777777" w:rsidR="0025217A" w:rsidRDefault="0025217A" w:rsidP="000A55AE"/>
    <w:p w14:paraId="54EDFFEC" w14:textId="433E82F0" w:rsidR="007A4B96" w:rsidRPr="007A4B96" w:rsidRDefault="00612B10" w:rsidP="007A4B96">
      <w:r w:rsidRPr="00612B10">
        <w:t>Net cash used in operating activities was</w:t>
      </w:r>
      <w:r>
        <w:t xml:space="preserve"> </w:t>
      </w:r>
      <w:r w:rsidRPr="00612B10">
        <w:t>$</w:t>
      </w:r>
      <w:r w:rsidR="00AD5E64">
        <w:t>1,117,737</w:t>
      </w:r>
      <w:r w:rsidR="0024365D">
        <w:t xml:space="preserve"> </w:t>
      </w:r>
      <w:r w:rsidRPr="00612B10">
        <w:t xml:space="preserve">and </w:t>
      </w:r>
      <w:r w:rsidR="0024365D">
        <w:t>$</w:t>
      </w:r>
      <w:r w:rsidR="00AD5E64">
        <w:t>1,041,485</w:t>
      </w:r>
      <w:r w:rsidRPr="00612B10">
        <w:t xml:space="preserve"> for the </w:t>
      </w:r>
      <w:r w:rsidR="00AD5E64">
        <w:t>nine</w:t>
      </w:r>
      <w:r>
        <w:t>-month periods</w:t>
      </w:r>
      <w:r w:rsidRPr="00612B10">
        <w:t xml:space="preserve"> ended </w:t>
      </w:r>
      <w:r w:rsidR="00AD5E64">
        <w:t>September</w:t>
      </w:r>
      <w:r>
        <w:t> 3</w:t>
      </w:r>
      <w:r w:rsidR="005F68E2">
        <w:t>0</w:t>
      </w:r>
      <w:r>
        <w:t>, 201</w:t>
      </w:r>
      <w:r w:rsidR="007A4B96">
        <w:t>9</w:t>
      </w:r>
      <w:r>
        <w:t xml:space="preserve"> and 201</w:t>
      </w:r>
      <w:r w:rsidR="007A4B96">
        <w:t>8</w:t>
      </w:r>
      <w:r w:rsidRPr="00612B10">
        <w:t>, respectively.</w:t>
      </w:r>
      <w:r w:rsidR="00483834">
        <w:t xml:space="preserve"> </w:t>
      </w:r>
      <w:r w:rsidR="007A4B96">
        <w:t>Generally, t</w:t>
      </w:r>
      <w:r w:rsidRPr="00612B10">
        <w:t xml:space="preserve">he variances between periods are due to fluctuations in our net losses, offset by non-cash charges such as depreciation and stock-based </w:t>
      </w:r>
      <w:r w:rsidR="007A4B96">
        <w:t xml:space="preserve">and deferred </w:t>
      </w:r>
      <w:r w:rsidRPr="00612B10">
        <w:t>compensation expense, and by net changes in our assets and liabilities. Our net losses generally fluctuate based on expenditures for our research activities, partially offset by government grant revenues.</w:t>
      </w:r>
      <w:r>
        <w:t xml:space="preserve"> </w:t>
      </w:r>
      <w:r w:rsidR="007A4B96" w:rsidRPr="007A4B96">
        <w:t xml:space="preserve">As of </w:t>
      </w:r>
      <w:r w:rsidR="00AD5E64">
        <w:t>September</w:t>
      </w:r>
      <w:r w:rsidR="007A4B96" w:rsidRPr="007A4B96">
        <w:t xml:space="preserve"> 3</w:t>
      </w:r>
      <w:r w:rsidR="005F68E2">
        <w:t>0</w:t>
      </w:r>
      <w:r w:rsidR="007A4B96" w:rsidRPr="007A4B96">
        <w:t>, 201</w:t>
      </w:r>
      <w:r w:rsidR="007A4B96">
        <w:t>9</w:t>
      </w:r>
      <w:r w:rsidR="007A4B96" w:rsidRPr="007A4B96">
        <w:t>, there is</w:t>
      </w:r>
      <w:r w:rsidR="003A1B5B">
        <w:t xml:space="preserve"> $1,835,225 </w:t>
      </w:r>
      <w:r w:rsidR="007A4B96" w:rsidRPr="007A4B96">
        <w:t>in approved grant funds available for use during 2019 and 2020.</w:t>
      </w:r>
      <w:r w:rsidR="007A4B96" w:rsidRPr="007A4B96">
        <w:rPr>
          <w:rFonts w:ascii="CG Times (WN)" w:hAnsi="CG Times (WN)"/>
        </w:rPr>
        <w:t xml:space="preserve"> Of this amount, we expect that</w:t>
      </w:r>
      <w:r w:rsidR="003A1B5B">
        <w:rPr>
          <w:rFonts w:ascii="CG Times (WN)" w:hAnsi="CG Times (WN)"/>
        </w:rPr>
        <w:t xml:space="preserve"> $1,151,610 </w:t>
      </w:r>
      <w:r w:rsidR="007A4B96" w:rsidRPr="007A4B96">
        <w:rPr>
          <w:rFonts w:ascii="CG Times (WN)" w:hAnsi="CG Times (WN)"/>
        </w:rPr>
        <w:t>will be used by us to reimburse third parties who will provide services covered by these grants. See “Results of Operations – Grant and Collaboration Revenues” below for additional details concerning our government grants.</w:t>
      </w:r>
    </w:p>
    <w:p w14:paraId="4A32CF87" w14:textId="77777777" w:rsidR="007A4B96" w:rsidRDefault="007A4B96" w:rsidP="000A55AE">
      <w:pPr>
        <w:rPr>
          <w:rFonts w:ascii="CG Times (WN)" w:hAnsi="CG Times (WN)"/>
        </w:rPr>
      </w:pPr>
    </w:p>
    <w:p w14:paraId="196EFB9A" w14:textId="0DD3980A" w:rsidR="007A4B96" w:rsidRPr="007A4B96" w:rsidRDefault="007A4B96" w:rsidP="007A4B96">
      <w:r w:rsidRPr="007A4B96">
        <w:rPr>
          <w:rFonts w:ascii="CG Times (WN)" w:hAnsi="CG Times (WN)"/>
        </w:rPr>
        <w:t xml:space="preserve">Members of our executive management team and our board of directors have deferred receipt of portions of their salaries and fees in order to help conserve the Company’s cash resources. As of </w:t>
      </w:r>
      <w:r w:rsidR="00AD5E64">
        <w:rPr>
          <w:rFonts w:ascii="CG Times (WN)" w:hAnsi="CG Times (WN)"/>
        </w:rPr>
        <w:t>September</w:t>
      </w:r>
      <w:r w:rsidRPr="007A4B96">
        <w:rPr>
          <w:rFonts w:ascii="CG Times (WN)" w:hAnsi="CG Times (WN)"/>
        </w:rPr>
        <w:t xml:space="preserve"> 3</w:t>
      </w:r>
      <w:r w:rsidR="006C3812">
        <w:rPr>
          <w:rFonts w:ascii="CG Times (WN)" w:hAnsi="CG Times (WN)"/>
        </w:rPr>
        <w:t>0</w:t>
      </w:r>
      <w:r w:rsidRPr="007A4B96">
        <w:rPr>
          <w:rFonts w:ascii="CG Times (WN)" w:hAnsi="CG Times (WN)"/>
        </w:rPr>
        <w:t>, 201</w:t>
      </w:r>
      <w:r>
        <w:rPr>
          <w:rFonts w:ascii="CG Times (WN)" w:hAnsi="CG Times (WN)"/>
        </w:rPr>
        <w:t>9</w:t>
      </w:r>
      <w:r w:rsidRPr="007A4B96">
        <w:rPr>
          <w:rFonts w:ascii="CG Times (WN)" w:hAnsi="CG Times (WN)"/>
        </w:rPr>
        <w:t>, the accumulated deferrals totaled $</w:t>
      </w:r>
      <w:r w:rsidR="0046286C">
        <w:rPr>
          <w:rFonts w:ascii="CG Times (WN)" w:hAnsi="CG Times (WN)"/>
        </w:rPr>
        <w:t>1,</w:t>
      </w:r>
      <w:r w:rsidR="00AD5E64">
        <w:rPr>
          <w:rFonts w:ascii="CG Times (WN)" w:hAnsi="CG Times (WN)"/>
        </w:rPr>
        <w:t>606,738</w:t>
      </w:r>
      <w:r w:rsidRPr="007A4B96">
        <w:rPr>
          <w:rFonts w:ascii="CG Times (WN)" w:hAnsi="CG Times (WN)"/>
        </w:rPr>
        <w:t>. We expect the ongoing deferrals of approximately $</w:t>
      </w:r>
      <w:r w:rsidR="0046286C">
        <w:rPr>
          <w:rFonts w:ascii="CG Times (WN)" w:hAnsi="CG Times (WN)"/>
        </w:rPr>
        <w:t>3</w:t>
      </w:r>
      <w:r w:rsidR="00AD5E64">
        <w:rPr>
          <w:rFonts w:ascii="CG Times (WN)" w:hAnsi="CG Times (WN)"/>
        </w:rPr>
        <w:t>2</w:t>
      </w:r>
      <w:r w:rsidR="0046286C">
        <w:rPr>
          <w:rFonts w:ascii="CG Times (WN)" w:hAnsi="CG Times (WN)"/>
        </w:rPr>
        <w:t>,000</w:t>
      </w:r>
      <w:r w:rsidRPr="007A4B96">
        <w:rPr>
          <w:rFonts w:ascii="CG Times (WN)" w:hAnsi="CG Times (WN)"/>
        </w:rPr>
        <w:t xml:space="preserve"> per month for the management salaries</w:t>
      </w:r>
      <w:r>
        <w:rPr>
          <w:rFonts w:ascii="CG Times (WN)" w:hAnsi="CG Times (WN)"/>
        </w:rPr>
        <w:t xml:space="preserve"> and </w:t>
      </w:r>
      <w:r w:rsidR="0046286C">
        <w:rPr>
          <w:rFonts w:ascii="CG Times (WN)" w:hAnsi="CG Times (WN)"/>
        </w:rPr>
        <w:t>$</w:t>
      </w:r>
      <w:r w:rsidR="009054EC">
        <w:rPr>
          <w:rFonts w:ascii="CG Times (WN)" w:hAnsi="CG Times (WN)"/>
        </w:rPr>
        <w:t>20-</w:t>
      </w:r>
      <w:r w:rsidR="0046286C">
        <w:rPr>
          <w:rFonts w:ascii="CG Times (WN)" w:hAnsi="CG Times (WN)"/>
        </w:rPr>
        <w:t>3</w:t>
      </w:r>
      <w:r w:rsidR="00043DA7">
        <w:rPr>
          <w:rFonts w:ascii="CG Times (WN)" w:hAnsi="CG Times (WN)"/>
        </w:rPr>
        <w:t>0</w:t>
      </w:r>
      <w:r w:rsidR="0046286C">
        <w:rPr>
          <w:rFonts w:ascii="CG Times (WN)" w:hAnsi="CG Times (WN)"/>
        </w:rPr>
        <w:t>,000</w:t>
      </w:r>
      <w:r w:rsidR="009054EC">
        <w:rPr>
          <w:rFonts w:ascii="CG Times (WN)" w:hAnsi="CG Times (WN)"/>
        </w:rPr>
        <w:t xml:space="preserve"> </w:t>
      </w:r>
      <w:r>
        <w:rPr>
          <w:rFonts w:ascii="CG Times (WN)" w:hAnsi="CG Times (WN)"/>
        </w:rPr>
        <w:t>per quarter for the board of director fees</w:t>
      </w:r>
      <w:r w:rsidRPr="007A4B96">
        <w:rPr>
          <w:rFonts w:ascii="CG Times (WN)" w:hAnsi="CG Times (WN)"/>
        </w:rPr>
        <w:t xml:space="preserve"> to continue until such time as a significant financing event (as determined by the board of directors) is consummated.</w:t>
      </w:r>
      <w:r w:rsidR="006F2532">
        <w:rPr>
          <w:rFonts w:ascii="CG Times (WN)" w:hAnsi="CG Times (WN)"/>
        </w:rPr>
        <w:t xml:space="preserve"> The method selected for addressing these accumulated deferrals could have an adverse effect on our liquidity.</w:t>
      </w:r>
    </w:p>
    <w:p w14:paraId="7FCB3FE3" w14:textId="55A98D6C" w:rsidR="000A55AE" w:rsidRDefault="000A55AE" w:rsidP="000A55AE"/>
    <w:p w14:paraId="1D449B9D" w14:textId="1FAA0B75" w:rsidR="007A4B96" w:rsidRPr="007A4B96" w:rsidRDefault="0046286C" w:rsidP="007A4B96">
      <w:r>
        <w:t>The National Institute of Allergy and Infectious Diseases (NIAID), part of the National Institutes of Health (NIH),</w:t>
      </w:r>
      <w:r w:rsidR="007A4B96" w:rsidRPr="007A4B96">
        <w:t xml:space="preserve"> has funded the costs of conducting all of our human clinical trials (Phase 1 and Phase 2a) to date for our preventive HIV vaccines, with GeoVax incurring certain costs associated with manufacturing the clinical vaccine supplies and other study support. </w:t>
      </w:r>
      <w:r w:rsidR="004F1552">
        <w:t xml:space="preserve">We expect that </w:t>
      </w:r>
      <w:r w:rsidR="007A4B96" w:rsidRPr="007A4B96">
        <w:t>NIAID will also fund the cost of a planned Phase 1 trial (HVTN 132)</w:t>
      </w:r>
      <w:r w:rsidR="004252E7">
        <w:t>, conducted by the HIV Trials Network (HVTN),</w:t>
      </w:r>
      <w:r w:rsidR="007A4B96" w:rsidRPr="007A4B96">
        <w:t xml:space="preserve"> to further evaluate the safety and immunogenicity of </w:t>
      </w:r>
      <w:r w:rsidR="007A4B96" w:rsidRPr="007A4B96">
        <w:rPr>
          <w:rFonts w:ascii="CG Times (WN)" w:hAnsi="CG Times (WN)"/>
        </w:rPr>
        <w:t>adding “protein boost” components to our vaccine, GOVX-B11</w:t>
      </w:r>
      <w:r w:rsidR="007A4B96" w:rsidRPr="007A4B96">
        <w:t xml:space="preserve">. </w:t>
      </w:r>
      <w:r w:rsidR="004252E7">
        <w:t>The timing of HVTN 132 is uncertain, and dependent upon components other than our vaccine, but w</w:t>
      </w:r>
      <w:r w:rsidR="007A4B96" w:rsidRPr="007A4B96">
        <w:t xml:space="preserve">e expect </w:t>
      </w:r>
      <w:r w:rsidR="004252E7">
        <w:t xml:space="preserve">the </w:t>
      </w:r>
      <w:r w:rsidR="007A4B96" w:rsidRPr="007A4B96">
        <w:t xml:space="preserve">HVTN to commence patient enrollment </w:t>
      </w:r>
      <w:r w:rsidR="004252E7">
        <w:t>in 2020</w:t>
      </w:r>
      <w:r w:rsidR="007A4B96" w:rsidRPr="007A4B96">
        <w:t>. Additionally, we are party to a collaboration with American Gene Technologies International, Inc. (AGT) whereby AGT intends to conduct a Phase 1 human clinical trial</w:t>
      </w:r>
      <w:r w:rsidR="006E60BB">
        <w:t>,</w:t>
      </w:r>
      <w:r w:rsidR="007A4B96" w:rsidRPr="007A4B96">
        <w:t xml:space="preserve"> </w:t>
      </w:r>
      <w:r w:rsidR="006E60BB">
        <w:t xml:space="preserve">of which an arm </w:t>
      </w:r>
      <w:r w:rsidR="006E60BB">
        <w:lastRenderedPageBreak/>
        <w:t>will evaluate</w:t>
      </w:r>
      <w:r w:rsidR="006E60BB" w:rsidRPr="007A4B96">
        <w:t xml:space="preserve"> </w:t>
      </w:r>
      <w:r w:rsidR="007A4B96" w:rsidRPr="007A4B96">
        <w:t>our combined technologies, with the ultimate goal of developing a functional cure for HIV infection</w:t>
      </w:r>
      <w:r w:rsidR="004F1552">
        <w:t>. W</w:t>
      </w:r>
      <w:r w:rsidR="007A4B96" w:rsidRPr="007A4B96">
        <w:t xml:space="preserve">e expect that AGT will begin the </w:t>
      </w:r>
      <w:r w:rsidR="004F1552">
        <w:t>P</w:t>
      </w:r>
      <w:r w:rsidR="007A4B96" w:rsidRPr="007A4B96">
        <w:t xml:space="preserve">hase 1 trial </w:t>
      </w:r>
      <w:r w:rsidR="004F1552">
        <w:t xml:space="preserve">in </w:t>
      </w:r>
      <w:r w:rsidR="00C04FC5">
        <w:t>early</w:t>
      </w:r>
      <w:r w:rsidR="007A4B96" w:rsidRPr="007A4B96">
        <w:t xml:space="preserve"> 20</w:t>
      </w:r>
      <w:r w:rsidR="00C04FC5">
        <w:t>20</w:t>
      </w:r>
      <w:r w:rsidR="007A4B96" w:rsidRPr="007A4B96">
        <w:t xml:space="preserve">. We are also currently in discussions with </w:t>
      </w:r>
      <w:r w:rsidR="004F1552">
        <w:t>a public-private</w:t>
      </w:r>
      <w:r w:rsidR="007A4B96" w:rsidRPr="007A4B96">
        <w:t xml:space="preserve"> consortium for the use of our vaccine in </w:t>
      </w:r>
      <w:r w:rsidR="004F1552">
        <w:t xml:space="preserve">a </w:t>
      </w:r>
      <w:r w:rsidR="007A4B96" w:rsidRPr="007A4B96">
        <w:t xml:space="preserve">similar effort toward developing a cure for HIV infection; we expect these studies </w:t>
      </w:r>
      <w:r w:rsidR="004F1552">
        <w:t xml:space="preserve">may </w:t>
      </w:r>
      <w:r w:rsidR="00C04FC5">
        <w:t xml:space="preserve">also </w:t>
      </w:r>
      <w:r w:rsidR="004F1552">
        <w:t>begin in early</w:t>
      </w:r>
      <w:r w:rsidR="007A4B96" w:rsidRPr="007A4B96">
        <w:t xml:space="preserve"> 2020.</w:t>
      </w:r>
    </w:p>
    <w:p w14:paraId="0096338F" w14:textId="77777777" w:rsidR="007A4B96" w:rsidRDefault="007A4B96" w:rsidP="000A55AE"/>
    <w:p w14:paraId="5643FAFF" w14:textId="1BB42068" w:rsidR="00612B10" w:rsidRDefault="00612B10" w:rsidP="000A55AE">
      <w:r w:rsidRPr="00612B10">
        <w:t xml:space="preserve">Net cash used in investing activities was </w:t>
      </w:r>
      <w:r w:rsidR="0024365D">
        <w:t>$</w:t>
      </w:r>
      <w:r w:rsidR="00CA7960">
        <w:t>4,272</w:t>
      </w:r>
      <w:r w:rsidRPr="00612B10">
        <w:t xml:space="preserve"> </w:t>
      </w:r>
      <w:r w:rsidR="0024365D">
        <w:t>and $</w:t>
      </w:r>
      <w:r w:rsidR="007A4B96">
        <w:t>-0-</w:t>
      </w:r>
      <w:r w:rsidRPr="00612B10">
        <w:t xml:space="preserve"> for t</w:t>
      </w:r>
      <w:r>
        <w:t xml:space="preserve">he </w:t>
      </w:r>
      <w:r w:rsidR="00C04FC5">
        <w:t>nine</w:t>
      </w:r>
      <w:r>
        <w:t>-month periods</w:t>
      </w:r>
      <w:r w:rsidRPr="00612B10">
        <w:t xml:space="preserve"> ended </w:t>
      </w:r>
      <w:r w:rsidR="00C04FC5">
        <w:t>September</w:t>
      </w:r>
      <w:r>
        <w:t> 3</w:t>
      </w:r>
      <w:r w:rsidR="008F2EBE">
        <w:t>0</w:t>
      </w:r>
      <w:r>
        <w:t>, 201</w:t>
      </w:r>
      <w:r w:rsidR="007A4B96">
        <w:t>9</w:t>
      </w:r>
      <w:r>
        <w:t xml:space="preserve"> and 201</w:t>
      </w:r>
      <w:r w:rsidR="007A4B96">
        <w:t>8</w:t>
      </w:r>
      <w:r w:rsidRPr="00612B10">
        <w:t>, respectively. Our investing activities have consisted predominantly of capital expenditures.</w:t>
      </w:r>
    </w:p>
    <w:p w14:paraId="71C14A4D" w14:textId="77777777" w:rsidR="000A55AE" w:rsidRPr="00612B10" w:rsidRDefault="000A55AE" w:rsidP="000A55AE"/>
    <w:p w14:paraId="48890C21" w14:textId="4E2F921B" w:rsidR="00116DAF" w:rsidRPr="007227E4" w:rsidRDefault="00612B10" w:rsidP="007A4B96">
      <w:pPr>
        <w:rPr>
          <w:rFonts w:ascii="CG Times (WN)" w:hAnsi="CG Times (WN)"/>
        </w:rPr>
      </w:pPr>
      <w:r w:rsidRPr="00612B10">
        <w:t>Net cash provided by financing activities was</w:t>
      </w:r>
      <w:r w:rsidR="0024365D">
        <w:t xml:space="preserve"> $</w:t>
      </w:r>
      <w:r w:rsidR="00C04FC5">
        <w:t>1,431,667</w:t>
      </w:r>
      <w:r w:rsidRPr="00612B10">
        <w:t xml:space="preserve"> </w:t>
      </w:r>
      <w:r w:rsidR="0024365D">
        <w:t>and $</w:t>
      </w:r>
      <w:r w:rsidR="00C04FC5">
        <w:t>1,2</w:t>
      </w:r>
      <w:r w:rsidR="007A4B96">
        <w:t>40,000</w:t>
      </w:r>
      <w:r w:rsidRPr="00612B10">
        <w:t xml:space="preserve"> for t</w:t>
      </w:r>
      <w:r>
        <w:t xml:space="preserve">he </w:t>
      </w:r>
      <w:r w:rsidR="00C04FC5">
        <w:t>nine</w:t>
      </w:r>
      <w:r>
        <w:t>-month periods</w:t>
      </w:r>
      <w:r w:rsidRPr="00612B10">
        <w:t xml:space="preserve"> ended </w:t>
      </w:r>
      <w:r w:rsidR="00C04FC5">
        <w:t>September</w:t>
      </w:r>
      <w:r>
        <w:t> 3</w:t>
      </w:r>
      <w:r w:rsidR="008F2EBE">
        <w:t>0</w:t>
      </w:r>
      <w:r>
        <w:t>, 201</w:t>
      </w:r>
      <w:r w:rsidR="007A4B96">
        <w:t>9</w:t>
      </w:r>
      <w:r>
        <w:t xml:space="preserve"> and 201</w:t>
      </w:r>
      <w:r w:rsidR="007A4B96">
        <w:t>8</w:t>
      </w:r>
      <w:r w:rsidRPr="00612B10">
        <w:t>, respectively</w:t>
      </w:r>
      <w:r>
        <w:t xml:space="preserve">. </w:t>
      </w:r>
      <w:r w:rsidR="007227E4">
        <w:t>Net cash provided by financing activities during the 2018 period relates to the sale by us of shares of our Series E convertible preferred stock ($</w:t>
      </w:r>
      <w:r w:rsidR="00C04FC5">
        <w:t>1,1</w:t>
      </w:r>
      <w:r w:rsidR="007227E4">
        <w:t xml:space="preserve">90,000) and our issuance of a five-year </w:t>
      </w:r>
      <w:r w:rsidR="007227E4" w:rsidRPr="007A4B96">
        <w:rPr>
          <w:rFonts w:ascii="CG Times (WN)" w:hAnsi="CG Times (WN)"/>
        </w:rPr>
        <w:t xml:space="preserve">Senior </w:t>
      </w:r>
      <w:r w:rsidR="007227E4">
        <w:rPr>
          <w:rFonts w:ascii="CG Times (WN)" w:hAnsi="CG Times (WN)"/>
        </w:rPr>
        <w:t>Promissory Note (the “GRA Note”)</w:t>
      </w:r>
      <w:r w:rsidR="007227E4" w:rsidRPr="007A4B96">
        <w:rPr>
          <w:rFonts w:ascii="CG Times (WN)" w:hAnsi="CG Times (WN)"/>
        </w:rPr>
        <w:t xml:space="preserve"> </w:t>
      </w:r>
      <w:r w:rsidR="007227E4">
        <w:rPr>
          <w:rFonts w:ascii="CG Times (WN)" w:hAnsi="CG Times (WN)"/>
        </w:rPr>
        <w:t>to the</w:t>
      </w:r>
      <w:r w:rsidR="007227E4" w:rsidRPr="007A4B96">
        <w:rPr>
          <w:rFonts w:ascii="CG Times (WN)" w:hAnsi="CG Times (WN)"/>
        </w:rPr>
        <w:t xml:space="preserve"> Georgia Research Alliance, Inc. for $50,000</w:t>
      </w:r>
      <w:r w:rsidR="007227E4">
        <w:rPr>
          <w:rFonts w:ascii="CG Times (WN)" w:hAnsi="CG Times (WN)"/>
        </w:rPr>
        <w:t>.</w:t>
      </w:r>
      <w:r w:rsidR="007227E4" w:rsidRPr="007227E4">
        <w:rPr>
          <w:rFonts w:ascii="CG Times (WN)" w:hAnsi="CG Times (WN)"/>
        </w:rPr>
        <w:t xml:space="preserve"> </w:t>
      </w:r>
      <w:r w:rsidR="007227E4" w:rsidRPr="007A4B96">
        <w:rPr>
          <w:rFonts w:ascii="CG Times (WN)" w:hAnsi="CG Times (WN)"/>
        </w:rPr>
        <w:t xml:space="preserve">The GRA Note bears an annual interest rate of 5%, payable monthly, with principal repayments </w:t>
      </w:r>
      <w:r w:rsidR="008F2EBE">
        <w:rPr>
          <w:rFonts w:ascii="CG Times (WN)" w:hAnsi="CG Times (WN)"/>
        </w:rPr>
        <w:t>which began in March 2019</w:t>
      </w:r>
      <w:r w:rsidR="007227E4" w:rsidRPr="007A4B96">
        <w:t>.</w:t>
      </w:r>
      <w:r w:rsidR="007227E4">
        <w:t xml:space="preserve">  Net cash provided by financing activities during the 2019 period relates to the sale by us of shares of our Series G</w:t>
      </w:r>
      <w:r w:rsidR="00C04FC5">
        <w:t xml:space="preserve"> and Series I</w:t>
      </w:r>
      <w:r w:rsidR="007227E4">
        <w:t xml:space="preserve"> convertible preferred stock </w:t>
      </w:r>
      <w:r w:rsidR="003705E9">
        <w:t xml:space="preserve">for </w:t>
      </w:r>
      <w:r w:rsidR="00C04FC5">
        <w:t xml:space="preserve">aggregate </w:t>
      </w:r>
      <w:r w:rsidR="003705E9">
        <w:t xml:space="preserve">net proceeds of </w:t>
      </w:r>
      <w:r w:rsidR="007227E4">
        <w:t>$</w:t>
      </w:r>
      <w:r w:rsidR="00C04FC5">
        <w:t>1,4</w:t>
      </w:r>
      <w:r w:rsidR="008F2EBE">
        <w:t>40</w:t>
      </w:r>
      <w:r w:rsidR="007227E4">
        <w:t>,000</w:t>
      </w:r>
      <w:r w:rsidR="003705E9">
        <w:t xml:space="preserve"> (see discussion below</w:t>
      </w:r>
      <w:r w:rsidR="007227E4">
        <w:t>) and $</w:t>
      </w:r>
      <w:r w:rsidR="00C04FC5">
        <w:t>8,333</w:t>
      </w:r>
      <w:r w:rsidR="007227E4">
        <w:t xml:space="preserve"> in repayments toward the GRA Note.</w:t>
      </w:r>
    </w:p>
    <w:p w14:paraId="29D44658" w14:textId="4F9B7243" w:rsidR="00116DAF" w:rsidRDefault="00116DAF" w:rsidP="007A4B96"/>
    <w:p w14:paraId="56BEBA03" w14:textId="0CF4BCF9" w:rsidR="008E1CCE" w:rsidRDefault="003705E9" w:rsidP="008E1CCE">
      <w:r w:rsidRPr="00C914D8">
        <w:t xml:space="preserve">On February 25, 2019, we entered into a Securities Purchase Agreement with the purchasers identified therein (the “Purchasers”) providing for sale to the Purchasers of an aggregate of up to 1,000 shares of our Series G Convertible Preferred Stock (“Series G Preferred Stock”) and related warrants, </w:t>
      </w:r>
      <w:r w:rsidR="0023491B">
        <w:t>which was</w:t>
      </w:r>
      <w:r w:rsidRPr="00C914D8">
        <w:t xml:space="preserve"> funded at three different closings. At the first closing, which occurred on February 26, 2019, we issued 500 shares of Series G Preferred Stock in exchange for the payment by the Purchasers of $250,000 in the aggregate</w:t>
      </w:r>
      <w:r>
        <w:t xml:space="preserve"> ($240,000 after deducting certain expenses of the Purchasers)</w:t>
      </w:r>
      <w:r w:rsidRPr="00C914D8">
        <w:t>, plus the cancellation of Term Notes</w:t>
      </w:r>
      <w:r>
        <w:t xml:space="preserve"> held by the Purchasers</w:t>
      </w:r>
      <w:r w:rsidRPr="00C914D8">
        <w:t xml:space="preserve"> in the amount of $250,000.  At the first closing we</w:t>
      </w:r>
      <w:r>
        <w:t xml:space="preserve"> also</w:t>
      </w:r>
      <w:r w:rsidRPr="00C914D8">
        <w:t xml:space="preserve"> issued the Purchasers </w:t>
      </w:r>
      <w:r w:rsidR="008E1CCE">
        <w:t>warrants</w:t>
      </w:r>
      <w:r w:rsidRPr="00C914D8">
        <w:t xml:space="preserve"> to purchase an aggregate of </w:t>
      </w:r>
      <w:r w:rsidR="00180540">
        <w:t>33,334</w:t>
      </w:r>
      <w:r w:rsidRPr="00C914D8">
        <w:t xml:space="preserve"> shares of our common stock. </w:t>
      </w:r>
      <w:r w:rsidR="008E1CCE" w:rsidRPr="008C287F">
        <w:t xml:space="preserve">At the </w:t>
      </w:r>
      <w:r w:rsidR="008E1CCE">
        <w:t>second</w:t>
      </w:r>
      <w:r w:rsidR="008E1CCE" w:rsidRPr="008C287F">
        <w:t xml:space="preserve"> </w:t>
      </w:r>
      <w:r w:rsidR="008E1CCE">
        <w:t xml:space="preserve">and third </w:t>
      </w:r>
      <w:r w:rsidR="008E1CCE" w:rsidRPr="008C287F">
        <w:t>closing</w:t>
      </w:r>
      <w:r w:rsidR="008E1CCE">
        <w:t>s</w:t>
      </w:r>
      <w:r w:rsidR="008E1CCE" w:rsidRPr="008C287F">
        <w:t xml:space="preserve">, which occurred on </w:t>
      </w:r>
      <w:r w:rsidR="008E1CCE">
        <w:t>April</w:t>
      </w:r>
      <w:r w:rsidR="008E1CCE" w:rsidRPr="008C287F">
        <w:t xml:space="preserve"> </w:t>
      </w:r>
      <w:r w:rsidR="008E1CCE">
        <w:t>26 and June 19</w:t>
      </w:r>
      <w:r w:rsidR="008E1CCE" w:rsidRPr="008C287F">
        <w:t xml:space="preserve">, 2019, we issued </w:t>
      </w:r>
      <w:r w:rsidR="008E1CCE">
        <w:t>an aggregate of 500</w:t>
      </w:r>
      <w:r w:rsidR="008E1CCE" w:rsidRPr="008C287F">
        <w:t xml:space="preserve"> </w:t>
      </w:r>
      <w:r w:rsidR="008E1CCE">
        <w:t xml:space="preserve">additional </w:t>
      </w:r>
      <w:r w:rsidR="008E1CCE" w:rsidRPr="008C287F">
        <w:t xml:space="preserve">shares of Series G Preferred Stock in exchange for the payment by the Purchasers of </w:t>
      </w:r>
      <w:r w:rsidR="008E1CCE">
        <w:t xml:space="preserve">a total of </w:t>
      </w:r>
      <w:r w:rsidR="008E1CCE" w:rsidRPr="008C287F">
        <w:t>$</w:t>
      </w:r>
      <w:r w:rsidR="008E1CCE">
        <w:t>500</w:t>
      </w:r>
      <w:r w:rsidR="008E1CCE" w:rsidRPr="008C287F">
        <w:t xml:space="preserve">,000.  </w:t>
      </w:r>
      <w:r w:rsidR="008E1CCE">
        <w:t>W</w:t>
      </w:r>
      <w:r w:rsidR="008E1CCE" w:rsidRPr="008C287F">
        <w:t xml:space="preserve">e also issued the Purchasers </w:t>
      </w:r>
      <w:r w:rsidR="008E1CCE">
        <w:t>w</w:t>
      </w:r>
      <w:r w:rsidR="008E1CCE" w:rsidRPr="008C287F">
        <w:t xml:space="preserve">arrants to purchase an aggregate of </w:t>
      </w:r>
      <w:r w:rsidR="008E1CCE">
        <w:t>66,668</w:t>
      </w:r>
      <w:r w:rsidR="008E1CCE" w:rsidRPr="008C287F">
        <w:t xml:space="preserve"> shares of our common stock.</w:t>
      </w:r>
    </w:p>
    <w:p w14:paraId="281010D8" w14:textId="77777777" w:rsidR="00F5150B" w:rsidRDefault="00F5150B" w:rsidP="008E1CCE"/>
    <w:p w14:paraId="452523C8" w14:textId="3E43322B" w:rsidR="00F5150B" w:rsidRDefault="00F5150B" w:rsidP="00F5150B">
      <w:r w:rsidRPr="006F2532">
        <w:t xml:space="preserve">On April 15, 2019, our stockholders approved, and on April 30, 2019 we implemented, a one-for-five hundred reverse split of our common stock, which </w:t>
      </w:r>
      <w:r w:rsidR="0023491B">
        <w:t>was</w:t>
      </w:r>
      <w:r w:rsidRPr="006F2532">
        <w:t xml:space="preserve"> intended to not only improve the marketability of our stock, but also to provide additional shares of authorized common stock available to meet our equity financing needs. </w:t>
      </w:r>
    </w:p>
    <w:p w14:paraId="61BB082D" w14:textId="5F358488" w:rsidR="008E1CCE" w:rsidRDefault="008E1CCE" w:rsidP="000A55AE"/>
    <w:p w14:paraId="72ED6D8F" w14:textId="39F35B14" w:rsidR="00F5150B" w:rsidRDefault="00F5150B" w:rsidP="00F5150B">
      <w:pPr>
        <w:jc w:val="both"/>
      </w:pPr>
      <w:r w:rsidRPr="00C914D8">
        <w:t xml:space="preserve">On </w:t>
      </w:r>
      <w:r>
        <w:t>July</w:t>
      </w:r>
      <w:r w:rsidRPr="00C914D8">
        <w:t xml:space="preserve"> </w:t>
      </w:r>
      <w:r w:rsidR="009659C6">
        <w:t>24</w:t>
      </w:r>
      <w:r w:rsidRPr="00C914D8">
        <w:t xml:space="preserve">, 2019, we entered into a Securities Purchase Agreement with the purchasers identified therein (the “Purchasers”) providing for sale to the Purchasers of an aggregate of </w:t>
      </w:r>
      <w:r w:rsidR="009659C6">
        <w:t>700</w:t>
      </w:r>
      <w:r w:rsidRPr="00C914D8">
        <w:t xml:space="preserve"> shares of our Series </w:t>
      </w:r>
      <w:r>
        <w:t>I</w:t>
      </w:r>
      <w:r w:rsidRPr="00C914D8">
        <w:t xml:space="preserve"> Convertible Preferred Stock (“Series</w:t>
      </w:r>
      <w:r>
        <w:t> I</w:t>
      </w:r>
      <w:r w:rsidRPr="00C914D8">
        <w:t xml:space="preserve"> Preferred Stock”) for gross proceeds of </w:t>
      </w:r>
      <w:r>
        <w:t>$</w:t>
      </w:r>
      <w:r w:rsidR="009659C6">
        <w:t>700,000</w:t>
      </w:r>
      <w:r w:rsidRPr="008C287F">
        <w:t>.</w:t>
      </w:r>
    </w:p>
    <w:p w14:paraId="2538684D" w14:textId="77777777" w:rsidR="008E1CCE" w:rsidRPr="006F2532" w:rsidRDefault="008E1CCE" w:rsidP="000A55AE"/>
    <w:p w14:paraId="558DEC23" w14:textId="24A8038D" w:rsidR="001B694B" w:rsidRPr="006F2532" w:rsidRDefault="00DE7280" w:rsidP="00DE7280">
      <w:r w:rsidRPr="006F2532">
        <w:t xml:space="preserve">As of </w:t>
      </w:r>
      <w:r w:rsidR="0023491B">
        <w:t>September</w:t>
      </w:r>
      <w:r w:rsidRPr="006F2532">
        <w:t xml:space="preserve"> 3</w:t>
      </w:r>
      <w:r w:rsidR="00F5150B">
        <w:t>0</w:t>
      </w:r>
      <w:r w:rsidRPr="006F2532">
        <w:t xml:space="preserve">, 2019, we had an accumulated deficit of </w:t>
      </w:r>
      <w:r w:rsidR="003705E9" w:rsidRPr="006F2532">
        <w:t xml:space="preserve">approximately </w:t>
      </w:r>
      <w:r w:rsidRPr="006F2532">
        <w:t>$</w:t>
      </w:r>
      <w:r w:rsidR="003705E9" w:rsidRPr="006F2532">
        <w:t>4</w:t>
      </w:r>
      <w:r w:rsidR="0023491B">
        <w:t>2.3</w:t>
      </w:r>
      <w:r w:rsidRPr="006F2532">
        <w:t xml:space="preserve"> million</w:t>
      </w:r>
      <w:r w:rsidR="00B275EC" w:rsidRPr="006F2532">
        <w:t xml:space="preserve">, and we </w:t>
      </w:r>
      <w:r w:rsidRPr="006F2532">
        <w:t xml:space="preserve">expect </w:t>
      </w:r>
      <w:r w:rsidR="00B275EC" w:rsidRPr="006F2532">
        <w:t>the</w:t>
      </w:r>
      <w:r w:rsidRPr="006F2532">
        <w:t xml:space="preserve"> amount of the accumulated deficit will continue to increase, as it will be expensive to continue our research and development efforts. We have received a “going concern” opinion from our independent registered public accountants reflecting substantial doubt about our ability to continue as a going concern. We believe that our existing cash resources, combined with funding from existing government grants and clinical trial support, will be sufficient to fund our planned operations into the </w:t>
      </w:r>
      <w:r w:rsidR="00F5150B">
        <w:t>first</w:t>
      </w:r>
      <w:r w:rsidRPr="006F2532">
        <w:t xml:space="preserve"> quarter of 20</w:t>
      </w:r>
      <w:r w:rsidR="00F5150B">
        <w:t>20</w:t>
      </w:r>
      <w:r w:rsidRPr="006F2532">
        <w:t xml:space="preserve">. We will require additional funds to continue our planned operations beyond that </w:t>
      </w:r>
      <w:r w:rsidR="003A1B5B">
        <w:t>timeframe</w:t>
      </w:r>
      <w:r w:rsidRPr="006F2532">
        <w:t>. We are currently seeking sources of capital through additional government grant programs and clinical trial support, and we plan to conduct additional offering</w:t>
      </w:r>
      <w:r w:rsidR="006E3F42" w:rsidRPr="006F2532">
        <w:t>s</w:t>
      </w:r>
      <w:r w:rsidRPr="006F2532">
        <w:t xml:space="preserve"> of our equity securities. </w:t>
      </w:r>
      <w:r w:rsidR="001B694B" w:rsidRPr="006F2532">
        <w:t>Additional funding may not be available on favorable terms or at all and if we fail to obtain additional capital when needed, we may be required to delay, scale back, or eliminate some or all of our research and development programs as well as reduce our general and administrative expenses.</w:t>
      </w:r>
    </w:p>
    <w:p w14:paraId="6452FE9C" w14:textId="212D419D" w:rsidR="00B275EC" w:rsidRDefault="00B275EC" w:rsidP="00DE7280"/>
    <w:p w14:paraId="30047679" w14:textId="77777777" w:rsidR="006E60BB" w:rsidRDefault="006E60BB" w:rsidP="006E60BB">
      <w:r w:rsidRPr="005400AB">
        <w:t xml:space="preserve">If the trading price for the Company’s common stock remains at current levels, then there are insufficient unissued shares of authorized common stock to fulfill the Company’s obligations to issue </w:t>
      </w:r>
      <w:r>
        <w:t>common stock</w:t>
      </w:r>
      <w:r w:rsidRPr="005400AB">
        <w:t xml:space="preserve"> upon conversion of their convertible preferred s</w:t>
      </w:r>
      <w:r>
        <w:t>tock and exercise of</w:t>
      </w:r>
      <w:r w:rsidRPr="005400AB">
        <w:t xml:space="preserve"> warrants</w:t>
      </w:r>
      <w:r>
        <w:t>.</w:t>
      </w:r>
      <w:r w:rsidRPr="005400AB">
        <w:t xml:space="preserve">  </w:t>
      </w:r>
    </w:p>
    <w:p w14:paraId="3641D06E" w14:textId="77777777" w:rsidR="006E60BB" w:rsidRDefault="006E60BB" w:rsidP="006E60BB"/>
    <w:p w14:paraId="15E5E8F3" w14:textId="77777777" w:rsidR="006E60BB" w:rsidRPr="005400AB" w:rsidRDefault="006E60BB" w:rsidP="006E60BB">
      <w:r w:rsidRPr="005400AB">
        <w:t>If the Company is unable to deliver common stock to its primary investors upon the conversion of convertible preferred stock or the exercise of warrants, then the Company may be required to pay liquidated damages, costs incurred by the investors for “buying in” shares to cover trades, and other amounts.  These costs could be substantial and have a material adverse effect on the Company’s financial position</w:t>
      </w:r>
      <w:r>
        <w:t xml:space="preserve">   I</w:t>
      </w:r>
      <w:r w:rsidRPr="005400AB">
        <w:t>f the Company has insufficient authorized shares of common stock available, it will not be unable to raise capital from the sale of such shares</w:t>
      </w:r>
      <w:r>
        <w:t>.</w:t>
      </w:r>
      <w:r w:rsidRPr="005400AB">
        <w:t xml:space="preserve"> </w:t>
      </w:r>
      <w:r>
        <w:t>Management</w:t>
      </w:r>
      <w:r w:rsidRPr="005400AB">
        <w:t xml:space="preserve"> plan</w:t>
      </w:r>
      <w:r>
        <w:t>s</w:t>
      </w:r>
      <w:r w:rsidRPr="005400AB">
        <w:t xml:space="preserve"> to seek stockholder app</w:t>
      </w:r>
      <w:r>
        <w:t>roval of a reverse stock split to address this concern.</w:t>
      </w:r>
    </w:p>
    <w:p w14:paraId="302675B7" w14:textId="77777777" w:rsidR="006E60BB" w:rsidRDefault="006E60BB" w:rsidP="006E60BB"/>
    <w:p w14:paraId="4E7EB33D" w14:textId="77777777" w:rsidR="006E60BB" w:rsidRDefault="006E60BB" w:rsidP="006E60BB">
      <w:r>
        <w:t xml:space="preserve">On October 24, 2019, OTC Markets notified the Company of non-compliance with OTCQB Standards Section 2.3(2), which requires an issuer to maintain a minimum closing bid price of $0.01 per share on at least one of the prior 30 consecutive calendar days.  There is a cure period which ends on January 22, 2020, during which the minimum closing </w:t>
      </w:r>
      <w:r>
        <w:lastRenderedPageBreak/>
        <w:t xml:space="preserve">price of the Company’s common stock must be $0.01 or greater for 10 consecutive trading days. If the Company fails to regain compliance by January 22, 2020 or if the closing bid price of the Company’s common stock falls below $0.001 at any time for five consecutive days, the Company will be immediately removed from the OTCQB marketplace.  </w:t>
      </w:r>
    </w:p>
    <w:p w14:paraId="6DAF091E" w14:textId="77777777" w:rsidR="006E60BB" w:rsidRDefault="006E60BB" w:rsidP="006E60BB">
      <w:pPr>
        <w:jc w:val="both"/>
      </w:pPr>
    </w:p>
    <w:p w14:paraId="603AF0C1" w14:textId="1211F2C2" w:rsidR="006E60BB" w:rsidRDefault="006E60BB" w:rsidP="006E60BB">
      <w:r>
        <w:t>The Company intends to take remedial actions during such cure period to regain compliance with the Minimum Price Rule, which may include the reverse stock split. There can be no assurance any such action will achieve its purpose.  If the Company’s common stock is removed from the OTCQB market, the Company expects to have the option of moving it to the OTC Pink market.  If the Company’s common stock is removed from the OTCQB the Company may find it more difficult to raise funds.</w:t>
      </w:r>
    </w:p>
    <w:p w14:paraId="50F3B21A" w14:textId="77777777" w:rsidR="006E60BB" w:rsidRDefault="006E60BB" w:rsidP="00DE7280"/>
    <w:p w14:paraId="1A1634F7" w14:textId="47D365D2" w:rsidR="00FE073F" w:rsidRDefault="00FE073F" w:rsidP="000A55AE">
      <w:pPr>
        <w:rPr>
          <w:i/>
        </w:rPr>
      </w:pPr>
      <w:r w:rsidRPr="006C115A">
        <w:rPr>
          <w:i/>
        </w:rPr>
        <w:t>Off-Balance Sheet Arrangements</w:t>
      </w:r>
    </w:p>
    <w:p w14:paraId="13F61351" w14:textId="77777777" w:rsidR="000A55AE" w:rsidRPr="006C115A" w:rsidRDefault="000A55AE" w:rsidP="000A55AE">
      <w:pPr>
        <w:rPr>
          <w:i/>
        </w:rPr>
      </w:pPr>
    </w:p>
    <w:p w14:paraId="1E04909D" w14:textId="624FBEB9" w:rsidR="00D745F2" w:rsidRDefault="00D745F2" w:rsidP="000A55AE">
      <w:pPr>
        <w:rPr>
          <w:color w:val="000000"/>
        </w:rPr>
      </w:pPr>
      <w:r>
        <w:rPr>
          <w:color w:val="000000"/>
        </w:rPr>
        <w:t>We have no off-balance sheet arrangements that are likely or reasonably likely to have a material effect on our financial condition or results of operations.</w:t>
      </w:r>
    </w:p>
    <w:p w14:paraId="2854B72B" w14:textId="77777777" w:rsidR="000A55AE" w:rsidRDefault="000A55AE" w:rsidP="000A55AE">
      <w:pPr>
        <w:rPr>
          <w:color w:val="000000"/>
        </w:rPr>
      </w:pPr>
    </w:p>
    <w:p w14:paraId="302C8EDC" w14:textId="76BEDBC7" w:rsidR="00B065AB" w:rsidRDefault="00E16346" w:rsidP="000A55AE">
      <w:pPr>
        <w:pStyle w:val="BodyTitle"/>
        <w:spacing w:after="0"/>
        <w:rPr>
          <w:i/>
          <w:u w:val="none"/>
        </w:rPr>
      </w:pPr>
      <w:r w:rsidRPr="004A3014">
        <w:rPr>
          <w:i/>
          <w:u w:val="none"/>
        </w:rPr>
        <w:t>Contractual Obligations</w:t>
      </w:r>
    </w:p>
    <w:p w14:paraId="470B47D5" w14:textId="68905D81" w:rsidR="000A55AE" w:rsidRDefault="000A55AE" w:rsidP="000A55AE"/>
    <w:p w14:paraId="6B15B24A" w14:textId="121BC7D4" w:rsidR="00334FCA" w:rsidRPr="00334FCA" w:rsidRDefault="00334FCA" w:rsidP="00334FCA">
      <w:r w:rsidRPr="00334FCA">
        <w:t xml:space="preserve">The table </w:t>
      </w:r>
      <w:r>
        <w:t xml:space="preserve">below </w:t>
      </w:r>
      <w:r w:rsidRPr="00334FCA">
        <w:t xml:space="preserve">summarizes our contractual obligations as of </w:t>
      </w:r>
      <w:r w:rsidR="005812E0">
        <w:t>September</w:t>
      </w:r>
      <w:r w:rsidRPr="00334FCA">
        <w:t xml:space="preserve"> 3</w:t>
      </w:r>
      <w:r w:rsidR="00FB6834">
        <w:t>0</w:t>
      </w:r>
      <w:r w:rsidRPr="00334FCA">
        <w:t>, 201</w:t>
      </w:r>
      <w:r>
        <w:t>9</w:t>
      </w:r>
      <w:r w:rsidRPr="00334FCA">
        <w:t>, aggregated by type (in thousands)</w:t>
      </w:r>
      <w:r>
        <w:t>.</w:t>
      </w:r>
      <w:r w:rsidRPr="00334FCA">
        <w:t xml:space="preserve"> </w:t>
      </w:r>
      <w:r>
        <w:t>Our c</w:t>
      </w:r>
      <w:r w:rsidRPr="00334FCA">
        <w:t>ontractual obligations represent future cash commitments and liabilities under agreements with third parties and exclude contingent liabilities for which we cannot reasonably predict future payment. Additionally, the expected timing of payment of the obligations presented below is estimated based on current information. Timing of payments and actual amounts paid may be different depending on the timing of receipt of goods or services or changes to agreed-upon terms or amounts for some obligations.</w:t>
      </w:r>
    </w:p>
    <w:tbl>
      <w:tblPr>
        <w:tblW w:w="9162" w:type="dxa"/>
        <w:tblInd w:w="198" w:type="dxa"/>
        <w:tblLayout w:type="fixed"/>
        <w:tblLook w:val="04A0" w:firstRow="1" w:lastRow="0" w:firstColumn="1" w:lastColumn="0" w:noHBand="0" w:noVBand="1"/>
      </w:tblPr>
      <w:tblGrid>
        <w:gridCol w:w="2772"/>
        <w:gridCol w:w="1170"/>
        <w:gridCol w:w="1260"/>
        <w:gridCol w:w="1260"/>
        <w:gridCol w:w="1350"/>
        <w:gridCol w:w="1350"/>
      </w:tblGrid>
      <w:tr w:rsidR="00334FCA" w:rsidRPr="00334FCA" w14:paraId="290FA58E" w14:textId="77777777" w:rsidTr="00BA51AB">
        <w:tc>
          <w:tcPr>
            <w:tcW w:w="2772" w:type="dxa"/>
            <w:tcBorders>
              <w:top w:val="nil"/>
              <w:left w:val="nil"/>
              <w:right w:val="nil"/>
            </w:tcBorders>
          </w:tcPr>
          <w:p w14:paraId="574D430B" w14:textId="77777777" w:rsidR="00334FCA" w:rsidRPr="00334FCA" w:rsidRDefault="00334FCA" w:rsidP="00334FCA">
            <w:pPr>
              <w:jc w:val="both"/>
              <w:rPr>
                <w:b/>
              </w:rPr>
            </w:pPr>
          </w:p>
        </w:tc>
        <w:tc>
          <w:tcPr>
            <w:tcW w:w="6390" w:type="dxa"/>
            <w:gridSpan w:val="5"/>
            <w:tcBorders>
              <w:top w:val="nil"/>
              <w:left w:val="nil"/>
              <w:bottom w:val="single" w:sz="4" w:space="0" w:color="auto"/>
              <w:right w:val="nil"/>
            </w:tcBorders>
            <w:hideMark/>
          </w:tcPr>
          <w:p w14:paraId="4A11D470" w14:textId="77777777" w:rsidR="00334FCA" w:rsidRPr="00334FCA" w:rsidRDefault="00334FCA" w:rsidP="00334FCA">
            <w:pPr>
              <w:jc w:val="center"/>
              <w:rPr>
                <w:b/>
              </w:rPr>
            </w:pPr>
            <w:r w:rsidRPr="00334FCA">
              <w:rPr>
                <w:b/>
              </w:rPr>
              <w:t>Payments Due by Period</w:t>
            </w:r>
          </w:p>
        </w:tc>
      </w:tr>
      <w:tr w:rsidR="00334FCA" w:rsidRPr="00334FCA" w14:paraId="6D2E4AC9" w14:textId="77777777" w:rsidTr="00BA51AB">
        <w:tc>
          <w:tcPr>
            <w:tcW w:w="2772" w:type="dxa"/>
            <w:tcBorders>
              <w:left w:val="nil"/>
              <w:bottom w:val="single" w:sz="4" w:space="0" w:color="auto"/>
              <w:right w:val="nil"/>
            </w:tcBorders>
            <w:hideMark/>
          </w:tcPr>
          <w:p w14:paraId="584EFC65" w14:textId="77777777" w:rsidR="00334FCA" w:rsidRPr="00334FCA" w:rsidRDefault="00334FCA" w:rsidP="00334FCA">
            <w:pPr>
              <w:jc w:val="both"/>
              <w:rPr>
                <w:b/>
              </w:rPr>
            </w:pPr>
          </w:p>
          <w:p w14:paraId="6935974A" w14:textId="77777777" w:rsidR="00334FCA" w:rsidRPr="00334FCA" w:rsidRDefault="00334FCA" w:rsidP="00334FCA">
            <w:pPr>
              <w:jc w:val="both"/>
              <w:rPr>
                <w:b/>
              </w:rPr>
            </w:pPr>
            <w:r w:rsidRPr="00334FCA">
              <w:rPr>
                <w:b/>
              </w:rPr>
              <w:t>Contractual Obligations</w:t>
            </w:r>
          </w:p>
        </w:tc>
        <w:tc>
          <w:tcPr>
            <w:tcW w:w="1170" w:type="dxa"/>
            <w:tcBorders>
              <w:top w:val="single" w:sz="4" w:space="0" w:color="auto"/>
              <w:left w:val="nil"/>
              <w:bottom w:val="single" w:sz="4" w:space="0" w:color="auto"/>
              <w:right w:val="nil"/>
            </w:tcBorders>
          </w:tcPr>
          <w:p w14:paraId="47F9E19A" w14:textId="77777777" w:rsidR="00334FCA" w:rsidRPr="00334FCA" w:rsidRDefault="00334FCA" w:rsidP="00334FCA">
            <w:pPr>
              <w:jc w:val="center"/>
              <w:rPr>
                <w:b/>
              </w:rPr>
            </w:pPr>
          </w:p>
          <w:p w14:paraId="5850A41D" w14:textId="77777777" w:rsidR="00334FCA" w:rsidRPr="00334FCA" w:rsidRDefault="00334FCA" w:rsidP="00334FCA">
            <w:pPr>
              <w:jc w:val="center"/>
              <w:rPr>
                <w:b/>
              </w:rPr>
            </w:pPr>
            <w:r w:rsidRPr="00334FCA">
              <w:rPr>
                <w:b/>
              </w:rPr>
              <w:t>Total</w:t>
            </w:r>
          </w:p>
        </w:tc>
        <w:tc>
          <w:tcPr>
            <w:tcW w:w="1260" w:type="dxa"/>
            <w:tcBorders>
              <w:top w:val="single" w:sz="4" w:space="0" w:color="auto"/>
              <w:left w:val="nil"/>
              <w:bottom w:val="single" w:sz="4" w:space="0" w:color="auto"/>
              <w:right w:val="nil"/>
            </w:tcBorders>
            <w:hideMark/>
          </w:tcPr>
          <w:p w14:paraId="28B4DE34" w14:textId="77777777" w:rsidR="00334FCA" w:rsidRPr="00334FCA" w:rsidRDefault="00334FCA" w:rsidP="00334FCA">
            <w:pPr>
              <w:jc w:val="center"/>
              <w:rPr>
                <w:b/>
              </w:rPr>
            </w:pPr>
            <w:r w:rsidRPr="00334FCA">
              <w:rPr>
                <w:b/>
              </w:rPr>
              <w:t>Less than</w:t>
            </w:r>
          </w:p>
          <w:p w14:paraId="3DBD396C" w14:textId="77777777" w:rsidR="00334FCA" w:rsidRPr="00334FCA" w:rsidRDefault="00334FCA" w:rsidP="00334FCA">
            <w:pPr>
              <w:jc w:val="center"/>
              <w:rPr>
                <w:b/>
              </w:rPr>
            </w:pPr>
            <w:r w:rsidRPr="00334FCA">
              <w:rPr>
                <w:b/>
              </w:rPr>
              <w:t>1 Year</w:t>
            </w:r>
          </w:p>
        </w:tc>
        <w:tc>
          <w:tcPr>
            <w:tcW w:w="1260" w:type="dxa"/>
            <w:tcBorders>
              <w:top w:val="single" w:sz="4" w:space="0" w:color="auto"/>
              <w:left w:val="nil"/>
              <w:bottom w:val="single" w:sz="4" w:space="0" w:color="auto"/>
              <w:right w:val="nil"/>
            </w:tcBorders>
            <w:hideMark/>
          </w:tcPr>
          <w:p w14:paraId="1F50B77B" w14:textId="77777777" w:rsidR="00334FCA" w:rsidRPr="00334FCA" w:rsidRDefault="00334FCA" w:rsidP="00334FCA">
            <w:pPr>
              <w:jc w:val="center"/>
              <w:rPr>
                <w:b/>
              </w:rPr>
            </w:pPr>
            <w:r w:rsidRPr="00334FCA">
              <w:rPr>
                <w:b/>
              </w:rPr>
              <w:t>1-3</w:t>
            </w:r>
          </w:p>
          <w:p w14:paraId="769BBBF4" w14:textId="77777777" w:rsidR="00334FCA" w:rsidRPr="00334FCA" w:rsidRDefault="00334FCA" w:rsidP="00334FCA">
            <w:pPr>
              <w:jc w:val="center"/>
              <w:rPr>
                <w:b/>
              </w:rPr>
            </w:pPr>
            <w:r w:rsidRPr="00334FCA">
              <w:rPr>
                <w:b/>
              </w:rPr>
              <w:t>Years</w:t>
            </w:r>
          </w:p>
        </w:tc>
        <w:tc>
          <w:tcPr>
            <w:tcW w:w="1350" w:type="dxa"/>
            <w:tcBorders>
              <w:top w:val="single" w:sz="4" w:space="0" w:color="auto"/>
              <w:left w:val="nil"/>
              <w:bottom w:val="single" w:sz="4" w:space="0" w:color="auto"/>
              <w:right w:val="nil"/>
            </w:tcBorders>
            <w:hideMark/>
          </w:tcPr>
          <w:p w14:paraId="4F866A6A" w14:textId="77777777" w:rsidR="00334FCA" w:rsidRPr="00334FCA" w:rsidRDefault="00334FCA" w:rsidP="00334FCA">
            <w:pPr>
              <w:jc w:val="center"/>
              <w:rPr>
                <w:b/>
              </w:rPr>
            </w:pPr>
            <w:r w:rsidRPr="00334FCA">
              <w:rPr>
                <w:b/>
              </w:rPr>
              <w:t>4-5</w:t>
            </w:r>
          </w:p>
          <w:p w14:paraId="72AD3833" w14:textId="77777777" w:rsidR="00334FCA" w:rsidRPr="00334FCA" w:rsidRDefault="00334FCA" w:rsidP="00334FCA">
            <w:pPr>
              <w:jc w:val="center"/>
              <w:rPr>
                <w:b/>
              </w:rPr>
            </w:pPr>
            <w:r w:rsidRPr="00334FCA">
              <w:rPr>
                <w:b/>
              </w:rPr>
              <w:t>Years</w:t>
            </w:r>
          </w:p>
        </w:tc>
        <w:tc>
          <w:tcPr>
            <w:tcW w:w="1350" w:type="dxa"/>
            <w:tcBorders>
              <w:top w:val="single" w:sz="4" w:space="0" w:color="auto"/>
              <w:left w:val="nil"/>
              <w:bottom w:val="single" w:sz="4" w:space="0" w:color="auto"/>
              <w:right w:val="nil"/>
            </w:tcBorders>
            <w:hideMark/>
          </w:tcPr>
          <w:p w14:paraId="7A51F89B" w14:textId="77777777" w:rsidR="00334FCA" w:rsidRPr="00334FCA" w:rsidRDefault="00334FCA" w:rsidP="00334FCA">
            <w:pPr>
              <w:jc w:val="center"/>
              <w:rPr>
                <w:b/>
              </w:rPr>
            </w:pPr>
            <w:r w:rsidRPr="00334FCA">
              <w:rPr>
                <w:b/>
              </w:rPr>
              <w:t>More than</w:t>
            </w:r>
          </w:p>
          <w:p w14:paraId="35BB4AB8" w14:textId="77777777" w:rsidR="00334FCA" w:rsidRPr="00334FCA" w:rsidRDefault="00334FCA" w:rsidP="00334FCA">
            <w:pPr>
              <w:jc w:val="center"/>
              <w:rPr>
                <w:b/>
              </w:rPr>
            </w:pPr>
            <w:r w:rsidRPr="00334FCA">
              <w:rPr>
                <w:b/>
              </w:rPr>
              <w:t>5 years</w:t>
            </w:r>
          </w:p>
        </w:tc>
      </w:tr>
      <w:tr w:rsidR="00334FCA" w:rsidRPr="00334FCA" w14:paraId="4FC068B8" w14:textId="77777777" w:rsidTr="00BA51AB">
        <w:tc>
          <w:tcPr>
            <w:tcW w:w="2772" w:type="dxa"/>
            <w:hideMark/>
          </w:tcPr>
          <w:p w14:paraId="23F7E7F9" w14:textId="77777777" w:rsidR="00334FCA" w:rsidRPr="00334FCA" w:rsidRDefault="00334FCA" w:rsidP="00334FCA">
            <w:r w:rsidRPr="00334FCA">
              <w:t xml:space="preserve">Operating Lease Obligations </w:t>
            </w:r>
            <w:r w:rsidRPr="00334FCA">
              <w:rPr>
                <w:vertAlign w:val="superscript"/>
              </w:rPr>
              <w:t>(1)</w:t>
            </w:r>
          </w:p>
        </w:tc>
        <w:tc>
          <w:tcPr>
            <w:tcW w:w="1170" w:type="dxa"/>
            <w:hideMark/>
          </w:tcPr>
          <w:p w14:paraId="788B051C" w14:textId="550EB51A" w:rsidR="00334FCA" w:rsidRPr="00334FCA" w:rsidRDefault="00334FCA" w:rsidP="00334FCA">
            <w:pPr>
              <w:tabs>
                <w:tab w:val="right" w:pos="1062"/>
              </w:tabs>
              <w:jc w:val="both"/>
            </w:pPr>
            <w:r w:rsidRPr="00334FCA">
              <w:t>$</w:t>
            </w:r>
            <w:r w:rsidRPr="00334FCA">
              <w:tab/>
            </w:r>
            <w:r w:rsidR="00330EA0">
              <w:t>40</w:t>
            </w:r>
          </w:p>
        </w:tc>
        <w:tc>
          <w:tcPr>
            <w:tcW w:w="1260" w:type="dxa"/>
            <w:hideMark/>
          </w:tcPr>
          <w:p w14:paraId="084FF238" w14:textId="03265475" w:rsidR="00334FCA" w:rsidRPr="00334FCA" w:rsidRDefault="00334FCA" w:rsidP="00334FCA">
            <w:pPr>
              <w:tabs>
                <w:tab w:val="right" w:pos="1044"/>
              </w:tabs>
              <w:jc w:val="both"/>
            </w:pPr>
            <w:r w:rsidRPr="00334FCA">
              <w:t>$</w:t>
            </w:r>
            <w:r w:rsidRPr="00334FCA">
              <w:tab/>
            </w:r>
            <w:r w:rsidR="00330EA0">
              <w:t>40</w:t>
            </w:r>
          </w:p>
        </w:tc>
        <w:tc>
          <w:tcPr>
            <w:tcW w:w="1260" w:type="dxa"/>
            <w:hideMark/>
          </w:tcPr>
          <w:p w14:paraId="7E0C094F" w14:textId="77777777" w:rsidR="00334FCA" w:rsidRPr="00334FCA" w:rsidRDefault="00334FCA" w:rsidP="00334FCA">
            <w:pPr>
              <w:tabs>
                <w:tab w:val="right" w:pos="1026"/>
              </w:tabs>
              <w:jc w:val="both"/>
            </w:pPr>
            <w:r w:rsidRPr="00334FCA">
              <w:t>$</w:t>
            </w:r>
            <w:r w:rsidRPr="00334FCA">
              <w:tab/>
              <w:t>--</w:t>
            </w:r>
          </w:p>
        </w:tc>
        <w:tc>
          <w:tcPr>
            <w:tcW w:w="1350" w:type="dxa"/>
            <w:hideMark/>
          </w:tcPr>
          <w:p w14:paraId="2ECE1A08" w14:textId="77777777" w:rsidR="00334FCA" w:rsidRPr="00334FCA" w:rsidRDefault="00334FCA" w:rsidP="00334FCA">
            <w:pPr>
              <w:tabs>
                <w:tab w:val="right" w:pos="1008"/>
              </w:tabs>
              <w:jc w:val="both"/>
            </w:pPr>
            <w:r w:rsidRPr="00334FCA">
              <w:t>$</w:t>
            </w:r>
            <w:r w:rsidRPr="00334FCA">
              <w:tab/>
              <w:t>--</w:t>
            </w:r>
          </w:p>
        </w:tc>
        <w:tc>
          <w:tcPr>
            <w:tcW w:w="1350" w:type="dxa"/>
            <w:hideMark/>
          </w:tcPr>
          <w:p w14:paraId="33C961F9" w14:textId="77777777" w:rsidR="00334FCA" w:rsidRPr="00334FCA" w:rsidRDefault="00334FCA" w:rsidP="00334FCA">
            <w:pPr>
              <w:tabs>
                <w:tab w:val="right" w:pos="990"/>
              </w:tabs>
              <w:jc w:val="both"/>
            </w:pPr>
            <w:r w:rsidRPr="00334FCA">
              <w:t>$</w:t>
            </w:r>
            <w:r w:rsidRPr="00334FCA">
              <w:tab/>
              <w:t>--</w:t>
            </w:r>
          </w:p>
        </w:tc>
      </w:tr>
      <w:tr w:rsidR="00334FCA" w:rsidRPr="00334FCA" w14:paraId="28C2F02E" w14:textId="77777777" w:rsidTr="00BA51AB">
        <w:tc>
          <w:tcPr>
            <w:tcW w:w="2772" w:type="dxa"/>
            <w:hideMark/>
          </w:tcPr>
          <w:p w14:paraId="237E3DD3" w14:textId="77777777" w:rsidR="00334FCA" w:rsidRPr="00334FCA" w:rsidRDefault="00334FCA" w:rsidP="00334FCA">
            <w:r w:rsidRPr="00334FCA">
              <w:t xml:space="preserve">Purchase Obligations </w:t>
            </w:r>
            <w:r w:rsidRPr="00334FCA">
              <w:rPr>
                <w:vertAlign w:val="superscript"/>
              </w:rPr>
              <w:t>(2)</w:t>
            </w:r>
          </w:p>
        </w:tc>
        <w:tc>
          <w:tcPr>
            <w:tcW w:w="1170" w:type="dxa"/>
            <w:hideMark/>
          </w:tcPr>
          <w:p w14:paraId="3D169F78" w14:textId="57142560" w:rsidR="00334FCA" w:rsidRPr="00334FCA" w:rsidRDefault="00334FCA" w:rsidP="00334FCA">
            <w:pPr>
              <w:tabs>
                <w:tab w:val="right" w:pos="1062"/>
              </w:tabs>
              <w:jc w:val="both"/>
            </w:pPr>
            <w:r w:rsidRPr="00334FCA">
              <w:tab/>
            </w:r>
            <w:r w:rsidR="00330EA0">
              <w:t>391</w:t>
            </w:r>
          </w:p>
        </w:tc>
        <w:tc>
          <w:tcPr>
            <w:tcW w:w="1260" w:type="dxa"/>
            <w:hideMark/>
          </w:tcPr>
          <w:p w14:paraId="27F093F0" w14:textId="42326343" w:rsidR="00334FCA" w:rsidRPr="00334FCA" w:rsidRDefault="00334FCA" w:rsidP="00334FCA">
            <w:pPr>
              <w:tabs>
                <w:tab w:val="right" w:pos="1044"/>
              </w:tabs>
              <w:jc w:val="both"/>
            </w:pPr>
            <w:r w:rsidRPr="00334FCA">
              <w:tab/>
            </w:r>
            <w:r w:rsidR="00330EA0">
              <w:t>391</w:t>
            </w:r>
          </w:p>
        </w:tc>
        <w:tc>
          <w:tcPr>
            <w:tcW w:w="1260" w:type="dxa"/>
            <w:hideMark/>
          </w:tcPr>
          <w:p w14:paraId="536833C1" w14:textId="77777777" w:rsidR="00334FCA" w:rsidRPr="00334FCA" w:rsidRDefault="00334FCA" w:rsidP="00334FCA">
            <w:pPr>
              <w:tabs>
                <w:tab w:val="right" w:pos="1026"/>
              </w:tabs>
              <w:jc w:val="both"/>
            </w:pPr>
            <w:r w:rsidRPr="00334FCA">
              <w:tab/>
              <w:t>--</w:t>
            </w:r>
          </w:p>
        </w:tc>
        <w:tc>
          <w:tcPr>
            <w:tcW w:w="1350" w:type="dxa"/>
            <w:hideMark/>
          </w:tcPr>
          <w:p w14:paraId="5F965D96" w14:textId="77777777" w:rsidR="00334FCA" w:rsidRPr="00334FCA" w:rsidRDefault="00334FCA" w:rsidP="00334FCA">
            <w:pPr>
              <w:tabs>
                <w:tab w:val="right" w:pos="1008"/>
              </w:tabs>
              <w:jc w:val="both"/>
            </w:pPr>
            <w:r w:rsidRPr="00334FCA">
              <w:tab/>
              <w:t>--</w:t>
            </w:r>
          </w:p>
        </w:tc>
        <w:tc>
          <w:tcPr>
            <w:tcW w:w="1350" w:type="dxa"/>
            <w:hideMark/>
          </w:tcPr>
          <w:p w14:paraId="2691219B" w14:textId="77777777" w:rsidR="00334FCA" w:rsidRPr="00334FCA" w:rsidRDefault="00334FCA" w:rsidP="00334FCA">
            <w:pPr>
              <w:tabs>
                <w:tab w:val="right" w:pos="990"/>
              </w:tabs>
              <w:jc w:val="both"/>
            </w:pPr>
            <w:r w:rsidRPr="00334FCA">
              <w:tab/>
              <w:t>--</w:t>
            </w:r>
          </w:p>
        </w:tc>
      </w:tr>
      <w:tr w:rsidR="00334FCA" w:rsidRPr="00334FCA" w14:paraId="0A4A195C" w14:textId="77777777" w:rsidTr="00BA51AB">
        <w:tc>
          <w:tcPr>
            <w:tcW w:w="2772" w:type="dxa"/>
            <w:hideMark/>
          </w:tcPr>
          <w:p w14:paraId="5984E961" w14:textId="77777777" w:rsidR="00334FCA" w:rsidRPr="00334FCA" w:rsidRDefault="00334FCA" w:rsidP="00334FCA">
            <w:pPr>
              <w:jc w:val="both"/>
            </w:pPr>
            <w:r w:rsidRPr="00334FCA">
              <w:t xml:space="preserve">Total </w:t>
            </w:r>
          </w:p>
        </w:tc>
        <w:tc>
          <w:tcPr>
            <w:tcW w:w="1170" w:type="dxa"/>
            <w:tcBorders>
              <w:top w:val="single" w:sz="4" w:space="0" w:color="auto"/>
              <w:left w:val="nil"/>
              <w:bottom w:val="double" w:sz="4" w:space="0" w:color="auto"/>
              <w:right w:val="nil"/>
            </w:tcBorders>
            <w:hideMark/>
          </w:tcPr>
          <w:p w14:paraId="5AFA11D1" w14:textId="7BB4D493" w:rsidR="00334FCA" w:rsidRPr="00334FCA" w:rsidRDefault="00334FCA" w:rsidP="00334FCA">
            <w:pPr>
              <w:tabs>
                <w:tab w:val="right" w:pos="1062"/>
              </w:tabs>
              <w:jc w:val="both"/>
            </w:pPr>
            <w:r w:rsidRPr="00334FCA">
              <w:t>$</w:t>
            </w:r>
            <w:r w:rsidRPr="00334FCA">
              <w:tab/>
            </w:r>
            <w:r w:rsidR="00330EA0">
              <w:t>431</w:t>
            </w:r>
          </w:p>
        </w:tc>
        <w:tc>
          <w:tcPr>
            <w:tcW w:w="1260" w:type="dxa"/>
            <w:tcBorders>
              <w:top w:val="single" w:sz="4" w:space="0" w:color="auto"/>
              <w:left w:val="nil"/>
              <w:bottom w:val="double" w:sz="4" w:space="0" w:color="auto"/>
              <w:right w:val="nil"/>
            </w:tcBorders>
            <w:hideMark/>
          </w:tcPr>
          <w:p w14:paraId="468A6820" w14:textId="76019B17" w:rsidR="00334FCA" w:rsidRPr="00334FCA" w:rsidRDefault="00334FCA" w:rsidP="00334FCA">
            <w:pPr>
              <w:tabs>
                <w:tab w:val="right" w:pos="1044"/>
              </w:tabs>
              <w:jc w:val="both"/>
            </w:pPr>
            <w:r w:rsidRPr="00334FCA">
              <w:t>$</w:t>
            </w:r>
            <w:r w:rsidRPr="00334FCA">
              <w:tab/>
            </w:r>
            <w:r w:rsidR="00330EA0">
              <w:t>431</w:t>
            </w:r>
          </w:p>
        </w:tc>
        <w:tc>
          <w:tcPr>
            <w:tcW w:w="1260" w:type="dxa"/>
            <w:tcBorders>
              <w:top w:val="single" w:sz="4" w:space="0" w:color="auto"/>
              <w:left w:val="nil"/>
              <w:bottom w:val="double" w:sz="4" w:space="0" w:color="auto"/>
              <w:right w:val="nil"/>
            </w:tcBorders>
            <w:hideMark/>
          </w:tcPr>
          <w:p w14:paraId="46C96E5D" w14:textId="77777777" w:rsidR="00334FCA" w:rsidRPr="00334FCA" w:rsidRDefault="00334FCA" w:rsidP="00334FCA">
            <w:pPr>
              <w:tabs>
                <w:tab w:val="right" w:pos="1026"/>
              </w:tabs>
              <w:jc w:val="both"/>
            </w:pPr>
            <w:r w:rsidRPr="00334FCA">
              <w:t>$</w:t>
            </w:r>
            <w:r w:rsidRPr="00334FCA">
              <w:tab/>
              <w:t>--</w:t>
            </w:r>
          </w:p>
        </w:tc>
        <w:tc>
          <w:tcPr>
            <w:tcW w:w="1350" w:type="dxa"/>
            <w:tcBorders>
              <w:top w:val="single" w:sz="4" w:space="0" w:color="auto"/>
              <w:left w:val="nil"/>
              <w:bottom w:val="double" w:sz="4" w:space="0" w:color="auto"/>
              <w:right w:val="nil"/>
            </w:tcBorders>
            <w:hideMark/>
          </w:tcPr>
          <w:p w14:paraId="389BBE5A" w14:textId="77777777" w:rsidR="00334FCA" w:rsidRPr="00334FCA" w:rsidRDefault="00334FCA" w:rsidP="00334FCA">
            <w:pPr>
              <w:tabs>
                <w:tab w:val="right" w:pos="1008"/>
              </w:tabs>
              <w:jc w:val="both"/>
            </w:pPr>
            <w:r w:rsidRPr="00334FCA">
              <w:t>$</w:t>
            </w:r>
            <w:r w:rsidRPr="00334FCA">
              <w:tab/>
              <w:t>--</w:t>
            </w:r>
          </w:p>
        </w:tc>
        <w:tc>
          <w:tcPr>
            <w:tcW w:w="1350" w:type="dxa"/>
            <w:tcBorders>
              <w:top w:val="single" w:sz="4" w:space="0" w:color="auto"/>
              <w:left w:val="nil"/>
              <w:bottom w:val="double" w:sz="4" w:space="0" w:color="auto"/>
              <w:right w:val="nil"/>
            </w:tcBorders>
            <w:hideMark/>
          </w:tcPr>
          <w:p w14:paraId="49E250FF" w14:textId="77777777" w:rsidR="00334FCA" w:rsidRPr="00334FCA" w:rsidRDefault="00334FCA" w:rsidP="00334FCA">
            <w:pPr>
              <w:tabs>
                <w:tab w:val="right" w:pos="990"/>
              </w:tabs>
              <w:jc w:val="both"/>
            </w:pPr>
            <w:r w:rsidRPr="00334FCA">
              <w:t>$</w:t>
            </w:r>
            <w:r w:rsidRPr="00334FCA">
              <w:tab/>
              <w:t>--</w:t>
            </w:r>
          </w:p>
        </w:tc>
      </w:tr>
    </w:tbl>
    <w:p w14:paraId="57BBA647" w14:textId="77777777" w:rsidR="00334FCA" w:rsidRPr="00334FCA" w:rsidRDefault="00334FCA" w:rsidP="00334FCA">
      <w:pPr>
        <w:jc w:val="both"/>
      </w:pPr>
    </w:p>
    <w:p w14:paraId="54E6D30D" w14:textId="46F564A1" w:rsidR="00334FCA" w:rsidRPr="00334FCA" w:rsidRDefault="00334FCA" w:rsidP="00334FCA">
      <w:pPr>
        <w:numPr>
          <w:ilvl w:val="0"/>
          <w:numId w:val="8"/>
        </w:numPr>
      </w:pPr>
      <w:r w:rsidRPr="00334FCA">
        <w:t>Our operating lease obligations relate to the facility lease for our 8,430 square foot facility in Smyrna, Georgia, which houses our laboratory operations and our administrative offices.  The current term of our lease expires on December 31, 2019</w:t>
      </w:r>
      <w:r w:rsidR="00330EA0">
        <w:t>; an extension beyond that date is currently under negotiation</w:t>
      </w:r>
      <w:r w:rsidRPr="00334FCA">
        <w:t>.</w:t>
      </w:r>
    </w:p>
    <w:p w14:paraId="363B6AB9" w14:textId="77777777" w:rsidR="00334FCA" w:rsidRPr="00334FCA" w:rsidRDefault="00334FCA" w:rsidP="00334FCA">
      <w:pPr>
        <w:numPr>
          <w:ilvl w:val="0"/>
          <w:numId w:val="8"/>
        </w:numPr>
      </w:pPr>
      <w:r w:rsidRPr="00334FCA">
        <w:t>Purchase obligations relate to contracts for research activities, payment of which will be reimbursable to us pursuant to our government grants.</w:t>
      </w:r>
    </w:p>
    <w:p w14:paraId="2079FC3F" w14:textId="77777777" w:rsidR="00334FCA" w:rsidRPr="00334FCA" w:rsidRDefault="00334FCA" w:rsidP="00334FCA"/>
    <w:p w14:paraId="02CEC9D8" w14:textId="4BA6F39B" w:rsidR="00334FCA" w:rsidRPr="00334FCA" w:rsidRDefault="00334FCA" w:rsidP="00334FCA">
      <w:r w:rsidRPr="00334FCA">
        <w:t xml:space="preserve">As of </w:t>
      </w:r>
      <w:r w:rsidR="00330EA0">
        <w:t>September</w:t>
      </w:r>
      <w:r w:rsidRPr="00334FCA">
        <w:t xml:space="preserve"> 3</w:t>
      </w:r>
      <w:r w:rsidR="00FB6834">
        <w:t>0</w:t>
      </w:r>
      <w:r w:rsidRPr="00334FCA">
        <w:t>, 201</w:t>
      </w:r>
      <w:r>
        <w:t>9</w:t>
      </w:r>
      <w:r w:rsidRPr="00334FCA">
        <w:t>, except as disclosed in the table above, we had no other material firm purchase obligations or commitments for capital expenditures and no committed lines of credit or other committed funding or long-term debt</w:t>
      </w:r>
      <w:r>
        <w:t>,</w:t>
      </w:r>
      <w:r w:rsidRPr="00334FCA">
        <w:t xml:space="preserve"> </w:t>
      </w:r>
      <w:r>
        <w:t>with the exception of the note payable to GRA ($</w:t>
      </w:r>
      <w:r w:rsidR="00FB6834">
        <w:t>4</w:t>
      </w:r>
      <w:r w:rsidR="00330EA0">
        <w:t>1,667</w:t>
      </w:r>
      <w:r>
        <w:t xml:space="preserve"> remaining principal balance at </w:t>
      </w:r>
      <w:r w:rsidR="00330EA0">
        <w:t>September</w:t>
      </w:r>
      <w:r>
        <w:t xml:space="preserve"> 3</w:t>
      </w:r>
      <w:r w:rsidR="00FB6834">
        <w:t>0</w:t>
      </w:r>
      <w:r>
        <w:t>, 2019)</w:t>
      </w:r>
      <w:r w:rsidRPr="00334FCA">
        <w:t xml:space="preserve">. We have employment agreements with our executive officers, each of which may be terminated with no more than 90 days’ advance written notice. </w:t>
      </w:r>
      <w:r>
        <w:t>Pursuant to existing technology license agreements, w</w:t>
      </w:r>
      <w:r w:rsidRPr="00334FCA">
        <w:t xml:space="preserve">e </w:t>
      </w:r>
      <w:r>
        <w:t>may be</w:t>
      </w:r>
      <w:r w:rsidRPr="00334FCA">
        <w:t xml:space="preserve"> </w:t>
      </w:r>
      <w:r>
        <w:t>required</w:t>
      </w:r>
      <w:r w:rsidRPr="00334FCA">
        <w:t xml:space="preserve"> to make potential future milestone and royalty payments which are contingent upon the occurrence of future events.  Such events include development milestones, regulatory approvals and product sales.  Because the achievement of these milestones is currently neither probable nor reasonably estimable, the contingent payments have not been included in the table above or recorded </w:t>
      </w:r>
      <w:r>
        <w:t>in our</w:t>
      </w:r>
      <w:r w:rsidRPr="00334FCA">
        <w:t xml:space="preserve"> </w:t>
      </w:r>
      <w:r>
        <w:t>financial statements</w:t>
      </w:r>
      <w:r w:rsidRPr="00334FCA">
        <w:t>.</w:t>
      </w:r>
    </w:p>
    <w:p w14:paraId="056008B7" w14:textId="503B08B4" w:rsidR="00AC34FC" w:rsidRDefault="00AC34FC" w:rsidP="000A55AE"/>
    <w:p w14:paraId="6DC10263" w14:textId="16CF8582" w:rsidR="00C212D3" w:rsidRPr="001C6303" w:rsidRDefault="009E4E85" w:rsidP="000A55AE">
      <w:pPr>
        <w:pStyle w:val="BodyTitle"/>
        <w:spacing w:after="0"/>
        <w:rPr>
          <w:b/>
          <w:u w:val="none"/>
        </w:rPr>
      </w:pPr>
      <w:r w:rsidRPr="001C6303">
        <w:rPr>
          <w:b/>
          <w:u w:val="none"/>
        </w:rPr>
        <w:t>Results of Operations</w:t>
      </w:r>
    </w:p>
    <w:p w14:paraId="176DFFB3" w14:textId="77777777" w:rsidR="000A55AE" w:rsidRDefault="000A55AE" w:rsidP="000A55AE">
      <w:pPr>
        <w:pStyle w:val="BodyText"/>
        <w:spacing w:after="0"/>
        <w:rPr>
          <w:rStyle w:val="BodySubtitleChar"/>
        </w:rPr>
      </w:pPr>
    </w:p>
    <w:p w14:paraId="208573EC" w14:textId="14B8FA7B" w:rsidR="004A3014" w:rsidRPr="004A3014" w:rsidRDefault="0007631A" w:rsidP="000A55AE">
      <w:pPr>
        <w:pStyle w:val="BodyText"/>
        <w:spacing w:after="0"/>
      </w:pPr>
      <w:r w:rsidRPr="004A3014">
        <w:rPr>
          <w:rStyle w:val="BodySubtitleChar"/>
        </w:rPr>
        <w:t>Net Loss</w:t>
      </w:r>
    </w:p>
    <w:p w14:paraId="2E0731DF" w14:textId="77777777" w:rsidR="00F044BE" w:rsidRPr="00EA0483" w:rsidRDefault="00F044BE" w:rsidP="000A55AE">
      <w:pPr>
        <w:pStyle w:val="BodyText"/>
        <w:spacing w:after="0"/>
        <w:rPr>
          <w:rStyle w:val="BodySubtitleChar"/>
          <w:i w:val="0"/>
          <w:iCs w:val="0"/>
        </w:rPr>
      </w:pPr>
    </w:p>
    <w:p w14:paraId="2362A0B4" w14:textId="6F2BEEF1" w:rsidR="00F044BE" w:rsidRPr="00EA0483" w:rsidRDefault="00F044BE" w:rsidP="00F044BE">
      <w:pPr>
        <w:pStyle w:val="BodyText"/>
        <w:spacing w:after="0"/>
        <w:rPr>
          <w:rStyle w:val="BodySubtitleChar"/>
          <w:i w:val="0"/>
          <w:iCs w:val="0"/>
        </w:rPr>
      </w:pPr>
      <w:r w:rsidRPr="001C6303">
        <w:t>We recorded a net loss of $</w:t>
      </w:r>
      <w:r w:rsidR="008774F2">
        <w:t>424,434</w:t>
      </w:r>
      <w:r w:rsidRPr="001C6303">
        <w:t xml:space="preserve"> for the three</w:t>
      </w:r>
      <w:r>
        <w:t>-</w:t>
      </w:r>
      <w:r w:rsidRPr="001C6303">
        <w:t>month</w:t>
      </w:r>
      <w:r>
        <w:t xml:space="preserve"> period</w:t>
      </w:r>
      <w:r w:rsidRPr="001C6303">
        <w:t xml:space="preserve"> ended </w:t>
      </w:r>
      <w:r w:rsidR="008774F2">
        <w:t>September</w:t>
      </w:r>
      <w:r>
        <w:t xml:space="preserve"> 30, 2019, as compared to $</w:t>
      </w:r>
      <w:r w:rsidR="008774F2">
        <w:t>666,893</w:t>
      </w:r>
      <w:r w:rsidRPr="001C6303">
        <w:t xml:space="preserve"> for the three</w:t>
      </w:r>
      <w:r>
        <w:t>-</w:t>
      </w:r>
      <w:r w:rsidRPr="001C6303">
        <w:t>month</w:t>
      </w:r>
      <w:r>
        <w:t xml:space="preserve"> period</w:t>
      </w:r>
      <w:r w:rsidRPr="001C6303">
        <w:t xml:space="preserve"> ended </w:t>
      </w:r>
      <w:r w:rsidR="008774F2">
        <w:t>September</w:t>
      </w:r>
      <w:r>
        <w:t xml:space="preserve"> 30, 2018</w:t>
      </w:r>
      <w:r w:rsidRPr="001C6303">
        <w:t>.</w:t>
      </w:r>
      <w:r w:rsidRPr="00884B35">
        <w:t xml:space="preserve"> </w:t>
      </w:r>
      <w:r>
        <w:t xml:space="preserve">For the </w:t>
      </w:r>
      <w:r w:rsidR="008774F2">
        <w:t>nine</w:t>
      </w:r>
      <w:r>
        <w:t xml:space="preserve">-month period ended </w:t>
      </w:r>
      <w:r w:rsidR="008774F2">
        <w:t>September</w:t>
      </w:r>
      <w:r>
        <w:t xml:space="preserve"> 30, 2019, we recorded a net loss of $1,</w:t>
      </w:r>
      <w:r w:rsidR="008774F2">
        <w:t>780,036</w:t>
      </w:r>
      <w:r>
        <w:t>, as compared to $1,</w:t>
      </w:r>
      <w:r w:rsidR="008774F2">
        <w:t>925,749</w:t>
      </w:r>
      <w:r>
        <w:t xml:space="preserve"> for the </w:t>
      </w:r>
      <w:r w:rsidR="008774F2">
        <w:t>nine</w:t>
      </w:r>
      <w:r>
        <w:t xml:space="preserve">-month period ended </w:t>
      </w:r>
      <w:r w:rsidR="008774F2">
        <w:t>September</w:t>
      </w:r>
      <w:r>
        <w:t xml:space="preserve"> 30, 2018. </w:t>
      </w:r>
      <w:r w:rsidRPr="001C6303">
        <w:t xml:space="preserve">Our net losses </w:t>
      </w:r>
      <w:r>
        <w:t xml:space="preserve">will </w:t>
      </w:r>
      <w:r w:rsidRPr="001C6303">
        <w:t>typically fluctuate due to the timing of activities and related costs associated with our vaccine research and development activities and our general and administrative costs, as described in more detail below.</w:t>
      </w:r>
    </w:p>
    <w:p w14:paraId="6CB991DD" w14:textId="77777777" w:rsidR="000A55AE" w:rsidRDefault="000A55AE" w:rsidP="000A55AE">
      <w:pPr>
        <w:pStyle w:val="BodyText"/>
        <w:spacing w:after="0"/>
        <w:rPr>
          <w:rStyle w:val="BodySubtitleChar"/>
        </w:rPr>
      </w:pPr>
    </w:p>
    <w:p w14:paraId="7C446D6F" w14:textId="77777777" w:rsidR="006E60BB" w:rsidRDefault="006E60BB">
      <w:pPr>
        <w:rPr>
          <w:rStyle w:val="BodySubtitleChar"/>
        </w:rPr>
      </w:pPr>
      <w:r>
        <w:rPr>
          <w:rStyle w:val="BodySubtitleChar"/>
        </w:rPr>
        <w:br w:type="page"/>
      </w:r>
    </w:p>
    <w:p w14:paraId="7B8B4C98" w14:textId="60501BB9" w:rsidR="004A3014" w:rsidRPr="008C5B79" w:rsidRDefault="0007631A" w:rsidP="000A55AE">
      <w:pPr>
        <w:pStyle w:val="BodyText"/>
        <w:spacing w:after="0"/>
      </w:pPr>
      <w:r w:rsidRPr="004A3014">
        <w:rPr>
          <w:rStyle w:val="BodySubtitleChar"/>
        </w:rPr>
        <w:lastRenderedPageBreak/>
        <w:t>Grant</w:t>
      </w:r>
      <w:r w:rsidR="009126EB">
        <w:rPr>
          <w:rStyle w:val="BodySubtitleChar"/>
        </w:rPr>
        <w:t xml:space="preserve"> and Collaboration</w:t>
      </w:r>
      <w:r w:rsidRPr="004A3014">
        <w:rPr>
          <w:rStyle w:val="BodySubtitleChar"/>
        </w:rPr>
        <w:t xml:space="preserve"> Revenue</w:t>
      </w:r>
      <w:r w:rsidR="009F36C6">
        <w:rPr>
          <w:rStyle w:val="BodySubtitleChar"/>
        </w:rPr>
        <w:t>s</w:t>
      </w:r>
    </w:p>
    <w:p w14:paraId="5F061850" w14:textId="77777777" w:rsidR="000A55AE" w:rsidRDefault="000A55AE" w:rsidP="000A55AE">
      <w:pPr>
        <w:pStyle w:val="BodyText"/>
        <w:spacing w:after="0"/>
      </w:pPr>
    </w:p>
    <w:p w14:paraId="11ABF031" w14:textId="1330EDA0" w:rsidR="00540E25" w:rsidRDefault="00202BAB" w:rsidP="000A55AE">
      <w:pPr>
        <w:pStyle w:val="BodyText"/>
        <w:spacing w:after="0"/>
      </w:pPr>
      <w:r w:rsidRPr="00184417">
        <w:t>During the three</w:t>
      </w:r>
      <w:r>
        <w:t>-month</w:t>
      </w:r>
      <w:r w:rsidRPr="00184417">
        <w:t xml:space="preserve"> </w:t>
      </w:r>
      <w:r w:rsidR="00F044BE">
        <w:t xml:space="preserve">and </w:t>
      </w:r>
      <w:r w:rsidR="008774F2">
        <w:t>nine</w:t>
      </w:r>
      <w:r w:rsidR="00F044BE">
        <w:t xml:space="preserve">-month </w:t>
      </w:r>
      <w:r w:rsidR="00C500F1">
        <w:t>period</w:t>
      </w:r>
      <w:r w:rsidR="00F044BE">
        <w:t>s</w:t>
      </w:r>
      <w:r>
        <w:t xml:space="preserve"> ended </w:t>
      </w:r>
      <w:r w:rsidR="008774F2">
        <w:t>September</w:t>
      </w:r>
      <w:r w:rsidR="00C500F1">
        <w:t xml:space="preserve"> 3</w:t>
      </w:r>
      <w:r w:rsidR="00F044BE">
        <w:t>0</w:t>
      </w:r>
      <w:r w:rsidR="00C500F1">
        <w:t>, 201</w:t>
      </w:r>
      <w:r w:rsidR="00540E25">
        <w:t>9</w:t>
      </w:r>
      <w:r>
        <w:t xml:space="preserve">, we </w:t>
      </w:r>
      <w:r w:rsidRPr="00184417">
        <w:t>recorded</w:t>
      </w:r>
      <w:r w:rsidR="00F872A9">
        <w:t xml:space="preserve"> </w:t>
      </w:r>
      <w:r w:rsidR="00F872A9" w:rsidRPr="00E16565">
        <w:t>grant</w:t>
      </w:r>
      <w:r w:rsidR="009312E9" w:rsidRPr="00E16565">
        <w:t xml:space="preserve"> </w:t>
      </w:r>
      <w:r w:rsidR="009126EB" w:rsidRPr="00E16565">
        <w:t>and collaboration</w:t>
      </w:r>
      <w:r w:rsidR="00E16565">
        <w:t xml:space="preserve"> </w:t>
      </w:r>
      <w:r w:rsidR="00F872A9">
        <w:t>revenue</w:t>
      </w:r>
      <w:r w:rsidR="00C500F1">
        <w:t>s</w:t>
      </w:r>
      <w:r w:rsidR="00F872A9">
        <w:t xml:space="preserve"> of </w:t>
      </w:r>
      <w:r w:rsidR="009312E9">
        <w:t>$</w:t>
      </w:r>
      <w:r w:rsidR="008774F2">
        <w:t>333,209</w:t>
      </w:r>
      <w:r w:rsidR="00F044BE">
        <w:t xml:space="preserve"> and $</w:t>
      </w:r>
      <w:r w:rsidR="008774F2">
        <w:t>907,382</w:t>
      </w:r>
      <w:r w:rsidR="00F044BE">
        <w:t>, respectively</w:t>
      </w:r>
      <w:r>
        <w:t>, as compared to $</w:t>
      </w:r>
      <w:r w:rsidR="008774F2">
        <w:t>349,344</w:t>
      </w:r>
      <w:r w:rsidR="00F044BE">
        <w:t xml:space="preserve"> and $</w:t>
      </w:r>
      <w:r w:rsidR="008774F2">
        <w:t>663,908</w:t>
      </w:r>
      <w:r w:rsidR="00F044BE">
        <w:t>, respectively,</w:t>
      </w:r>
      <w:r w:rsidR="00C500F1">
        <w:t xml:space="preserve"> </w:t>
      </w:r>
      <w:r>
        <w:t>durin</w:t>
      </w:r>
      <w:r w:rsidR="00C73A89">
        <w:t>g the comparable period</w:t>
      </w:r>
      <w:r w:rsidR="00F044BE">
        <w:t>s</w:t>
      </w:r>
      <w:r w:rsidR="00C500F1">
        <w:t xml:space="preserve"> of 201</w:t>
      </w:r>
      <w:r w:rsidR="00540E25">
        <w:t>8</w:t>
      </w:r>
      <w:r>
        <w:t>.</w:t>
      </w:r>
    </w:p>
    <w:p w14:paraId="4C3678B2" w14:textId="47ADD1D8" w:rsidR="00540E25" w:rsidRDefault="00540E25" w:rsidP="000A55AE">
      <w:pPr>
        <w:pStyle w:val="BodyText"/>
        <w:spacing w:after="0"/>
      </w:pPr>
    </w:p>
    <w:p w14:paraId="4A0AA547" w14:textId="3B6E6A64" w:rsidR="004252E7" w:rsidRDefault="00540E25" w:rsidP="00B4718E">
      <w:r>
        <w:rPr>
          <w:u w:val="single"/>
        </w:rPr>
        <w:t xml:space="preserve">Grant </w:t>
      </w:r>
      <w:r w:rsidRPr="00540E25">
        <w:rPr>
          <w:u w:val="single"/>
        </w:rPr>
        <w:t>Revenues</w:t>
      </w:r>
      <w:r w:rsidRPr="00540E25">
        <w:t xml:space="preserve"> – Our grant revenues relate to grants from agencies of the U.S. government in support of our vaccine development activities. We record revenue associated with these grants as the related costs and expenses are incurred. The difference in our grant revenues from period to period is dependent upon our expenditures for activities supported by the grants and fluctuates based on the timing of the expenditures. Additional detail concerning our grant revenues and the remaining funds available for use as of </w:t>
      </w:r>
      <w:r w:rsidR="008774F2">
        <w:t>September</w:t>
      </w:r>
      <w:r w:rsidRPr="00540E25">
        <w:t xml:space="preserve"> 3</w:t>
      </w:r>
      <w:r w:rsidR="00F044BE">
        <w:t>0</w:t>
      </w:r>
      <w:r w:rsidRPr="00540E25">
        <w:t>, 201</w:t>
      </w:r>
      <w:r>
        <w:t>9</w:t>
      </w:r>
      <w:r w:rsidRPr="00540E25">
        <w:t xml:space="preserve"> is presented in the table below.</w:t>
      </w:r>
    </w:p>
    <w:p w14:paraId="39FE6BC8" w14:textId="77777777" w:rsidR="00F044BE" w:rsidRDefault="00F044BE" w:rsidP="00B4718E"/>
    <w:tbl>
      <w:tblPr>
        <w:tblStyle w:val="TableGrid1"/>
        <w:tblW w:w="9450" w:type="dxa"/>
        <w:tblLayout w:type="fixed"/>
        <w:tblLook w:val="04A0" w:firstRow="1" w:lastRow="0" w:firstColumn="1" w:lastColumn="0" w:noHBand="0" w:noVBand="1"/>
      </w:tblPr>
      <w:tblGrid>
        <w:gridCol w:w="3150"/>
        <w:gridCol w:w="1350"/>
        <w:gridCol w:w="1035"/>
        <w:gridCol w:w="1147"/>
        <w:gridCol w:w="1148"/>
        <w:gridCol w:w="1620"/>
      </w:tblGrid>
      <w:tr w:rsidR="00F044BE" w:rsidRPr="00E90493" w14:paraId="27109C6A" w14:textId="77777777" w:rsidTr="00EA1CE2">
        <w:tc>
          <w:tcPr>
            <w:tcW w:w="3150" w:type="dxa"/>
            <w:tcBorders>
              <w:top w:val="nil"/>
              <w:left w:val="nil"/>
              <w:bottom w:val="nil"/>
              <w:right w:val="nil"/>
            </w:tcBorders>
          </w:tcPr>
          <w:p w14:paraId="15735FB9" w14:textId="77777777" w:rsidR="00F044BE" w:rsidRPr="00E90493" w:rsidRDefault="00F044BE" w:rsidP="00EA1CE2">
            <w:pPr>
              <w:rPr>
                <w:sz w:val="18"/>
                <w:szCs w:val="18"/>
              </w:rPr>
            </w:pPr>
          </w:p>
        </w:tc>
        <w:tc>
          <w:tcPr>
            <w:tcW w:w="4680" w:type="dxa"/>
            <w:gridSpan w:val="4"/>
            <w:tcBorders>
              <w:top w:val="nil"/>
              <w:left w:val="nil"/>
              <w:bottom w:val="single" w:sz="4" w:space="0" w:color="auto"/>
              <w:right w:val="nil"/>
            </w:tcBorders>
          </w:tcPr>
          <w:p w14:paraId="062C0843" w14:textId="36FCD8B8" w:rsidR="00F044BE" w:rsidRPr="00E90493" w:rsidRDefault="00F044BE" w:rsidP="00EA1CE2">
            <w:pPr>
              <w:tabs>
                <w:tab w:val="right" w:pos="989"/>
              </w:tabs>
              <w:jc w:val="center"/>
              <w:rPr>
                <w:sz w:val="18"/>
                <w:szCs w:val="18"/>
              </w:rPr>
            </w:pPr>
            <w:r>
              <w:rPr>
                <w:sz w:val="18"/>
                <w:szCs w:val="18"/>
              </w:rPr>
              <w:t>Grant Revenues Recorded During the Periods</w:t>
            </w:r>
            <w:r w:rsidR="00B4718E">
              <w:rPr>
                <w:sz w:val="18"/>
                <w:szCs w:val="18"/>
              </w:rPr>
              <w:t>:</w:t>
            </w:r>
          </w:p>
        </w:tc>
        <w:tc>
          <w:tcPr>
            <w:tcW w:w="1620" w:type="dxa"/>
            <w:tcBorders>
              <w:top w:val="nil"/>
              <w:left w:val="nil"/>
              <w:bottom w:val="nil"/>
              <w:right w:val="nil"/>
            </w:tcBorders>
          </w:tcPr>
          <w:p w14:paraId="6245B3D3" w14:textId="77777777" w:rsidR="00F044BE" w:rsidRPr="00E90493" w:rsidRDefault="00F044BE" w:rsidP="00EA1CE2">
            <w:pPr>
              <w:tabs>
                <w:tab w:val="right" w:pos="1246"/>
              </w:tabs>
              <w:jc w:val="center"/>
              <w:rPr>
                <w:sz w:val="18"/>
                <w:szCs w:val="18"/>
              </w:rPr>
            </w:pPr>
            <w:r>
              <w:rPr>
                <w:sz w:val="18"/>
                <w:szCs w:val="18"/>
              </w:rPr>
              <w:t>Unused</w:t>
            </w:r>
            <w:r w:rsidRPr="00E90493">
              <w:rPr>
                <w:sz w:val="18"/>
                <w:szCs w:val="18"/>
              </w:rPr>
              <w:t xml:space="preserve"> Funds</w:t>
            </w:r>
          </w:p>
        </w:tc>
      </w:tr>
      <w:tr w:rsidR="00F044BE" w:rsidRPr="00E90493" w14:paraId="7517669C" w14:textId="77777777" w:rsidTr="00EA1CE2">
        <w:tc>
          <w:tcPr>
            <w:tcW w:w="3150" w:type="dxa"/>
            <w:tcBorders>
              <w:top w:val="nil"/>
              <w:left w:val="nil"/>
              <w:bottom w:val="nil"/>
              <w:right w:val="nil"/>
            </w:tcBorders>
          </w:tcPr>
          <w:p w14:paraId="434D6487" w14:textId="77777777" w:rsidR="00F044BE" w:rsidRPr="00E90493" w:rsidRDefault="00F044BE" w:rsidP="00EA1CE2">
            <w:pPr>
              <w:rPr>
                <w:sz w:val="18"/>
                <w:szCs w:val="18"/>
              </w:rPr>
            </w:pPr>
          </w:p>
        </w:tc>
        <w:tc>
          <w:tcPr>
            <w:tcW w:w="2385" w:type="dxa"/>
            <w:gridSpan w:val="2"/>
            <w:tcBorders>
              <w:top w:val="single" w:sz="4" w:space="0" w:color="auto"/>
              <w:left w:val="nil"/>
              <w:bottom w:val="single" w:sz="4" w:space="0" w:color="auto"/>
              <w:right w:val="nil"/>
            </w:tcBorders>
          </w:tcPr>
          <w:p w14:paraId="0B16569A" w14:textId="3F916606" w:rsidR="00F044BE" w:rsidRPr="00E90493" w:rsidRDefault="00F044BE" w:rsidP="00EA1CE2">
            <w:pPr>
              <w:tabs>
                <w:tab w:val="right" w:pos="926"/>
                <w:tab w:val="right" w:pos="989"/>
              </w:tabs>
              <w:jc w:val="center"/>
              <w:rPr>
                <w:sz w:val="18"/>
                <w:szCs w:val="18"/>
              </w:rPr>
            </w:pPr>
            <w:r>
              <w:rPr>
                <w:sz w:val="18"/>
                <w:szCs w:val="18"/>
              </w:rPr>
              <w:t xml:space="preserve">Three Months </w:t>
            </w:r>
            <w:r w:rsidRPr="00E90493">
              <w:rPr>
                <w:sz w:val="18"/>
                <w:szCs w:val="18"/>
              </w:rPr>
              <w:t xml:space="preserve">Ended </w:t>
            </w:r>
            <w:r w:rsidR="008774F2">
              <w:rPr>
                <w:sz w:val="18"/>
                <w:szCs w:val="18"/>
              </w:rPr>
              <w:t>Sep</w:t>
            </w:r>
            <w:r w:rsidRPr="00E90493">
              <w:rPr>
                <w:sz w:val="18"/>
                <w:szCs w:val="18"/>
              </w:rPr>
              <w:t xml:space="preserve"> 30,</w:t>
            </w:r>
          </w:p>
        </w:tc>
        <w:tc>
          <w:tcPr>
            <w:tcW w:w="2295" w:type="dxa"/>
            <w:gridSpan w:val="2"/>
            <w:tcBorders>
              <w:top w:val="single" w:sz="4" w:space="0" w:color="auto"/>
              <w:left w:val="nil"/>
              <w:bottom w:val="single" w:sz="4" w:space="0" w:color="auto"/>
              <w:right w:val="nil"/>
            </w:tcBorders>
          </w:tcPr>
          <w:p w14:paraId="73051753" w14:textId="072244D2" w:rsidR="00F044BE" w:rsidRPr="00E90493" w:rsidRDefault="008774F2" w:rsidP="00EA1CE2">
            <w:pPr>
              <w:tabs>
                <w:tab w:val="right" w:pos="989"/>
              </w:tabs>
              <w:jc w:val="center"/>
              <w:rPr>
                <w:sz w:val="18"/>
                <w:szCs w:val="18"/>
              </w:rPr>
            </w:pPr>
            <w:r>
              <w:rPr>
                <w:sz w:val="18"/>
                <w:szCs w:val="18"/>
              </w:rPr>
              <w:t>Nine</w:t>
            </w:r>
            <w:r w:rsidR="00F044BE">
              <w:rPr>
                <w:sz w:val="18"/>
                <w:szCs w:val="18"/>
              </w:rPr>
              <w:t xml:space="preserve"> Months Ended </w:t>
            </w:r>
            <w:r>
              <w:rPr>
                <w:sz w:val="18"/>
                <w:szCs w:val="18"/>
              </w:rPr>
              <w:t>Sep</w:t>
            </w:r>
            <w:r w:rsidR="00F044BE">
              <w:rPr>
                <w:sz w:val="18"/>
                <w:szCs w:val="18"/>
              </w:rPr>
              <w:t xml:space="preserve"> 30,</w:t>
            </w:r>
          </w:p>
        </w:tc>
        <w:tc>
          <w:tcPr>
            <w:tcW w:w="1620" w:type="dxa"/>
            <w:tcBorders>
              <w:top w:val="nil"/>
              <w:left w:val="nil"/>
              <w:bottom w:val="nil"/>
              <w:right w:val="nil"/>
            </w:tcBorders>
          </w:tcPr>
          <w:p w14:paraId="255CD300" w14:textId="77777777" w:rsidR="00F044BE" w:rsidRPr="00E90493" w:rsidRDefault="00F044BE" w:rsidP="00EA1CE2">
            <w:pPr>
              <w:tabs>
                <w:tab w:val="right" w:pos="1246"/>
              </w:tabs>
              <w:jc w:val="center"/>
              <w:rPr>
                <w:sz w:val="18"/>
                <w:szCs w:val="18"/>
              </w:rPr>
            </w:pPr>
            <w:r w:rsidRPr="00E90493">
              <w:rPr>
                <w:sz w:val="18"/>
                <w:szCs w:val="18"/>
              </w:rPr>
              <w:t>Available at</w:t>
            </w:r>
          </w:p>
        </w:tc>
      </w:tr>
      <w:tr w:rsidR="00F044BE" w:rsidRPr="00E90493" w14:paraId="70B1ACF4" w14:textId="77777777" w:rsidTr="00EA1CE2">
        <w:tc>
          <w:tcPr>
            <w:tcW w:w="3150" w:type="dxa"/>
            <w:tcBorders>
              <w:top w:val="nil"/>
              <w:left w:val="nil"/>
              <w:bottom w:val="nil"/>
              <w:right w:val="nil"/>
            </w:tcBorders>
          </w:tcPr>
          <w:p w14:paraId="1DC8770B" w14:textId="77777777" w:rsidR="00F044BE" w:rsidRPr="00E90493" w:rsidRDefault="00F044BE" w:rsidP="00EA1CE2">
            <w:pPr>
              <w:rPr>
                <w:sz w:val="18"/>
                <w:szCs w:val="18"/>
              </w:rPr>
            </w:pPr>
          </w:p>
        </w:tc>
        <w:tc>
          <w:tcPr>
            <w:tcW w:w="1350" w:type="dxa"/>
            <w:tcBorders>
              <w:top w:val="single" w:sz="4" w:space="0" w:color="auto"/>
              <w:left w:val="nil"/>
              <w:bottom w:val="single" w:sz="4" w:space="0" w:color="auto"/>
              <w:right w:val="nil"/>
            </w:tcBorders>
          </w:tcPr>
          <w:p w14:paraId="2E8BAAF4" w14:textId="7C3DB472" w:rsidR="00F044BE" w:rsidRPr="00E90493" w:rsidRDefault="00F044BE" w:rsidP="00EA1CE2">
            <w:pPr>
              <w:tabs>
                <w:tab w:val="right" w:pos="969"/>
              </w:tabs>
              <w:jc w:val="center"/>
              <w:rPr>
                <w:sz w:val="18"/>
                <w:szCs w:val="18"/>
              </w:rPr>
            </w:pPr>
            <w:r w:rsidRPr="00E90493">
              <w:rPr>
                <w:sz w:val="18"/>
                <w:szCs w:val="18"/>
              </w:rPr>
              <w:t>201</w:t>
            </w:r>
            <w:r>
              <w:rPr>
                <w:sz w:val="18"/>
                <w:szCs w:val="18"/>
              </w:rPr>
              <w:t>9</w:t>
            </w:r>
          </w:p>
        </w:tc>
        <w:tc>
          <w:tcPr>
            <w:tcW w:w="1035" w:type="dxa"/>
            <w:tcBorders>
              <w:top w:val="single" w:sz="4" w:space="0" w:color="auto"/>
              <w:left w:val="nil"/>
              <w:bottom w:val="single" w:sz="4" w:space="0" w:color="auto"/>
              <w:right w:val="nil"/>
            </w:tcBorders>
          </w:tcPr>
          <w:p w14:paraId="3F2A10D5" w14:textId="0D5B89E4" w:rsidR="00F044BE" w:rsidRPr="00E90493" w:rsidRDefault="00F044BE" w:rsidP="00EA1CE2">
            <w:pPr>
              <w:tabs>
                <w:tab w:val="right" w:pos="926"/>
                <w:tab w:val="right" w:pos="989"/>
              </w:tabs>
              <w:jc w:val="center"/>
              <w:rPr>
                <w:sz w:val="18"/>
                <w:szCs w:val="18"/>
              </w:rPr>
            </w:pPr>
            <w:r w:rsidRPr="00E90493">
              <w:rPr>
                <w:sz w:val="18"/>
                <w:szCs w:val="18"/>
              </w:rPr>
              <w:t>201</w:t>
            </w:r>
            <w:r>
              <w:rPr>
                <w:sz w:val="18"/>
                <w:szCs w:val="18"/>
              </w:rPr>
              <w:t>8</w:t>
            </w:r>
          </w:p>
        </w:tc>
        <w:tc>
          <w:tcPr>
            <w:tcW w:w="1147" w:type="dxa"/>
            <w:tcBorders>
              <w:top w:val="single" w:sz="4" w:space="0" w:color="auto"/>
              <w:left w:val="nil"/>
              <w:bottom w:val="single" w:sz="4" w:space="0" w:color="auto"/>
              <w:right w:val="nil"/>
            </w:tcBorders>
          </w:tcPr>
          <w:p w14:paraId="4BD48C14" w14:textId="774C4641" w:rsidR="00F044BE" w:rsidRPr="00E90493" w:rsidRDefault="00F044BE" w:rsidP="00EA1CE2">
            <w:pPr>
              <w:tabs>
                <w:tab w:val="right" w:pos="989"/>
              </w:tabs>
              <w:jc w:val="center"/>
              <w:rPr>
                <w:sz w:val="18"/>
                <w:szCs w:val="18"/>
              </w:rPr>
            </w:pPr>
            <w:r w:rsidRPr="00E90493">
              <w:rPr>
                <w:sz w:val="18"/>
                <w:szCs w:val="18"/>
              </w:rPr>
              <w:t>201</w:t>
            </w:r>
            <w:r>
              <w:rPr>
                <w:sz w:val="18"/>
                <w:szCs w:val="18"/>
              </w:rPr>
              <w:t>9</w:t>
            </w:r>
          </w:p>
        </w:tc>
        <w:tc>
          <w:tcPr>
            <w:tcW w:w="1148" w:type="dxa"/>
            <w:tcBorders>
              <w:top w:val="single" w:sz="4" w:space="0" w:color="auto"/>
              <w:left w:val="nil"/>
              <w:bottom w:val="single" w:sz="4" w:space="0" w:color="auto"/>
              <w:right w:val="nil"/>
            </w:tcBorders>
          </w:tcPr>
          <w:p w14:paraId="340EA6CB" w14:textId="3EFE2EE3" w:rsidR="00F044BE" w:rsidRPr="00E90493" w:rsidRDefault="00F044BE" w:rsidP="00EA1CE2">
            <w:pPr>
              <w:tabs>
                <w:tab w:val="right" w:pos="989"/>
              </w:tabs>
              <w:jc w:val="center"/>
              <w:rPr>
                <w:sz w:val="18"/>
                <w:szCs w:val="18"/>
              </w:rPr>
            </w:pPr>
            <w:r w:rsidRPr="00E90493">
              <w:rPr>
                <w:sz w:val="18"/>
                <w:szCs w:val="18"/>
              </w:rPr>
              <w:t>201</w:t>
            </w:r>
            <w:r>
              <w:rPr>
                <w:sz w:val="18"/>
                <w:szCs w:val="18"/>
              </w:rPr>
              <w:t>8</w:t>
            </w:r>
          </w:p>
        </w:tc>
        <w:tc>
          <w:tcPr>
            <w:tcW w:w="1620" w:type="dxa"/>
            <w:tcBorders>
              <w:top w:val="nil"/>
              <w:left w:val="nil"/>
              <w:bottom w:val="single" w:sz="4" w:space="0" w:color="auto"/>
              <w:right w:val="nil"/>
            </w:tcBorders>
          </w:tcPr>
          <w:p w14:paraId="3121972F" w14:textId="090EBF2A" w:rsidR="00F044BE" w:rsidRPr="00E90493" w:rsidRDefault="008774F2" w:rsidP="00EA1CE2">
            <w:pPr>
              <w:tabs>
                <w:tab w:val="right" w:pos="1246"/>
              </w:tabs>
              <w:jc w:val="center"/>
              <w:rPr>
                <w:sz w:val="18"/>
                <w:szCs w:val="18"/>
              </w:rPr>
            </w:pPr>
            <w:r>
              <w:rPr>
                <w:sz w:val="18"/>
                <w:szCs w:val="18"/>
              </w:rPr>
              <w:t>Sep</w:t>
            </w:r>
            <w:r w:rsidR="00F044BE" w:rsidRPr="00E90493">
              <w:rPr>
                <w:sz w:val="18"/>
                <w:szCs w:val="18"/>
              </w:rPr>
              <w:t xml:space="preserve"> 30, 201</w:t>
            </w:r>
            <w:r w:rsidR="00F044BE">
              <w:rPr>
                <w:sz w:val="18"/>
                <w:szCs w:val="18"/>
              </w:rPr>
              <w:t>9</w:t>
            </w:r>
          </w:p>
        </w:tc>
      </w:tr>
      <w:tr w:rsidR="00B4718E" w:rsidRPr="00E90493" w14:paraId="45369B29" w14:textId="77777777" w:rsidTr="00B4718E">
        <w:tc>
          <w:tcPr>
            <w:tcW w:w="3150" w:type="dxa"/>
            <w:tcBorders>
              <w:top w:val="nil"/>
              <w:left w:val="nil"/>
              <w:bottom w:val="nil"/>
              <w:right w:val="nil"/>
            </w:tcBorders>
          </w:tcPr>
          <w:p w14:paraId="460934B5" w14:textId="77777777" w:rsidR="00B4718E" w:rsidRDefault="00B4718E" w:rsidP="00EA1CE2">
            <w:pPr>
              <w:rPr>
                <w:sz w:val="18"/>
                <w:szCs w:val="18"/>
              </w:rPr>
            </w:pPr>
            <w:r>
              <w:rPr>
                <w:sz w:val="18"/>
                <w:szCs w:val="18"/>
              </w:rPr>
              <w:t>Lassa Fever – U.S. Army Grant</w:t>
            </w:r>
          </w:p>
        </w:tc>
        <w:tc>
          <w:tcPr>
            <w:tcW w:w="1350" w:type="dxa"/>
            <w:tcBorders>
              <w:top w:val="nil"/>
              <w:left w:val="nil"/>
              <w:bottom w:val="nil"/>
              <w:right w:val="nil"/>
            </w:tcBorders>
          </w:tcPr>
          <w:p w14:paraId="6A37D13A" w14:textId="639DAC72" w:rsidR="00B4718E" w:rsidRDefault="00505DBA" w:rsidP="00EA1CE2">
            <w:pPr>
              <w:tabs>
                <w:tab w:val="right" w:pos="969"/>
              </w:tabs>
              <w:rPr>
                <w:sz w:val="18"/>
                <w:szCs w:val="18"/>
              </w:rPr>
            </w:pPr>
            <w:r>
              <w:rPr>
                <w:sz w:val="18"/>
                <w:szCs w:val="18"/>
              </w:rPr>
              <w:t>$</w:t>
            </w:r>
            <w:r w:rsidR="00B4718E">
              <w:rPr>
                <w:sz w:val="18"/>
                <w:szCs w:val="18"/>
              </w:rPr>
              <w:tab/>
            </w:r>
            <w:r w:rsidR="008774F2">
              <w:rPr>
                <w:sz w:val="18"/>
                <w:szCs w:val="18"/>
              </w:rPr>
              <w:t>150,015</w:t>
            </w:r>
          </w:p>
        </w:tc>
        <w:tc>
          <w:tcPr>
            <w:tcW w:w="1035" w:type="dxa"/>
            <w:tcBorders>
              <w:top w:val="nil"/>
              <w:left w:val="nil"/>
              <w:bottom w:val="nil"/>
              <w:right w:val="nil"/>
            </w:tcBorders>
          </w:tcPr>
          <w:p w14:paraId="7A62973A" w14:textId="32ED8C26" w:rsidR="00B4718E" w:rsidRDefault="00505DBA" w:rsidP="00EA1CE2">
            <w:pPr>
              <w:tabs>
                <w:tab w:val="right" w:pos="926"/>
                <w:tab w:val="right" w:pos="989"/>
              </w:tabs>
              <w:rPr>
                <w:sz w:val="18"/>
                <w:szCs w:val="18"/>
              </w:rPr>
            </w:pPr>
            <w:r>
              <w:rPr>
                <w:sz w:val="18"/>
                <w:szCs w:val="18"/>
              </w:rPr>
              <w:t>$</w:t>
            </w:r>
            <w:r w:rsidR="00B4718E">
              <w:rPr>
                <w:sz w:val="18"/>
                <w:szCs w:val="18"/>
              </w:rPr>
              <w:tab/>
            </w:r>
            <w:r w:rsidR="008774F2">
              <w:rPr>
                <w:sz w:val="18"/>
                <w:szCs w:val="18"/>
              </w:rPr>
              <w:t>14,757</w:t>
            </w:r>
          </w:p>
        </w:tc>
        <w:tc>
          <w:tcPr>
            <w:tcW w:w="1147" w:type="dxa"/>
            <w:tcBorders>
              <w:top w:val="nil"/>
              <w:left w:val="nil"/>
              <w:bottom w:val="nil"/>
              <w:right w:val="nil"/>
            </w:tcBorders>
          </w:tcPr>
          <w:p w14:paraId="33508142" w14:textId="5E265582" w:rsidR="00B4718E" w:rsidRDefault="00505DBA" w:rsidP="00EA1CE2">
            <w:pPr>
              <w:tabs>
                <w:tab w:val="right" w:pos="989"/>
              </w:tabs>
              <w:rPr>
                <w:sz w:val="18"/>
                <w:szCs w:val="18"/>
              </w:rPr>
            </w:pPr>
            <w:r>
              <w:rPr>
                <w:sz w:val="18"/>
                <w:szCs w:val="18"/>
              </w:rPr>
              <w:t>$</w:t>
            </w:r>
            <w:r w:rsidR="00B4718E">
              <w:rPr>
                <w:sz w:val="18"/>
                <w:szCs w:val="18"/>
              </w:rPr>
              <w:tab/>
            </w:r>
            <w:r w:rsidR="008774F2">
              <w:rPr>
                <w:sz w:val="18"/>
                <w:szCs w:val="18"/>
              </w:rPr>
              <w:t>444,519</w:t>
            </w:r>
          </w:p>
        </w:tc>
        <w:tc>
          <w:tcPr>
            <w:tcW w:w="1148" w:type="dxa"/>
            <w:tcBorders>
              <w:top w:val="nil"/>
              <w:left w:val="nil"/>
              <w:bottom w:val="nil"/>
              <w:right w:val="nil"/>
            </w:tcBorders>
          </w:tcPr>
          <w:p w14:paraId="327B9E1D" w14:textId="6A1A6106" w:rsidR="00B4718E" w:rsidRDefault="00B4718E" w:rsidP="00EA1CE2">
            <w:pPr>
              <w:tabs>
                <w:tab w:val="right" w:pos="989"/>
              </w:tabs>
              <w:rPr>
                <w:sz w:val="18"/>
                <w:szCs w:val="18"/>
              </w:rPr>
            </w:pPr>
            <w:r>
              <w:rPr>
                <w:sz w:val="18"/>
                <w:szCs w:val="18"/>
              </w:rPr>
              <w:tab/>
            </w:r>
            <w:r w:rsidR="008774F2">
              <w:rPr>
                <w:sz w:val="18"/>
                <w:szCs w:val="18"/>
              </w:rPr>
              <w:t>14,757</w:t>
            </w:r>
          </w:p>
        </w:tc>
        <w:tc>
          <w:tcPr>
            <w:tcW w:w="1620" w:type="dxa"/>
            <w:tcBorders>
              <w:top w:val="nil"/>
              <w:left w:val="nil"/>
              <w:bottom w:val="nil"/>
              <w:right w:val="nil"/>
            </w:tcBorders>
          </w:tcPr>
          <w:p w14:paraId="4B6D8FE8" w14:textId="7FAB55E8" w:rsidR="00B4718E" w:rsidRDefault="00505DBA" w:rsidP="00EA1CE2">
            <w:pPr>
              <w:tabs>
                <w:tab w:val="right" w:pos="1246"/>
              </w:tabs>
              <w:rPr>
                <w:sz w:val="18"/>
                <w:szCs w:val="18"/>
              </w:rPr>
            </w:pPr>
            <w:r>
              <w:rPr>
                <w:sz w:val="18"/>
                <w:szCs w:val="18"/>
              </w:rPr>
              <w:t>$</w:t>
            </w:r>
            <w:r w:rsidR="00B4718E">
              <w:rPr>
                <w:sz w:val="18"/>
                <w:szCs w:val="18"/>
              </w:rPr>
              <w:tab/>
              <w:t>1,</w:t>
            </w:r>
            <w:r w:rsidR="00F7374E">
              <w:rPr>
                <w:sz w:val="18"/>
                <w:szCs w:val="18"/>
              </w:rPr>
              <w:t>835,225</w:t>
            </w:r>
          </w:p>
        </w:tc>
      </w:tr>
      <w:tr w:rsidR="00B4718E" w:rsidRPr="00E90493" w14:paraId="3E07E4FD" w14:textId="77777777" w:rsidTr="00B47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0" w:type="dxa"/>
          </w:tcPr>
          <w:p w14:paraId="6C2477E0" w14:textId="77777777" w:rsidR="00B4718E" w:rsidRPr="00E90493" w:rsidRDefault="00B4718E" w:rsidP="00EA1CE2">
            <w:pPr>
              <w:rPr>
                <w:sz w:val="18"/>
                <w:szCs w:val="18"/>
              </w:rPr>
            </w:pPr>
            <w:r>
              <w:rPr>
                <w:sz w:val="18"/>
                <w:szCs w:val="18"/>
              </w:rPr>
              <w:t>Lassa Fever</w:t>
            </w:r>
            <w:r w:rsidRPr="00E90493">
              <w:rPr>
                <w:sz w:val="18"/>
                <w:szCs w:val="18"/>
              </w:rPr>
              <w:t xml:space="preserve"> </w:t>
            </w:r>
            <w:r>
              <w:rPr>
                <w:sz w:val="18"/>
                <w:szCs w:val="18"/>
              </w:rPr>
              <w:t>–</w:t>
            </w:r>
            <w:r w:rsidRPr="00E90493">
              <w:rPr>
                <w:sz w:val="18"/>
                <w:szCs w:val="18"/>
              </w:rPr>
              <w:t xml:space="preserve"> SBIR Grant</w:t>
            </w:r>
          </w:p>
        </w:tc>
        <w:tc>
          <w:tcPr>
            <w:tcW w:w="1350" w:type="dxa"/>
          </w:tcPr>
          <w:p w14:paraId="4E17ACCF" w14:textId="4B021FAA" w:rsidR="00B4718E" w:rsidRPr="00E90493" w:rsidRDefault="00B4718E" w:rsidP="00EA1CE2">
            <w:pPr>
              <w:tabs>
                <w:tab w:val="right" w:pos="969"/>
              </w:tabs>
              <w:rPr>
                <w:sz w:val="18"/>
                <w:szCs w:val="18"/>
              </w:rPr>
            </w:pPr>
            <w:r w:rsidRPr="00E90493">
              <w:rPr>
                <w:sz w:val="18"/>
                <w:szCs w:val="18"/>
              </w:rPr>
              <w:tab/>
            </w:r>
            <w:r w:rsidR="008774F2">
              <w:rPr>
                <w:sz w:val="18"/>
                <w:szCs w:val="18"/>
              </w:rPr>
              <w:t>64,750</w:t>
            </w:r>
          </w:p>
        </w:tc>
        <w:tc>
          <w:tcPr>
            <w:tcW w:w="1035" w:type="dxa"/>
          </w:tcPr>
          <w:p w14:paraId="7D4D5258" w14:textId="3FC31788" w:rsidR="00B4718E" w:rsidRPr="00E90493" w:rsidRDefault="00B4718E" w:rsidP="00EA1CE2">
            <w:pPr>
              <w:tabs>
                <w:tab w:val="right" w:pos="926"/>
                <w:tab w:val="right" w:pos="989"/>
              </w:tabs>
              <w:rPr>
                <w:sz w:val="18"/>
                <w:szCs w:val="18"/>
              </w:rPr>
            </w:pPr>
            <w:r w:rsidRPr="00E90493">
              <w:rPr>
                <w:sz w:val="18"/>
                <w:szCs w:val="18"/>
              </w:rPr>
              <w:tab/>
            </w:r>
            <w:r w:rsidR="008774F2">
              <w:rPr>
                <w:sz w:val="18"/>
                <w:szCs w:val="18"/>
              </w:rPr>
              <w:t>41,582</w:t>
            </w:r>
          </w:p>
        </w:tc>
        <w:tc>
          <w:tcPr>
            <w:tcW w:w="1147" w:type="dxa"/>
          </w:tcPr>
          <w:p w14:paraId="1A5CEF4F" w14:textId="4A982CA8" w:rsidR="00B4718E" w:rsidRPr="00E90493" w:rsidRDefault="00B4718E" w:rsidP="00EA1CE2">
            <w:pPr>
              <w:tabs>
                <w:tab w:val="right" w:pos="989"/>
              </w:tabs>
              <w:rPr>
                <w:sz w:val="18"/>
                <w:szCs w:val="18"/>
              </w:rPr>
            </w:pPr>
            <w:r w:rsidRPr="00E90493">
              <w:rPr>
                <w:sz w:val="18"/>
                <w:szCs w:val="18"/>
              </w:rPr>
              <w:tab/>
            </w:r>
            <w:r w:rsidR="008774F2">
              <w:rPr>
                <w:sz w:val="18"/>
                <w:szCs w:val="18"/>
              </w:rPr>
              <w:t>147,042</w:t>
            </w:r>
          </w:p>
        </w:tc>
        <w:tc>
          <w:tcPr>
            <w:tcW w:w="1148" w:type="dxa"/>
          </w:tcPr>
          <w:p w14:paraId="7A556E8E" w14:textId="4918BA2F" w:rsidR="00B4718E" w:rsidRPr="00E90493" w:rsidRDefault="00B4718E" w:rsidP="00EA1CE2">
            <w:pPr>
              <w:tabs>
                <w:tab w:val="right" w:pos="989"/>
              </w:tabs>
              <w:rPr>
                <w:sz w:val="18"/>
                <w:szCs w:val="18"/>
              </w:rPr>
            </w:pPr>
            <w:r w:rsidRPr="00E90493">
              <w:rPr>
                <w:sz w:val="18"/>
                <w:szCs w:val="18"/>
              </w:rPr>
              <w:tab/>
            </w:r>
            <w:r w:rsidR="008774F2">
              <w:rPr>
                <w:sz w:val="18"/>
                <w:szCs w:val="18"/>
              </w:rPr>
              <w:t>73,816</w:t>
            </w:r>
          </w:p>
        </w:tc>
        <w:tc>
          <w:tcPr>
            <w:tcW w:w="1620" w:type="dxa"/>
          </w:tcPr>
          <w:p w14:paraId="3A7F3B04" w14:textId="49FB9E23" w:rsidR="00B4718E" w:rsidRPr="00E90493" w:rsidRDefault="00B4718E" w:rsidP="00EA1CE2">
            <w:pPr>
              <w:tabs>
                <w:tab w:val="right" w:pos="1246"/>
              </w:tabs>
              <w:rPr>
                <w:sz w:val="18"/>
                <w:szCs w:val="18"/>
              </w:rPr>
            </w:pPr>
            <w:r w:rsidRPr="00E90493">
              <w:rPr>
                <w:sz w:val="18"/>
                <w:szCs w:val="18"/>
              </w:rPr>
              <w:tab/>
            </w:r>
            <w:r w:rsidR="00F7374E">
              <w:rPr>
                <w:sz w:val="18"/>
                <w:szCs w:val="18"/>
              </w:rPr>
              <w:t>-</w:t>
            </w:r>
          </w:p>
        </w:tc>
      </w:tr>
      <w:tr w:rsidR="00B4718E" w:rsidRPr="00E90493" w14:paraId="340A384F" w14:textId="77777777" w:rsidTr="00B4718E">
        <w:tc>
          <w:tcPr>
            <w:tcW w:w="3150" w:type="dxa"/>
            <w:tcBorders>
              <w:top w:val="nil"/>
              <w:left w:val="nil"/>
              <w:bottom w:val="nil"/>
              <w:right w:val="nil"/>
            </w:tcBorders>
          </w:tcPr>
          <w:p w14:paraId="466CD0D2" w14:textId="77777777" w:rsidR="00B4718E" w:rsidRDefault="00B4718E" w:rsidP="00EA1CE2">
            <w:pPr>
              <w:rPr>
                <w:sz w:val="18"/>
                <w:szCs w:val="18"/>
              </w:rPr>
            </w:pPr>
            <w:bookmarkStart w:id="31" w:name="_Hlk14353163"/>
            <w:r>
              <w:rPr>
                <w:sz w:val="18"/>
                <w:szCs w:val="18"/>
              </w:rPr>
              <w:t>Zika – SBIR Grant</w:t>
            </w:r>
          </w:p>
        </w:tc>
        <w:tc>
          <w:tcPr>
            <w:tcW w:w="1350" w:type="dxa"/>
            <w:tcBorders>
              <w:top w:val="nil"/>
              <w:left w:val="nil"/>
              <w:bottom w:val="nil"/>
              <w:right w:val="nil"/>
            </w:tcBorders>
          </w:tcPr>
          <w:p w14:paraId="5793D89C" w14:textId="5ED69BB9" w:rsidR="00B4718E" w:rsidRDefault="00B4718E" w:rsidP="00EA1CE2">
            <w:pPr>
              <w:tabs>
                <w:tab w:val="right" w:pos="969"/>
              </w:tabs>
              <w:rPr>
                <w:sz w:val="18"/>
                <w:szCs w:val="18"/>
              </w:rPr>
            </w:pPr>
            <w:r>
              <w:rPr>
                <w:sz w:val="18"/>
                <w:szCs w:val="18"/>
              </w:rPr>
              <w:tab/>
            </w:r>
            <w:r w:rsidR="008774F2">
              <w:rPr>
                <w:sz w:val="18"/>
                <w:szCs w:val="18"/>
              </w:rPr>
              <w:t>-</w:t>
            </w:r>
          </w:p>
        </w:tc>
        <w:tc>
          <w:tcPr>
            <w:tcW w:w="1035" w:type="dxa"/>
            <w:tcBorders>
              <w:top w:val="nil"/>
              <w:left w:val="nil"/>
              <w:bottom w:val="nil"/>
              <w:right w:val="nil"/>
            </w:tcBorders>
          </w:tcPr>
          <w:p w14:paraId="5DE9CE15" w14:textId="0FC7B8E0" w:rsidR="00B4718E" w:rsidRDefault="00B4718E" w:rsidP="00EA1CE2">
            <w:pPr>
              <w:tabs>
                <w:tab w:val="right" w:pos="926"/>
                <w:tab w:val="right" w:pos="989"/>
              </w:tabs>
              <w:rPr>
                <w:sz w:val="18"/>
                <w:szCs w:val="18"/>
              </w:rPr>
            </w:pPr>
            <w:r>
              <w:rPr>
                <w:sz w:val="18"/>
                <w:szCs w:val="18"/>
              </w:rPr>
              <w:tab/>
            </w:r>
            <w:r w:rsidR="008774F2">
              <w:rPr>
                <w:sz w:val="18"/>
                <w:szCs w:val="18"/>
              </w:rPr>
              <w:t>251,523</w:t>
            </w:r>
          </w:p>
        </w:tc>
        <w:tc>
          <w:tcPr>
            <w:tcW w:w="1147" w:type="dxa"/>
            <w:tcBorders>
              <w:top w:val="nil"/>
              <w:left w:val="nil"/>
              <w:bottom w:val="nil"/>
              <w:right w:val="nil"/>
            </w:tcBorders>
          </w:tcPr>
          <w:p w14:paraId="6D93EDAB" w14:textId="60FDFCD0" w:rsidR="00B4718E" w:rsidRDefault="00B4718E" w:rsidP="00EA1CE2">
            <w:pPr>
              <w:tabs>
                <w:tab w:val="right" w:pos="989"/>
              </w:tabs>
              <w:rPr>
                <w:sz w:val="18"/>
                <w:szCs w:val="18"/>
              </w:rPr>
            </w:pPr>
            <w:r>
              <w:rPr>
                <w:sz w:val="18"/>
                <w:szCs w:val="18"/>
              </w:rPr>
              <w:tab/>
              <w:t>1</w:t>
            </w:r>
            <w:r w:rsidR="008774F2">
              <w:rPr>
                <w:sz w:val="18"/>
                <w:szCs w:val="18"/>
              </w:rPr>
              <w:t>62,461</w:t>
            </w:r>
          </w:p>
        </w:tc>
        <w:tc>
          <w:tcPr>
            <w:tcW w:w="1148" w:type="dxa"/>
            <w:tcBorders>
              <w:top w:val="nil"/>
              <w:left w:val="nil"/>
              <w:bottom w:val="nil"/>
              <w:right w:val="nil"/>
            </w:tcBorders>
          </w:tcPr>
          <w:p w14:paraId="5F11A47E" w14:textId="03323853" w:rsidR="00B4718E" w:rsidRPr="00DE2803" w:rsidRDefault="00B4718E" w:rsidP="00EA1CE2">
            <w:pPr>
              <w:tabs>
                <w:tab w:val="right" w:pos="989"/>
              </w:tabs>
              <w:rPr>
                <w:sz w:val="18"/>
                <w:szCs w:val="18"/>
              </w:rPr>
            </w:pPr>
            <w:r>
              <w:rPr>
                <w:sz w:val="18"/>
                <w:szCs w:val="18"/>
              </w:rPr>
              <w:tab/>
            </w:r>
            <w:r w:rsidR="008774F2">
              <w:rPr>
                <w:sz w:val="18"/>
                <w:szCs w:val="18"/>
              </w:rPr>
              <w:t>305,657</w:t>
            </w:r>
          </w:p>
        </w:tc>
        <w:tc>
          <w:tcPr>
            <w:tcW w:w="1620" w:type="dxa"/>
            <w:tcBorders>
              <w:top w:val="nil"/>
              <w:left w:val="nil"/>
              <w:bottom w:val="nil"/>
              <w:right w:val="nil"/>
            </w:tcBorders>
          </w:tcPr>
          <w:p w14:paraId="42E05ADA" w14:textId="77777777" w:rsidR="00B4718E" w:rsidRDefault="00B4718E" w:rsidP="00EA1CE2">
            <w:pPr>
              <w:tabs>
                <w:tab w:val="right" w:pos="1246"/>
              </w:tabs>
              <w:rPr>
                <w:sz w:val="18"/>
                <w:szCs w:val="18"/>
              </w:rPr>
            </w:pPr>
            <w:r>
              <w:rPr>
                <w:sz w:val="18"/>
                <w:szCs w:val="18"/>
              </w:rPr>
              <w:tab/>
              <w:t>-</w:t>
            </w:r>
          </w:p>
        </w:tc>
      </w:tr>
      <w:tr w:rsidR="00B4718E" w:rsidRPr="00E90493" w14:paraId="7297CA5E" w14:textId="77777777" w:rsidTr="00EA1CE2">
        <w:tc>
          <w:tcPr>
            <w:tcW w:w="3150" w:type="dxa"/>
            <w:tcBorders>
              <w:top w:val="nil"/>
              <w:left w:val="nil"/>
              <w:bottom w:val="nil"/>
              <w:right w:val="nil"/>
            </w:tcBorders>
          </w:tcPr>
          <w:p w14:paraId="46DA940A" w14:textId="77777777" w:rsidR="00B4718E" w:rsidRPr="00E90493" w:rsidRDefault="00B4718E" w:rsidP="00EA1CE2">
            <w:pPr>
              <w:rPr>
                <w:sz w:val="18"/>
                <w:szCs w:val="18"/>
              </w:rPr>
            </w:pPr>
            <w:r w:rsidRPr="00E90493">
              <w:rPr>
                <w:sz w:val="18"/>
                <w:szCs w:val="18"/>
              </w:rPr>
              <w:t xml:space="preserve">HIV </w:t>
            </w:r>
            <w:r>
              <w:rPr>
                <w:sz w:val="18"/>
                <w:szCs w:val="18"/>
              </w:rPr>
              <w:t xml:space="preserve">– </w:t>
            </w:r>
            <w:r w:rsidRPr="00E90493">
              <w:rPr>
                <w:sz w:val="18"/>
                <w:szCs w:val="18"/>
              </w:rPr>
              <w:t xml:space="preserve">SBIR Grant </w:t>
            </w:r>
          </w:p>
        </w:tc>
        <w:tc>
          <w:tcPr>
            <w:tcW w:w="1350" w:type="dxa"/>
            <w:tcBorders>
              <w:top w:val="nil"/>
              <w:left w:val="nil"/>
              <w:bottom w:val="nil"/>
              <w:right w:val="nil"/>
            </w:tcBorders>
          </w:tcPr>
          <w:p w14:paraId="4A6E0B7D" w14:textId="6B0BA4E2" w:rsidR="00B4718E" w:rsidRPr="00E90493" w:rsidRDefault="00B4718E" w:rsidP="00EA1CE2">
            <w:pPr>
              <w:tabs>
                <w:tab w:val="right" w:pos="969"/>
              </w:tabs>
              <w:rPr>
                <w:sz w:val="18"/>
                <w:szCs w:val="18"/>
              </w:rPr>
            </w:pPr>
            <w:r w:rsidRPr="00E90493">
              <w:rPr>
                <w:sz w:val="18"/>
                <w:szCs w:val="18"/>
              </w:rPr>
              <w:tab/>
            </w:r>
            <w:r>
              <w:rPr>
                <w:sz w:val="18"/>
                <w:szCs w:val="18"/>
              </w:rPr>
              <w:t>-</w:t>
            </w:r>
          </w:p>
        </w:tc>
        <w:tc>
          <w:tcPr>
            <w:tcW w:w="1035" w:type="dxa"/>
            <w:tcBorders>
              <w:top w:val="nil"/>
              <w:left w:val="nil"/>
              <w:bottom w:val="nil"/>
              <w:right w:val="nil"/>
            </w:tcBorders>
          </w:tcPr>
          <w:p w14:paraId="7ABB9BAA" w14:textId="38C158D4" w:rsidR="00B4718E" w:rsidRPr="00E90493" w:rsidRDefault="00B4718E" w:rsidP="00EA1CE2">
            <w:pPr>
              <w:tabs>
                <w:tab w:val="right" w:pos="926"/>
                <w:tab w:val="right" w:pos="989"/>
              </w:tabs>
              <w:rPr>
                <w:sz w:val="18"/>
                <w:szCs w:val="18"/>
              </w:rPr>
            </w:pPr>
            <w:r w:rsidRPr="00E90493">
              <w:rPr>
                <w:sz w:val="18"/>
                <w:szCs w:val="18"/>
              </w:rPr>
              <w:tab/>
            </w:r>
            <w:r w:rsidR="008774F2">
              <w:rPr>
                <w:sz w:val="18"/>
                <w:szCs w:val="18"/>
              </w:rPr>
              <w:t>32,854</w:t>
            </w:r>
          </w:p>
        </w:tc>
        <w:tc>
          <w:tcPr>
            <w:tcW w:w="1147" w:type="dxa"/>
            <w:tcBorders>
              <w:top w:val="nil"/>
              <w:left w:val="nil"/>
              <w:bottom w:val="nil"/>
              <w:right w:val="nil"/>
            </w:tcBorders>
          </w:tcPr>
          <w:p w14:paraId="0A4FC01F" w14:textId="6C79980D" w:rsidR="00B4718E" w:rsidRPr="00E90493" w:rsidRDefault="00B4718E" w:rsidP="00EA1CE2">
            <w:pPr>
              <w:tabs>
                <w:tab w:val="right" w:pos="989"/>
              </w:tabs>
              <w:rPr>
                <w:sz w:val="18"/>
                <w:szCs w:val="18"/>
              </w:rPr>
            </w:pPr>
            <w:r w:rsidRPr="00E90493">
              <w:rPr>
                <w:sz w:val="18"/>
                <w:szCs w:val="18"/>
              </w:rPr>
              <w:tab/>
            </w:r>
            <w:r>
              <w:rPr>
                <w:sz w:val="18"/>
                <w:szCs w:val="18"/>
              </w:rPr>
              <w:t>-</w:t>
            </w:r>
          </w:p>
        </w:tc>
        <w:tc>
          <w:tcPr>
            <w:tcW w:w="1148" w:type="dxa"/>
            <w:tcBorders>
              <w:top w:val="nil"/>
              <w:left w:val="nil"/>
              <w:bottom w:val="nil"/>
              <w:right w:val="nil"/>
            </w:tcBorders>
          </w:tcPr>
          <w:p w14:paraId="308A2660" w14:textId="0FCB1F2A" w:rsidR="00B4718E" w:rsidRPr="00E90493" w:rsidRDefault="00B4718E" w:rsidP="00EA1CE2">
            <w:pPr>
              <w:tabs>
                <w:tab w:val="right" w:pos="989"/>
              </w:tabs>
              <w:rPr>
                <w:sz w:val="18"/>
                <w:szCs w:val="18"/>
              </w:rPr>
            </w:pPr>
            <w:r w:rsidRPr="00E90493">
              <w:rPr>
                <w:sz w:val="18"/>
                <w:szCs w:val="18"/>
              </w:rPr>
              <w:tab/>
            </w:r>
            <w:r w:rsidR="008774F2">
              <w:rPr>
                <w:sz w:val="18"/>
                <w:szCs w:val="18"/>
              </w:rPr>
              <w:t>256,050</w:t>
            </w:r>
          </w:p>
        </w:tc>
        <w:tc>
          <w:tcPr>
            <w:tcW w:w="1620" w:type="dxa"/>
            <w:tcBorders>
              <w:top w:val="nil"/>
              <w:left w:val="nil"/>
              <w:bottom w:val="nil"/>
              <w:right w:val="nil"/>
            </w:tcBorders>
          </w:tcPr>
          <w:p w14:paraId="3EEF04CC" w14:textId="7E774C38" w:rsidR="00B4718E" w:rsidRPr="00E90493" w:rsidRDefault="00B4718E" w:rsidP="00EA1CE2">
            <w:pPr>
              <w:tabs>
                <w:tab w:val="right" w:pos="1246"/>
              </w:tabs>
              <w:rPr>
                <w:sz w:val="18"/>
                <w:szCs w:val="18"/>
              </w:rPr>
            </w:pPr>
            <w:r w:rsidRPr="00E90493">
              <w:rPr>
                <w:sz w:val="18"/>
                <w:szCs w:val="18"/>
              </w:rPr>
              <w:tab/>
            </w:r>
            <w:r>
              <w:rPr>
                <w:sz w:val="18"/>
                <w:szCs w:val="18"/>
              </w:rPr>
              <w:t>-</w:t>
            </w:r>
          </w:p>
        </w:tc>
      </w:tr>
      <w:bookmarkEnd w:id="31"/>
      <w:tr w:rsidR="00F044BE" w:rsidRPr="00E90493" w14:paraId="10240B9D" w14:textId="77777777" w:rsidTr="00EA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0" w:type="dxa"/>
          </w:tcPr>
          <w:p w14:paraId="0F86B8BC" w14:textId="77777777" w:rsidR="00F044BE" w:rsidRPr="00E90493" w:rsidRDefault="00F044BE" w:rsidP="00EA1CE2">
            <w:pPr>
              <w:rPr>
                <w:sz w:val="18"/>
                <w:szCs w:val="18"/>
              </w:rPr>
            </w:pPr>
            <w:r w:rsidRPr="00E90493">
              <w:rPr>
                <w:sz w:val="18"/>
                <w:szCs w:val="18"/>
              </w:rPr>
              <w:t>Total</w:t>
            </w:r>
          </w:p>
        </w:tc>
        <w:tc>
          <w:tcPr>
            <w:tcW w:w="1350" w:type="dxa"/>
            <w:tcBorders>
              <w:top w:val="single" w:sz="4" w:space="0" w:color="auto"/>
              <w:bottom w:val="double" w:sz="4" w:space="0" w:color="auto"/>
            </w:tcBorders>
          </w:tcPr>
          <w:p w14:paraId="3E69C5DC" w14:textId="6D6F7D85" w:rsidR="00F044BE" w:rsidRPr="00E90493" w:rsidRDefault="00F044BE" w:rsidP="00EA1CE2">
            <w:pPr>
              <w:tabs>
                <w:tab w:val="right" w:pos="969"/>
              </w:tabs>
              <w:rPr>
                <w:sz w:val="18"/>
                <w:szCs w:val="18"/>
              </w:rPr>
            </w:pPr>
            <w:r w:rsidRPr="00E90493">
              <w:rPr>
                <w:sz w:val="18"/>
                <w:szCs w:val="18"/>
              </w:rPr>
              <w:t>$</w:t>
            </w:r>
            <w:r w:rsidRPr="00E90493">
              <w:rPr>
                <w:sz w:val="18"/>
                <w:szCs w:val="18"/>
              </w:rPr>
              <w:tab/>
            </w:r>
            <w:r w:rsidR="008774F2">
              <w:rPr>
                <w:sz w:val="18"/>
                <w:szCs w:val="18"/>
              </w:rPr>
              <w:t>214,765</w:t>
            </w:r>
          </w:p>
        </w:tc>
        <w:tc>
          <w:tcPr>
            <w:tcW w:w="1035" w:type="dxa"/>
            <w:tcBorders>
              <w:top w:val="single" w:sz="4" w:space="0" w:color="auto"/>
              <w:bottom w:val="double" w:sz="4" w:space="0" w:color="auto"/>
            </w:tcBorders>
          </w:tcPr>
          <w:p w14:paraId="7AD86049" w14:textId="268D3590" w:rsidR="00F044BE" w:rsidRPr="00E90493" w:rsidRDefault="00F044BE" w:rsidP="00EA1CE2">
            <w:pPr>
              <w:tabs>
                <w:tab w:val="right" w:pos="926"/>
                <w:tab w:val="right" w:pos="989"/>
              </w:tabs>
              <w:rPr>
                <w:sz w:val="18"/>
                <w:szCs w:val="18"/>
              </w:rPr>
            </w:pPr>
            <w:r w:rsidRPr="00E90493">
              <w:rPr>
                <w:sz w:val="18"/>
                <w:szCs w:val="18"/>
              </w:rPr>
              <w:t>$</w:t>
            </w:r>
            <w:r w:rsidRPr="00E90493">
              <w:rPr>
                <w:sz w:val="18"/>
                <w:szCs w:val="18"/>
              </w:rPr>
              <w:tab/>
            </w:r>
            <w:r w:rsidR="00F7374E">
              <w:rPr>
                <w:sz w:val="18"/>
                <w:szCs w:val="18"/>
              </w:rPr>
              <w:t>340,716</w:t>
            </w:r>
          </w:p>
        </w:tc>
        <w:tc>
          <w:tcPr>
            <w:tcW w:w="1147" w:type="dxa"/>
            <w:tcBorders>
              <w:top w:val="single" w:sz="4" w:space="0" w:color="auto"/>
              <w:bottom w:val="double" w:sz="4" w:space="0" w:color="auto"/>
            </w:tcBorders>
          </w:tcPr>
          <w:p w14:paraId="59F2C8C7" w14:textId="79B44423" w:rsidR="00F044BE" w:rsidRPr="00E90493" w:rsidRDefault="00F044BE" w:rsidP="00EA1CE2">
            <w:pPr>
              <w:tabs>
                <w:tab w:val="right" w:pos="989"/>
              </w:tabs>
              <w:rPr>
                <w:sz w:val="18"/>
                <w:szCs w:val="18"/>
              </w:rPr>
            </w:pPr>
            <w:r w:rsidRPr="00E90493">
              <w:rPr>
                <w:sz w:val="18"/>
                <w:szCs w:val="18"/>
              </w:rPr>
              <w:t>$</w:t>
            </w:r>
            <w:r w:rsidRPr="00E90493">
              <w:rPr>
                <w:sz w:val="18"/>
                <w:szCs w:val="18"/>
              </w:rPr>
              <w:tab/>
            </w:r>
            <w:r w:rsidR="008774F2">
              <w:rPr>
                <w:sz w:val="18"/>
                <w:szCs w:val="18"/>
              </w:rPr>
              <w:t>754,022</w:t>
            </w:r>
          </w:p>
        </w:tc>
        <w:tc>
          <w:tcPr>
            <w:tcW w:w="1148" w:type="dxa"/>
            <w:tcBorders>
              <w:top w:val="single" w:sz="4" w:space="0" w:color="auto"/>
              <w:bottom w:val="double" w:sz="4" w:space="0" w:color="auto"/>
            </w:tcBorders>
          </w:tcPr>
          <w:p w14:paraId="520D68A9" w14:textId="0E5BFA50" w:rsidR="00F044BE" w:rsidRPr="00E90493" w:rsidRDefault="00F044BE" w:rsidP="00EA1CE2">
            <w:pPr>
              <w:tabs>
                <w:tab w:val="right" w:pos="989"/>
              </w:tabs>
              <w:rPr>
                <w:sz w:val="18"/>
                <w:szCs w:val="18"/>
              </w:rPr>
            </w:pPr>
            <w:r w:rsidRPr="00E90493">
              <w:rPr>
                <w:sz w:val="18"/>
                <w:szCs w:val="18"/>
              </w:rPr>
              <w:t>$</w:t>
            </w:r>
            <w:r w:rsidRPr="00E90493">
              <w:rPr>
                <w:sz w:val="18"/>
                <w:szCs w:val="18"/>
              </w:rPr>
              <w:tab/>
            </w:r>
            <w:r w:rsidR="00F7374E">
              <w:rPr>
                <w:sz w:val="18"/>
                <w:szCs w:val="18"/>
              </w:rPr>
              <w:t>650,280</w:t>
            </w:r>
          </w:p>
        </w:tc>
        <w:tc>
          <w:tcPr>
            <w:tcW w:w="1620" w:type="dxa"/>
            <w:tcBorders>
              <w:top w:val="single" w:sz="4" w:space="0" w:color="auto"/>
              <w:bottom w:val="double" w:sz="4" w:space="0" w:color="auto"/>
            </w:tcBorders>
          </w:tcPr>
          <w:p w14:paraId="67750A96" w14:textId="40A17823" w:rsidR="00F044BE" w:rsidRPr="00E90493" w:rsidRDefault="00F044BE" w:rsidP="00EA1CE2">
            <w:pPr>
              <w:tabs>
                <w:tab w:val="right" w:pos="1246"/>
              </w:tabs>
              <w:rPr>
                <w:sz w:val="18"/>
                <w:szCs w:val="18"/>
              </w:rPr>
            </w:pPr>
            <w:r w:rsidRPr="00E90493">
              <w:rPr>
                <w:sz w:val="18"/>
                <w:szCs w:val="18"/>
              </w:rPr>
              <w:t>$</w:t>
            </w:r>
            <w:r w:rsidRPr="00E90493">
              <w:rPr>
                <w:sz w:val="18"/>
                <w:szCs w:val="18"/>
              </w:rPr>
              <w:tab/>
            </w:r>
            <w:r w:rsidR="00F7374E">
              <w:rPr>
                <w:sz w:val="18"/>
                <w:szCs w:val="18"/>
              </w:rPr>
              <w:t>1,835,225</w:t>
            </w:r>
          </w:p>
        </w:tc>
      </w:tr>
    </w:tbl>
    <w:p w14:paraId="3B9BB618" w14:textId="77777777" w:rsidR="00F044BE" w:rsidRDefault="00F044BE" w:rsidP="000A55AE"/>
    <w:p w14:paraId="5B00B30B" w14:textId="3E27F7F8" w:rsidR="000A55AE" w:rsidRDefault="00FC1C96" w:rsidP="00344393">
      <w:r w:rsidRPr="00FC1C96">
        <w:rPr>
          <w:rFonts w:ascii="CG Times (WN)" w:hAnsi="CG Times (WN)"/>
          <w:u w:val="single"/>
        </w:rPr>
        <w:t>Collaboration Revenues</w:t>
      </w:r>
      <w:r w:rsidRPr="00FC1C96">
        <w:rPr>
          <w:rFonts w:ascii="CG Times (WN)" w:hAnsi="CG Times (WN)"/>
        </w:rPr>
        <w:t xml:space="preserve"> – In addition to the grant revenues above, during the </w:t>
      </w:r>
      <w:r>
        <w:rPr>
          <w:rFonts w:ascii="CG Times (WN)" w:hAnsi="CG Times (WN)"/>
        </w:rPr>
        <w:t>three-month</w:t>
      </w:r>
      <w:r w:rsidR="00B4718E">
        <w:rPr>
          <w:rFonts w:ascii="CG Times (WN)" w:hAnsi="CG Times (WN)"/>
        </w:rPr>
        <w:t xml:space="preserve"> and </w:t>
      </w:r>
      <w:r w:rsidR="00F7374E">
        <w:rPr>
          <w:rFonts w:ascii="CG Times (WN)" w:hAnsi="CG Times (WN)"/>
        </w:rPr>
        <w:t>nine</w:t>
      </w:r>
      <w:r w:rsidR="00B4718E">
        <w:rPr>
          <w:rFonts w:ascii="CG Times (WN)" w:hAnsi="CG Times (WN)"/>
        </w:rPr>
        <w:t>-month periods</w:t>
      </w:r>
      <w:r>
        <w:rPr>
          <w:rFonts w:ascii="CG Times (WN)" w:hAnsi="CG Times (WN)"/>
        </w:rPr>
        <w:t xml:space="preserve"> ended</w:t>
      </w:r>
      <w:r w:rsidRPr="00FC1C96">
        <w:rPr>
          <w:rFonts w:ascii="CG Times (WN)" w:hAnsi="CG Times (WN)"/>
        </w:rPr>
        <w:t xml:space="preserve"> </w:t>
      </w:r>
      <w:r w:rsidR="00F7374E">
        <w:rPr>
          <w:rFonts w:ascii="CG Times (WN)" w:hAnsi="CG Times (WN)"/>
        </w:rPr>
        <w:t>September</w:t>
      </w:r>
      <w:r w:rsidRPr="00FC1C96">
        <w:rPr>
          <w:rFonts w:ascii="CG Times (WN)" w:hAnsi="CG Times (WN)"/>
        </w:rPr>
        <w:t xml:space="preserve"> 3</w:t>
      </w:r>
      <w:r w:rsidR="00B4718E">
        <w:rPr>
          <w:rFonts w:ascii="CG Times (WN)" w:hAnsi="CG Times (WN)"/>
        </w:rPr>
        <w:t>0</w:t>
      </w:r>
      <w:r w:rsidRPr="00FC1C96">
        <w:rPr>
          <w:rFonts w:ascii="CG Times (WN)" w:hAnsi="CG Times (WN)"/>
        </w:rPr>
        <w:t xml:space="preserve">, </w:t>
      </w:r>
      <w:r>
        <w:rPr>
          <w:rFonts w:ascii="CG Times (WN)" w:hAnsi="CG Times (WN)"/>
        </w:rPr>
        <w:t xml:space="preserve">2019 </w:t>
      </w:r>
      <w:r w:rsidRPr="00FC1C96">
        <w:rPr>
          <w:rFonts w:ascii="CG Times (WN)" w:hAnsi="CG Times (WN)"/>
        </w:rPr>
        <w:t>we recorded</w:t>
      </w:r>
      <w:r w:rsidR="00B4718E" w:rsidRPr="00B4718E">
        <w:rPr>
          <w:rFonts w:ascii="CG Times (WN)" w:hAnsi="CG Times (WN)"/>
        </w:rPr>
        <w:t xml:space="preserve"> </w:t>
      </w:r>
      <w:r w:rsidR="00B4718E" w:rsidRPr="00FC1C96">
        <w:rPr>
          <w:rFonts w:ascii="CG Times (WN)" w:hAnsi="CG Times (WN)"/>
        </w:rPr>
        <w:t>revenue</w:t>
      </w:r>
      <w:r w:rsidR="00B4718E">
        <w:rPr>
          <w:rFonts w:ascii="CG Times (WN)" w:hAnsi="CG Times (WN)"/>
        </w:rPr>
        <w:t>s</w:t>
      </w:r>
      <w:r w:rsidR="00B4718E" w:rsidRPr="00FC1C96">
        <w:rPr>
          <w:rFonts w:ascii="CG Times (WN)" w:hAnsi="CG Times (WN)"/>
        </w:rPr>
        <w:t xml:space="preserve"> associated with several research collaborations with third parties</w:t>
      </w:r>
      <w:r w:rsidRPr="00FC1C96">
        <w:rPr>
          <w:rFonts w:ascii="CG Times (WN)" w:hAnsi="CG Times (WN)"/>
        </w:rPr>
        <w:t xml:space="preserve"> </w:t>
      </w:r>
      <w:r w:rsidR="00B4718E">
        <w:rPr>
          <w:rFonts w:ascii="CG Times (WN)" w:hAnsi="CG Times (WN)"/>
        </w:rPr>
        <w:t xml:space="preserve">of </w:t>
      </w:r>
      <w:r w:rsidRPr="00FC1C96">
        <w:rPr>
          <w:rFonts w:ascii="CG Times (WN)" w:hAnsi="CG Times (WN)"/>
        </w:rPr>
        <w:t>$</w:t>
      </w:r>
      <w:r w:rsidR="00F7374E">
        <w:rPr>
          <w:rFonts w:ascii="CG Times (WN)" w:hAnsi="CG Times (WN)"/>
        </w:rPr>
        <w:t>118,44</w:t>
      </w:r>
      <w:r w:rsidR="00505DBA">
        <w:rPr>
          <w:rFonts w:ascii="CG Times (WN)" w:hAnsi="CG Times (WN)"/>
        </w:rPr>
        <w:t>4</w:t>
      </w:r>
      <w:r>
        <w:rPr>
          <w:rFonts w:ascii="CG Times (WN)" w:hAnsi="CG Times (WN)"/>
        </w:rPr>
        <w:t xml:space="preserve"> and $</w:t>
      </w:r>
      <w:r w:rsidR="00F7374E">
        <w:rPr>
          <w:rFonts w:ascii="CG Times (WN)" w:hAnsi="CG Times (WN)"/>
        </w:rPr>
        <w:t>153,36</w:t>
      </w:r>
      <w:r w:rsidR="00505DBA">
        <w:rPr>
          <w:rFonts w:ascii="CG Times (WN)" w:hAnsi="CG Times (WN)"/>
        </w:rPr>
        <w:t>0</w:t>
      </w:r>
      <w:r w:rsidR="00B4718E">
        <w:rPr>
          <w:rFonts w:ascii="CG Times (WN)" w:hAnsi="CG Times (WN)"/>
        </w:rPr>
        <w:t>, respectively,</w:t>
      </w:r>
      <w:r w:rsidRPr="00FC1C96">
        <w:rPr>
          <w:rFonts w:ascii="CG Times (WN)" w:hAnsi="CG Times (WN)"/>
        </w:rPr>
        <w:t xml:space="preserve"> </w:t>
      </w:r>
      <w:r w:rsidR="00B4718E">
        <w:rPr>
          <w:rFonts w:ascii="CG Times (WN)" w:hAnsi="CG Times (WN)"/>
        </w:rPr>
        <w:t>as compared to $</w:t>
      </w:r>
      <w:r w:rsidR="00F7374E">
        <w:rPr>
          <w:rFonts w:ascii="CG Times (WN)" w:hAnsi="CG Times (WN)"/>
        </w:rPr>
        <w:t>8,628</w:t>
      </w:r>
      <w:r w:rsidR="00B4718E">
        <w:rPr>
          <w:rFonts w:ascii="CG Times (WN)" w:hAnsi="CG Times (WN)"/>
        </w:rPr>
        <w:t xml:space="preserve"> and $</w:t>
      </w:r>
      <w:r w:rsidR="00F7374E">
        <w:rPr>
          <w:rFonts w:ascii="CG Times (WN)" w:hAnsi="CG Times (WN)"/>
        </w:rPr>
        <w:t>13,628</w:t>
      </w:r>
      <w:r w:rsidR="00B4718E">
        <w:rPr>
          <w:rFonts w:ascii="CG Times (WN)" w:hAnsi="CG Times (WN)"/>
        </w:rPr>
        <w:t>, respectively, during the comparable periods of 2018</w:t>
      </w:r>
      <w:r w:rsidRPr="00FC1C96">
        <w:rPr>
          <w:rFonts w:ascii="CG Times (WN)" w:hAnsi="CG Times (WN)"/>
        </w:rPr>
        <w:t xml:space="preserve">. </w:t>
      </w:r>
    </w:p>
    <w:p w14:paraId="1867F215" w14:textId="77777777" w:rsidR="00344393" w:rsidRDefault="00344393" w:rsidP="000A55AE">
      <w:pPr>
        <w:pStyle w:val="BodyText"/>
        <w:spacing w:after="0"/>
        <w:rPr>
          <w:rStyle w:val="BodySubtitleChar"/>
        </w:rPr>
      </w:pPr>
    </w:p>
    <w:p w14:paraId="23937EE7" w14:textId="04CA2BD8" w:rsidR="00285F4C" w:rsidRPr="00285F4C" w:rsidRDefault="0007631A" w:rsidP="000A55AE">
      <w:pPr>
        <w:pStyle w:val="BodyText"/>
        <w:spacing w:after="0"/>
        <w:rPr>
          <w:i/>
          <w:iCs/>
        </w:rPr>
      </w:pPr>
      <w:r w:rsidRPr="004A3014">
        <w:rPr>
          <w:rStyle w:val="BodySubtitleChar"/>
        </w:rPr>
        <w:t>Research and Development</w:t>
      </w:r>
      <w:r w:rsidR="005268FE">
        <w:rPr>
          <w:rStyle w:val="BodySubtitleChar"/>
        </w:rPr>
        <w:t xml:space="preserve"> Expenses</w:t>
      </w:r>
    </w:p>
    <w:p w14:paraId="1A43B9D3" w14:textId="77777777" w:rsidR="000A55AE" w:rsidRDefault="000A55AE" w:rsidP="000A55AE"/>
    <w:p w14:paraId="4074C8B2" w14:textId="46A1E585" w:rsidR="00E53357" w:rsidRDefault="005268FE" w:rsidP="00576BC6">
      <w:r w:rsidRPr="005268FE">
        <w:t>Our research and development expenses were $</w:t>
      </w:r>
      <w:r w:rsidR="001C12B9">
        <w:t>467,674</w:t>
      </w:r>
      <w:r w:rsidRPr="005268FE">
        <w:t xml:space="preserve"> and $</w:t>
      </w:r>
      <w:r w:rsidR="001C12B9">
        <w:t>1,474,619</w:t>
      </w:r>
      <w:r>
        <w:t xml:space="preserve"> </w:t>
      </w:r>
      <w:r w:rsidRPr="005268FE">
        <w:t xml:space="preserve">for the </w:t>
      </w:r>
      <w:r>
        <w:t>three-month</w:t>
      </w:r>
      <w:r w:rsidR="00E53357">
        <w:t xml:space="preserve"> and </w:t>
      </w:r>
      <w:r w:rsidR="001C12B9">
        <w:t>nine</w:t>
      </w:r>
      <w:r w:rsidR="00E53357">
        <w:t>-month</w:t>
      </w:r>
      <w:r>
        <w:t xml:space="preserve"> periods</w:t>
      </w:r>
      <w:r w:rsidRPr="005268FE">
        <w:t xml:space="preserve"> ended </w:t>
      </w:r>
      <w:r w:rsidR="001C12B9">
        <w:t>September</w:t>
      </w:r>
      <w:r>
        <w:t xml:space="preserve"> 3</w:t>
      </w:r>
      <w:r w:rsidR="00E53357">
        <w:t>0,</w:t>
      </w:r>
      <w:r>
        <w:t xml:space="preserve"> 201</w:t>
      </w:r>
      <w:r w:rsidR="00FC1C96">
        <w:t>9</w:t>
      </w:r>
      <w:r w:rsidR="00E53357">
        <w:t xml:space="preserve"> as compared to $</w:t>
      </w:r>
      <w:r w:rsidR="001C12B9">
        <w:t>557,696</w:t>
      </w:r>
      <w:r w:rsidR="00E53357">
        <w:t xml:space="preserve"> and $</w:t>
      </w:r>
      <w:r w:rsidR="001C12B9">
        <w:t>1,416,892</w:t>
      </w:r>
      <w:r w:rsidR="00E53357">
        <w:t xml:space="preserve"> for the comparable periods of 2018</w:t>
      </w:r>
      <w:r w:rsidRPr="005268FE">
        <w:t xml:space="preserve">. </w:t>
      </w:r>
      <w:r w:rsidR="00E53357">
        <w:t xml:space="preserve">Research and development expense for the three-month and </w:t>
      </w:r>
      <w:r w:rsidR="001C12B9">
        <w:t>nine</w:t>
      </w:r>
      <w:r w:rsidR="00E53357">
        <w:t>-month periods of 2019 includes stock-based compensation expense of $</w:t>
      </w:r>
      <w:r w:rsidR="00505DBA">
        <w:t>11,006</w:t>
      </w:r>
      <w:r w:rsidR="00E53357">
        <w:t xml:space="preserve"> and $</w:t>
      </w:r>
      <w:r w:rsidR="00505DBA">
        <w:t>33,647</w:t>
      </w:r>
      <w:r w:rsidR="00E53357">
        <w:t xml:space="preserve"> respectively, as compared to $</w:t>
      </w:r>
      <w:r w:rsidR="001C12B9">
        <w:t>10,759</w:t>
      </w:r>
      <w:r w:rsidR="00E53357">
        <w:t xml:space="preserve"> and $</w:t>
      </w:r>
      <w:r w:rsidR="001C12B9">
        <w:t>32,221</w:t>
      </w:r>
      <w:r w:rsidR="00E53357">
        <w:t xml:space="preserve">, respectively, for the comparable periods of 2018 </w:t>
      </w:r>
      <w:r w:rsidR="00E53357" w:rsidRPr="003434EE">
        <w:t>(see discussion under “Stock-Based</w:t>
      </w:r>
      <w:r w:rsidR="00E53357">
        <w:t xml:space="preserve"> Compensation Expense” below).</w:t>
      </w:r>
    </w:p>
    <w:p w14:paraId="79A19317" w14:textId="77777777" w:rsidR="009E4569" w:rsidRDefault="009E4569" w:rsidP="000A55AE"/>
    <w:p w14:paraId="7FCA38AB" w14:textId="5840D6F1" w:rsidR="009E4569" w:rsidRPr="009E4569" w:rsidRDefault="009E4569" w:rsidP="009E4569">
      <w:pPr>
        <w:rPr>
          <w:rFonts w:ascii="CG Times (WN)" w:hAnsi="CG Times (WN)"/>
        </w:rPr>
      </w:pPr>
      <w:r w:rsidRPr="00505DBA">
        <w:rPr>
          <w:rFonts w:ascii="CG Times (WN)" w:hAnsi="CG Times (WN)"/>
        </w:rPr>
        <w:t xml:space="preserve">Our research and development expenses can fluctuate considerably on a period-to-period basis, depending on our need for vaccine manufacturing by third parties, the timing of expenditures related to our government grants, the timing of costs associated with any clinical trials being funding directly by us, and other factors. </w:t>
      </w:r>
      <w:r w:rsidRPr="00505DBA">
        <w:t xml:space="preserve">Research and development expenses increased by </w:t>
      </w:r>
      <w:r w:rsidR="00576BC6" w:rsidRPr="00505DBA">
        <w:t>$</w:t>
      </w:r>
      <w:r w:rsidR="001C12B9" w:rsidRPr="00505DBA">
        <w:t>57,727</w:t>
      </w:r>
      <w:r w:rsidR="00576BC6" w:rsidRPr="00505DBA">
        <w:t xml:space="preserve">, or </w:t>
      </w:r>
      <w:r w:rsidR="001C12B9" w:rsidRPr="00505DBA">
        <w:t>4</w:t>
      </w:r>
      <w:r w:rsidR="00576BC6" w:rsidRPr="00505DBA">
        <w:t xml:space="preserve">%, </w:t>
      </w:r>
      <w:r w:rsidRPr="00505DBA">
        <w:t xml:space="preserve">from the </w:t>
      </w:r>
      <w:r w:rsidR="001C12B9" w:rsidRPr="00505DBA">
        <w:t>nine</w:t>
      </w:r>
      <w:r w:rsidR="00576BC6" w:rsidRPr="00505DBA">
        <w:t xml:space="preserve">-month period of </w:t>
      </w:r>
      <w:r w:rsidRPr="00505DBA">
        <w:t xml:space="preserve">2018 to 2019 primarily due to the timing of expenditures related to our government grants. </w:t>
      </w:r>
      <w:r w:rsidRPr="00505DBA">
        <w:rPr>
          <w:rFonts w:ascii="CG Times (WN)" w:hAnsi="CG Times (WN)"/>
        </w:rPr>
        <w:t>Our r</w:t>
      </w:r>
      <w:r w:rsidR="00576BC6" w:rsidRPr="00505DBA">
        <w:rPr>
          <w:rFonts w:ascii="CG Times (WN)" w:hAnsi="CG Times (WN)"/>
        </w:rPr>
        <w:t>es</w:t>
      </w:r>
      <w:r w:rsidRPr="00505DBA">
        <w:rPr>
          <w:rFonts w:ascii="CG Times (WN)" w:hAnsi="CG Times (WN)"/>
        </w:rPr>
        <w:t xml:space="preserve">earch and development costs do not include costs incurred by the </w:t>
      </w:r>
      <w:r w:rsidR="006E769B" w:rsidRPr="00505DBA">
        <w:rPr>
          <w:rFonts w:ascii="CG Times (WN)" w:hAnsi="CG Times (WN)"/>
        </w:rPr>
        <w:t>HIV Vaccine Trials Network (</w:t>
      </w:r>
      <w:r w:rsidRPr="00505DBA">
        <w:rPr>
          <w:rFonts w:ascii="CG Times (WN)" w:hAnsi="CG Times (WN)"/>
        </w:rPr>
        <w:t>HVTN</w:t>
      </w:r>
      <w:r w:rsidR="006E769B" w:rsidRPr="00505DBA">
        <w:rPr>
          <w:rFonts w:ascii="CG Times (WN)" w:hAnsi="CG Times (WN)"/>
        </w:rPr>
        <w:t>)</w:t>
      </w:r>
      <w:r w:rsidRPr="00505DBA">
        <w:rPr>
          <w:rFonts w:ascii="CG Times (WN)" w:hAnsi="CG Times (WN)"/>
        </w:rPr>
        <w:t xml:space="preserve"> in conducting clinical trials of our preventive HIV vaccines; those costs are funded directly to the HVTN by NIAID.</w:t>
      </w:r>
    </w:p>
    <w:p w14:paraId="31494B84" w14:textId="77777777" w:rsidR="009E4569" w:rsidRPr="0014178D" w:rsidRDefault="009E4569" w:rsidP="000A55AE"/>
    <w:p w14:paraId="38E84621" w14:textId="2222B99D" w:rsidR="009E4569" w:rsidRPr="009E4569" w:rsidRDefault="009E4569" w:rsidP="009E4569">
      <w:r w:rsidRPr="009E4569">
        <w:t xml:space="preserve">We do not disclose our research and development expenses by project, since our employees’ time is spread across multiple programs and our laboratory facility is used for multiple </w:t>
      </w:r>
      <w:r w:rsidR="00576BC6">
        <w:t>development projects</w:t>
      </w:r>
      <w:r w:rsidRPr="009E4569">
        <w:t xml:space="preserve">. We track the direct cost of research and development expenses related to government grant revenue by the percentage of assigned employees’ time spent on each grant and other direct costs associated with each grant. Indirect costs associated with grants are not tracked separately but are applied based on a contracted overhead rate negotiated with the NIH. Therefore, the recorded revenues associated with government grants approximates the costs incurred. </w:t>
      </w:r>
    </w:p>
    <w:p w14:paraId="41D727B2" w14:textId="77777777" w:rsidR="009E4569" w:rsidRPr="009E4569" w:rsidRDefault="009E4569" w:rsidP="009E4569"/>
    <w:p w14:paraId="761AAAFB" w14:textId="77777777" w:rsidR="009E4569" w:rsidRPr="009E4569" w:rsidRDefault="009E4569" w:rsidP="009E4569">
      <w:r w:rsidRPr="009E4569">
        <w:t>We do not provide forward-looking estimates of costs and time to complete our research programs due to the many uncertainties associated with vaccine development. Due to these uncertainties, our future expenditures are likely to be highly volatile in future periods depending on the outcomes of the trials and studies. As we obtain data from pre-clinical studies and clinical trials, we may elect to discontinue or delay vaccine development programs to focus our resources on more promising vaccine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number of patients that ultimately participate in the clinical trial; the duration of patient follow-up that seems appropriate in view of the results; the number of clinical sites included in the clinical trials; and the length of time required to enroll suitable patient subjects.</w:t>
      </w:r>
    </w:p>
    <w:p w14:paraId="3B115EF6" w14:textId="77777777" w:rsidR="000A55AE" w:rsidRPr="0014178D" w:rsidRDefault="000A55AE" w:rsidP="000A55AE"/>
    <w:p w14:paraId="40AB43D4" w14:textId="77777777" w:rsidR="006E60BB" w:rsidRDefault="006E60BB">
      <w:pPr>
        <w:rPr>
          <w:rStyle w:val="BodySubtitleChar"/>
        </w:rPr>
      </w:pPr>
      <w:r>
        <w:rPr>
          <w:rStyle w:val="BodySubtitleChar"/>
        </w:rPr>
        <w:br w:type="page"/>
      </w:r>
    </w:p>
    <w:p w14:paraId="384A07AB" w14:textId="6827245F" w:rsidR="00C323DF" w:rsidRPr="004A3014" w:rsidRDefault="009771C4" w:rsidP="000A55AE">
      <w:pPr>
        <w:pStyle w:val="BodyText"/>
        <w:spacing w:after="0"/>
        <w:rPr>
          <w:rStyle w:val="BodySubtitleChar"/>
        </w:rPr>
      </w:pPr>
      <w:r w:rsidRPr="004A3014">
        <w:rPr>
          <w:rStyle w:val="BodySubtitleChar"/>
        </w:rPr>
        <w:lastRenderedPageBreak/>
        <w:t>General and Administrative Expense</w:t>
      </w:r>
      <w:r w:rsidR="005268FE">
        <w:rPr>
          <w:rStyle w:val="BodySubtitleChar"/>
        </w:rPr>
        <w:t>s</w:t>
      </w:r>
    </w:p>
    <w:p w14:paraId="2F323023" w14:textId="77777777" w:rsidR="000A55AE" w:rsidRDefault="000A55AE" w:rsidP="000A55AE"/>
    <w:p w14:paraId="0D9B8123" w14:textId="13604297" w:rsidR="00E47E5D" w:rsidRDefault="00E47E5D" w:rsidP="000A55AE">
      <w:r w:rsidRPr="00E47E5D">
        <w:t>Our general and administrative expenses were</w:t>
      </w:r>
      <w:r w:rsidR="00ED15BB">
        <w:t xml:space="preserve"> $</w:t>
      </w:r>
      <w:r w:rsidR="001C12B9">
        <w:t>291,475</w:t>
      </w:r>
      <w:r w:rsidRPr="00E47E5D">
        <w:t xml:space="preserve"> and </w:t>
      </w:r>
      <w:r>
        <w:t>$</w:t>
      </w:r>
      <w:r w:rsidR="001C12B9">
        <w:t>1,214,189</w:t>
      </w:r>
      <w:r w:rsidRPr="00E47E5D">
        <w:t xml:space="preserve"> for the </w:t>
      </w:r>
      <w:r>
        <w:t xml:space="preserve">three-month </w:t>
      </w:r>
      <w:r w:rsidR="00576BC6">
        <w:t xml:space="preserve">and </w:t>
      </w:r>
      <w:r w:rsidR="001C12B9">
        <w:t>nine</w:t>
      </w:r>
      <w:r w:rsidR="00576BC6">
        <w:t xml:space="preserve">-month </w:t>
      </w:r>
      <w:r>
        <w:t>periods</w:t>
      </w:r>
      <w:r w:rsidRPr="00E47E5D">
        <w:t xml:space="preserve"> ended </w:t>
      </w:r>
      <w:r w:rsidR="001C12B9">
        <w:t>September</w:t>
      </w:r>
      <w:r>
        <w:t> 3</w:t>
      </w:r>
      <w:r w:rsidR="00576BC6">
        <w:t>0,</w:t>
      </w:r>
      <w:r>
        <w:t xml:space="preserve"> 201</w:t>
      </w:r>
      <w:r w:rsidR="009E4569">
        <w:t>9</w:t>
      </w:r>
      <w:r w:rsidR="00576BC6">
        <w:t>, as compared to $</w:t>
      </w:r>
      <w:r w:rsidR="001C12B9">
        <w:t>458,974</w:t>
      </w:r>
      <w:r w:rsidR="00576BC6">
        <w:t xml:space="preserve"> and $</w:t>
      </w:r>
      <w:r w:rsidR="001C12B9">
        <w:t>1,175,399</w:t>
      </w:r>
      <w:r w:rsidR="00576BC6">
        <w:t xml:space="preserve"> during the comparable periods of </w:t>
      </w:r>
      <w:r>
        <w:t>201</w:t>
      </w:r>
      <w:r w:rsidR="009E4569">
        <w:t>8</w:t>
      </w:r>
      <w:r w:rsidRPr="00E47E5D">
        <w:t xml:space="preserve">. General and administrative costs include officers’ salaries, legal and </w:t>
      </w:r>
      <w:r>
        <w:t>accounting costs, patent costs</w:t>
      </w:r>
      <w:r w:rsidRPr="00E47E5D">
        <w:t xml:space="preserve">, and other general corporate expenses. </w:t>
      </w:r>
      <w:r w:rsidR="00576BC6">
        <w:t xml:space="preserve">General and </w:t>
      </w:r>
      <w:r w:rsidR="00576BC6" w:rsidRPr="008D6E78">
        <w:t xml:space="preserve">administrative expense for the three-month and </w:t>
      </w:r>
      <w:r w:rsidR="001C12B9">
        <w:t>nine</w:t>
      </w:r>
      <w:r w:rsidR="00576BC6" w:rsidRPr="008D6E78">
        <w:t>-month periods of 201</w:t>
      </w:r>
      <w:r w:rsidR="00576BC6">
        <w:t>9</w:t>
      </w:r>
      <w:r w:rsidR="00576BC6" w:rsidRPr="008D6E78">
        <w:t xml:space="preserve"> include stock-based compensation expense of $</w:t>
      </w:r>
      <w:r w:rsidR="00505DBA">
        <w:t xml:space="preserve">21,342 </w:t>
      </w:r>
      <w:r w:rsidR="00576BC6" w:rsidRPr="008D6E78">
        <w:t>and $</w:t>
      </w:r>
      <w:r w:rsidR="00505DBA">
        <w:t>257,097</w:t>
      </w:r>
      <w:r w:rsidR="00576BC6" w:rsidRPr="008D6E78">
        <w:t>, respectively; as compared to $</w:t>
      </w:r>
      <w:r w:rsidR="001C12B9">
        <w:t>131,754</w:t>
      </w:r>
      <w:r w:rsidR="00576BC6" w:rsidRPr="008D6E78">
        <w:t xml:space="preserve"> and $</w:t>
      </w:r>
      <w:r w:rsidR="001C12B9">
        <w:t>243,204</w:t>
      </w:r>
      <w:r w:rsidR="00576BC6" w:rsidRPr="008D6E78">
        <w:t>, respectively, for the comparable periods of 201</w:t>
      </w:r>
      <w:r w:rsidR="00576BC6">
        <w:t>8</w:t>
      </w:r>
      <w:r w:rsidR="00576BC6" w:rsidRPr="008D6E78">
        <w:t xml:space="preserve"> (see discussion</w:t>
      </w:r>
      <w:r w:rsidR="00576BC6" w:rsidRPr="004A3014">
        <w:t xml:space="preserve"> </w:t>
      </w:r>
      <w:r w:rsidR="00576BC6">
        <w:t>under “Stock-Based Compensation Expense” below). Excluding stock-based compensation expense, general and administrative expenses were $</w:t>
      </w:r>
      <w:r w:rsidR="00505DBA">
        <w:t>270,133</w:t>
      </w:r>
      <w:r w:rsidR="00576BC6">
        <w:t xml:space="preserve"> and $</w:t>
      </w:r>
      <w:r w:rsidR="00505DBA">
        <w:t>957,092</w:t>
      </w:r>
      <w:r w:rsidR="00576BC6">
        <w:t xml:space="preserve"> during the three-month and </w:t>
      </w:r>
      <w:r w:rsidR="001C12B9">
        <w:t>nine</w:t>
      </w:r>
      <w:r w:rsidR="00576BC6">
        <w:t xml:space="preserve">-month periods </w:t>
      </w:r>
      <w:r w:rsidR="00576BC6" w:rsidRPr="004A3014">
        <w:t xml:space="preserve">ended </w:t>
      </w:r>
      <w:r w:rsidR="001C12B9">
        <w:t>September</w:t>
      </w:r>
      <w:r w:rsidR="00576BC6">
        <w:t xml:space="preserve"> 30, 2019</w:t>
      </w:r>
      <w:r w:rsidR="00576BC6" w:rsidRPr="004A3014">
        <w:t xml:space="preserve">, </w:t>
      </w:r>
      <w:r w:rsidR="00576BC6">
        <w:t xml:space="preserve">respectively, </w:t>
      </w:r>
      <w:r w:rsidR="00576BC6" w:rsidRPr="004A3014">
        <w:t>as compared to $</w:t>
      </w:r>
      <w:r w:rsidR="001C12B9">
        <w:t>327,220</w:t>
      </w:r>
      <w:r w:rsidR="00576BC6">
        <w:t xml:space="preserve"> and $</w:t>
      </w:r>
      <w:r w:rsidR="001C12B9">
        <w:t>932,195</w:t>
      </w:r>
      <w:r w:rsidR="00576BC6">
        <w:t xml:space="preserve">, respectively during the comparable periods of </w:t>
      </w:r>
      <w:r w:rsidR="00576BC6" w:rsidRPr="008D6E78">
        <w:t>201</w:t>
      </w:r>
      <w:r w:rsidR="00576BC6">
        <w:t>8</w:t>
      </w:r>
      <w:r w:rsidR="00505DBA">
        <w:t xml:space="preserve">, representing an increase of $24,897 (2.7%) </w:t>
      </w:r>
      <w:r w:rsidR="00A10E5E">
        <w:t xml:space="preserve">from the nine-month period of 2018 to 2019. </w:t>
      </w:r>
      <w:r w:rsidRPr="00F11B56">
        <w:t>We expect that our general and administrative costs may increase in the future in support of expanded research and development</w:t>
      </w:r>
      <w:r w:rsidRPr="00E47E5D">
        <w:t xml:space="preserve"> activities and other general corporate activities.</w:t>
      </w:r>
    </w:p>
    <w:p w14:paraId="0C7E3CDD" w14:textId="77777777" w:rsidR="000A55AE" w:rsidRDefault="000A55AE" w:rsidP="000A55AE">
      <w:pPr>
        <w:pStyle w:val="BodyText"/>
        <w:spacing w:after="0"/>
        <w:rPr>
          <w:rStyle w:val="BodySubtitleChar"/>
        </w:rPr>
      </w:pPr>
    </w:p>
    <w:p w14:paraId="3DB48256" w14:textId="18F83BB8" w:rsidR="00C323DF" w:rsidRPr="004A3014" w:rsidRDefault="00B07D72" w:rsidP="000A55AE">
      <w:pPr>
        <w:pStyle w:val="BodyText"/>
        <w:spacing w:after="0"/>
        <w:rPr>
          <w:i/>
        </w:rPr>
      </w:pPr>
      <w:r w:rsidRPr="004A3014">
        <w:rPr>
          <w:rStyle w:val="BodySubtitleChar"/>
        </w:rPr>
        <w:t>Stock-Based Compensation Expense</w:t>
      </w:r>
    </w:p>
    <w:p w14:paraId="0F2C7D45" w14:textId="77777777" w:rsidR="000A55AE" w:rsidRDefault="000A55AE" w:rsidP="000A55AE">
      <w:pPr>
        <w:pStyle w:val="BodyText"/>
        <w:spacing w:after="0"/>
        <w:rPr>
          <w:color w:val="000000"/>
        </w:rPr>
      </w:pPr>
    </w:p>
    <w:p w14:paraId="3DBC3393" w14:textId="5BF497E0" w:rsidR="0006796B" w:rsidRDefault="0006796B" w:rsidP="00CA6A84">
      <w:pPr>
        <w:pStyle w:val="BodyText"/>
        <w:spacing w:after="0"/>
        <w:rPr>
          <w:color w:val="000000"/>
        </w:rPr>
      </w:pPr>
      <w:r>
        <w:rPr>
          <w:color w:val="000000"/>
        </w:rPr>
        <w:t xml:space="preserve">For the three-month and </w:t>
      </w:r>
      <w:r w:rsidR="001C12B9">
        <w:rPr>
          <w:color w:val="000000"/>
        </w:rPr>
        <w:t>nine-</w:t>
      </w:r>
      <w:r>
        <w:rPr>
          <w:color w:val="000000"/>
        </w:rPr>
        <w:t xml:space="preserve">month periods ended </w:t>
      </w:r>
      <w:r w:rsidR="001C12B9">
        <w:rPr>
          <w:color w:val="000000"/>
        </w:rPr>
        <w:t>September</w:t>
      </w:r>
      <w:r>
        <w:rPr>
          <w:color w:val="000000"/>
        </w:rPr>
        <w:t xml:space="preserve"> 30, 2019 and 2018, the components of stock-based compensation expense were as follows:</w:t>
      </w:r>
    </w:p>
    <w:tbl>
      <w:tblPr>
        <w:tblW w:w="0" w:type="auto"/>
        <w:tblLook w:val="01E0" w:firstRow="1" w:lastRow="1" w:firstColumn="1" w:lastColumn="1" w:noHBand="0" w:noVBand="0"/>
      </w:tblPr>
      <w:tblGrid>
        <w:gridCol w:w="3944"/>
        <w:gridCol w:w="1499"/>
        <w:gridCol w:w="1498"/>
        <w:gridCol w:w="1498"/>
        <w:gridCol w:w="1497"/>
      </w:tblGrid>
      <w:tr w:rsidR="0006796B" w:rsidRPr="00C44927" w14:paraId="3E7076A7" w14:textId="77777777" w:rsidTr="00EA1CE2">
        <w:tc>
          <w:tcPr>
            <w:tcW w:w="4108" w:type="dxa"/>
          </w:tcPr>
          <w:p w14:paraId="7813573B" w14:textId="77777777" w:rsidR="0006796B" w:rsidRPr="00C44927" w:rsidRDefault="0006796B" w:rsidP="00EA1CE2">
            <w:pPr>
              <w:rPr>
                <w:color w:val="000000"/>
              </w:rPr>
            </w:pPr>
          </w:p>
        </w:tc>
        <w:tc>
          <w:tcPr>
            <w:tcW w:w="3022" w:type="dxa"/>
            <w:gridSpan w:val="2"/>
            <w:tcBorders>
              <w:bottom w:val="single" w:sz="4" w:space="0" w:color="auto"/>
            </w:tcBorders>
          </w:tcPr>
          <w:p w14:paraId="1906618E" w14:textId="76E76AD6" w:rsidR="0006796B" w:rsidRPr="00C44927" w:rsidRDefault="0006796B" w:rsidP="00EA1CE2">
            <w:pPr>
              <w:jc w:val="center"/>
              <w:rPr>
                <w:color w:val="000000"/>
              </w:rPr>
            </w:pPr>
            <w:r w:rsidRPr="00C44927">
              <w:rPr>
                <w:color w:val="000000"/>
              </w:rPr>
              <w:t xml:space="preserve">Three Months Ended </w:t>
            </w:r>
            <w:r w:rsidR="001C12B9">
              <w:rPr>
                <w:color w:val="000000"/>
              </w:rPr>
              <w:t>Sep</w:t>
            </w:r>
            <w:r w:rsidRPr="00C44927">
              <w:rPr>
                <w:color w:val="000000"/>
              </w:rPr>
              <w:t xml:space="preserve"> 30,</w:t>
            </w:r>
          </w:p>
        </w:tc>
        <w:tc>
          <w:tcPr>
            <w:tcW w:w="3022" w:type="dxa"/>
            <w:gridSpan w:val="2"/>
            <w:tcBorders>
              <w:bottom w:val="single" w:sz="4" w:space="0" w:color="auto"/>
            </w:tcBorders>
          </w:tcPr>
          <w:p w14:paraId="24D94673" w14:textId="0254EABB" w:rsidR="0006796B" w:rsidRPr="00C44927" w:rsidRDefault="001C12B9" w:rsidP="00EA1CE2">
            <w:pPr>
              <w:jc w:val="center"/>
              <w:rPr>
                <w:color w:val="000000"/>
              </w:rPr>
            </w:pPr>
            <w:r>
              <w:rPr>
                <w:color w:val="000000"/>
              </w:rPr>
              <w:t>Nine</w:t>
            </w:r>
            <w:r w:rsidR="0006796B" w:rsidRPr="00C44927">
              <w:rPr>
                <w:color w:val="000000"/>
              </w:rPr>
              <w:t xml:space="preserve"> Months Ended </w:t>
            </w:r>
            <w:r>
              <w:rPr>
                <w:color w:val="000000"/>
              </w:rPr>
              <w:t>Sep</w:t>
            </w:r>
            <w:r w:rsidR="0006796B" w:rsidRPr="00C44927">
              <w:rPr>
                <w:color w:val="000000"/>
              </w:rPr>
              <w:t xml:space="preserve"> 30,</w:t>
            </w:r>
          </w:p>
        </w:tc>
      </w:tr>
      <w:tr w:rsidR="0006796B" w:rsidRPr="00C44927" w14:paraId="4BD06807" w14:textId="77777777" w:rsidTr="00EA1CE2">
        <w:tc>
          <w:tcPr>
            <w:tcW w:w="4108" w:type="dxa"/>
            <w:tcBorders>
              <w:bottom w:val="single" w:sz="4" w:space="0" w:color="auto"/>
            </w:tcBorders>
          </w:tcPr>
          <w:p w14:paraId="7B84CC71" w14:textId="77777777" w:rsidR="0006796B" w:rsidRPr="00C44927" w:rsidRDefault="0006796B" w:rsidP="00EA1CE2">
            <w:pPr>
              <w:rPr>
                <w:color w:val="000000"/>
              </w:rPr>
            </w:pPr>
          </w:p>
        </w:tc>
        <w:tc>
          <w:tcPr>
            <w:tcW w:w="1511" w:type="dxa"/>
            <w:tcBorders>
              <w:top w:val="single" w:sz="4" w:space="0" w:color="auto"/>
              <w:bottom w:val="single" w:sz="4" w:space="0" w:color="auto"/>
            </w:tcBorders>
          </w:tcPr>
          <w:p w14:paraId="30A3FAD8" w14:textId="7B559D70" w:rsidR="0006796B" w:rsidRPr="00C44927" w:rsidRDefault="0006796B" w:rsidP="00EA1CE2">
            <w:pPr>
              <w:jc w:val="center"/>
              <w:rPr>
                <w:color w:val="000000"/>
              </w:rPr>
            </w:pPr>
            <w:r>
              <w:rPr>
                <w:color w:val="000000"/>
              </w:rPr>
              <w:t>2019</w:t>
            </w:r>
          </w:p>
        </w:tc>
        <w:tc>
          <w:tcPr>
            <w:tcW w:w="1511" w:type="dxa"/>
            <w:tcBorders>
              <w:top w:val="single" w:sz="4" w:space="0" w:color="auto"/>
              <w:bottom w:val="single" w:sz="4" w:space="0" w:color="auto"/>
            </w:tcBorders>
          </w:tcPr>
          <w:p w14:paraId="1DDB0A9C" w14:textId="4C9B4BDE" w:rsidR="0006796B" w:rsidRPr="00C44927" w:rsidRDefault="0006796B" w:rsidP="00EA1CE2">
            <w:pPr>
              <w:jc w:val="center"/>
              <w:rPr>
                <w:color w:val="000000"/>
              </w:rPr>
            </w:pPr>
            <w:r>
              <w:rPr>
                <w:color w:val="000000"/>
              </w:rPr>
              <w:t>2018</w:t>
            </w:r>
          </w:p>
        </w:tc>
        <w:tc>
          <w:tcPr>
            <w:tcW w:w="1511" w:type="dxa"/>
            <w:tcBorders>
              <w:bottom w:val="single" w:sz="4" w:space="0" w:color="auto"/>
            </w:tcBorders>
          </w:tcPr>
          <w:p w14:paraId="7732C9DA" w14:textId="350A00CE" w:rsidR="0006796B" w:rsidRPr="00C44927" w:rsidRDefault="0006796B" w:rsidP="00EA1CE2">
            <w:pPr>
              <w:jc w:val="center"/>
              <w:rPr>
                <w:color w:val="000000"/>
              </w:rPr>
            </w:pPr>
            <w:r>
              <w:rPr>
                <w:color w:val="000000"/>
              </w:rPr>
              <w:t>2019</w:t>
            </w:r>
          </w:p>
        </w:tc>
        <w:tc>
          <w:tcPr>
            <w:tcW w:w="1511" w:type="dxa"/>
            <w:tcBorders>
              <w:bottom w:val="single" w:sz="4" w:space="0" w:color="auto"/>
            </w:tcBorders>
          </w:tcPr>
          <w:p w14:paraId="72769F76" w14:textId="12317735" w:rsidR="0006796B" w:rsidRPr="00C44927" w:rsidRDefault="0006796B" w:rsidP="00EA1CE2">
            <w:pPr>
              <w:jc w:val="center"/>
              <w:rPr>
                <w:color w:val="000000"/>
              </w:rPr>
            </w:pPr>
            <w:r>
              <w:rPr>
                <w:color w:val="000000"/>
              </w:rPr>
              <w:t>2018</w:t>
            </w:r>
          </w:p>
        </w:tc>
      </w:tr>
      <w:tr w:rsidR="0006796B" w:rsidRPr="00C44927" w14:paraId="5506E41A" w14:textId="77777777" w:rsidTr="00EA1CE2">
        <w:tc>
          <w:tcPr>
            <w:tcW w:w="4108" w:type="dxa"/>
            <w:tcBorders>
              <w:top w:val="single" w:sz="4" w:space="0" w:color="auto"/>
            </w:tcBorders>
          </w:tcPr>
          <w:p w14:paraId="1533BF9E" w14:textId="77777777" w:rsidR="0006796B" w:rsidRPr="00C44927" w:rsidRDefault="0006796B" w:rsidP="00EA1CE2">
            <w:pPr>
              <w:rPr>
                <w:color w:val="000000"/>
              </w:rPr>
            </w:pPr>
            <w:r>
              <w:rPr>
                <w:color w:val="000000"/>
              </w:rPr>
              <w:t>Stock option expense</w:t>
            </w:r>
          </w:p>
        </w:tc>
        <w:tc>
          <w:tcPr>
            <w:tcW w:w="1511" w:type="dxa"/>
            <w:tcBorders>
              <w:top w:val="single" w:sz="4" w:space="0" w:color="auto"/>
            </w:tcBorders>
          </w:tcPr>
          <w:p w14:paraId="7D4AD986" w14:textId="13349713" w:rsidR="0006796B" w:rsidRPr="00C44927" w:rsidRDefault="0006796B" w:rsidP="00EA1CE2">
            <w:pPr>
              <w:tabs>
                <w:tab w:val="decimal" w:pos="1092"/>
              </w:tabs>
              <w:rPr>
                <w:color w:val="000000"/>
              </w:rPr>
            </w:pPr>
            <w:r>
              <w:rPr>
                <w:color w:val="000000"/>
              </w:rPr>
              <w:t>$  26</w:t>
            </w:r>
            <w:r w:rsidR="001C12B9">
              <w:rPr>
                <w:color w:val="000000"/>
              </w:rPr>
              <w:t>,348</w:t>
            </w:r>
          </w:p>
        </w:tc>
        <w:tc>
          <w:tcPr>
            <w:tcW w:w="1511" w:type="dxa"/>
            <w:tcBorders>
              <w:top w:val="single" w:sz="4" w:space="0" w:color="auto"/>
            </w:tcBorders>
          </w:tcPr>
          <w:p w14:paraId="3B87F4AC" w14:textId="481C1FAB" w:rsidR="0006796B" w:rsidRPr="00C44927" w:rsidRDefault="0006796B" w:rsidP="00EA1CE2">
            <w:pPr>
              <w:tabs>
                <w:tab w:val="decimal" w:pos="1081"/>
              </w:tabs>
              <w:rPr>
                <w:color w:val="000000"/>
              </w:rPr>
            </w:pPr>
            <w:r>
              <w:rPr>
                <w:color w:val="000000"/>
              </w:rPr>
              <w:t xml:space="preserve">$ </w:t>
            </w:r>
            <w:r w:rsidRPr="00C44927">
              <w:rPr>
                <w:color w:val="000000"/>
              </w:rPr>
              <w:t xml:space="preserve"> </w:t>
            </w:r>
            <w:r w:rsidR="00251471">
              <w:rPr>
                <w:color w:val="000000"/>
              </w:rPr>
              <w:t>85,370</w:t>
            </w:r>
          </w:p>
        </w:tc>
        <w:tc>
          <w:tcPr>
            <w:tcW w:w="1511" w:type="dxa"/>
            <w:tcBorders>
              <w:top w:val="single" w:sz="4" w:space="0" w:color="auto"/>
            </w:tcBorders>
          </w:tcPr>
          <w:p w14:paraId="69C24239" w14:textId="3E422F53" w:rsidR="0006796B" w:rsidRPr="00C44927" w:rsidRDefault="0006796B" w:rsidP="00EA1CE2">
            <w:pPr>
              <w:tabs>
                <w:tab w:val="decimal" w:pos="1070"/>
              </w:tabs>
              <w:rPr>
                <w:color w:val="000000"/>
              </w:rPr>
            </w:pPr>
            <w:r>
              <w:rPr>
                <w:color w:val="000000"/>
              </w:rPr>
              <w:t xml:space="preserve">$   </w:t>
            </w:r>
            <w:r w:rsidR="001C12B9">
              <w:rPr>
                <w:color w:val="000000"/>
              </w:rPr>
              <w:t>79,664</w:t>
            </w:r>
          </w:p>
        </w:tc>
        <w:tc>
          <w:tcPr>
            <w:tcW w:w="1511" w:type="dxa"/>
            <w:tcBorders>
              <w:top w:val="single" w:sz="4" w:space="0" w:color="auto"/>
            </w:tcBorders>
          </w:tcPr>
          <w:p w14:paraId="5C737972" w14:textId="5050EA0F" w:rsidR="0006796B" w:rsidRPr="00C44927" w:rsidRDefault="0006796B" w:rsidP="00EA1CE2">
            <w:pPr>
              <w:tabs>
                <w:tab w:val="decimal" w:pos="1059"/>
              </w:tabs>
              <w:rPr>
                <w:color w:val="000000"/>
              </w:rPr>
            </w:pPr>
            <w:r>
              <w:rPr>
                <w:color w:val="000000"/>
              </w:rPr>
              <w:t xml:space="preserve">$  </w:t>
            </w:r>
            <w:r w:rsidR="00251471">
              <w:rPr>
                <w:color w:val="000000"/>
              </w:rPr>
              <w:t>132,569</w:t>
            </w:r>
          </w:p>
        </w:tc>
      </w:tr>
      <w:tr w:rsidR="0006796B" w:rsidRPr="00C44927" w14:paraId="7E8FA248" w14:textId="77777777" w:rsidTr="00EA1CE2">
        <w:tc>
          <w:tcPr>
            <w:tcW w:w="4108" w:type="dxa"/>
          </w:tcPr>
          <w:p w14:paraId="0469A38C" w14:textId="77777777" w:rsidR="0006796B" w:rsidRPr="00C44927" w:rsidRDefault="0006796B" w:rsidP="00EA1CE2">
            <w:pPr>
              <w:rPr>
                <w:color w:val="000000"/>
              </w:rPr>
            </w:pPr>
            <w:r>
              <w:rPr>
                <w:color w:val="000000"/>
              </w:rPr>
              <w:t>Stock issued for services</w:t>
            </w:r>
          </w:p>
        </w:tc>
        <w:tc>
          <w:tcPr>
            <w:tcW w:w="1511" w:type="dxa"/>
            <w:tcBorders>
              <w:bottom w:val="single" w:sz="4" w:space="0" w:color="auto"/>
            </w:tcBorders>
          </w:tcPr>
          <w:p w14:paraId="63B3ED20" w14:textId="05EBBD27" w:rsidR="0006796B" w:rsidRPr="00C44927" w:rsidRDefault="001C12B9" w:rsidP="00EA1CE2">
            <w:pPr>
              <w:tabs>
                <w:tab w:val="decimal" w:pos="1092"/>
              </w:tabs>
              <w:rPr>
                <w:color w:val="000000"/>
              </w:rPr>
            </w:pPr>
            <w:r>
              <w:rPr>
                <w:color w:val="000000"/>
              </w:rPr>
              <w:t>6,000</w:t>
            </w:r>
          </w:p>
        </w:tc>
        <w:tc>
          <w:tcPr>
            <w:tcW w:w="1511" w:type="dxa"/>
            <w:tcBorders>
              <w:bottom w:val="single" w:sz="4" w:space="0" w:color="auto"/>
            </w:tcBorders>
          </w:tcPr>
          <w:p w14:paraId="089CD878" w14:textId="0A71F0A8" w:rsidR="0006796B" w:rsidRPr="00C44927" w:rsidRDefault="00251471" w:rsidP="00EA1CE2">
            <w:pPr>
              <w:tabs>
                <w:tab w:val="decimal" w:pos="1081"/>
              </w:tabs>
              <w:rPr>
                <w:color w:val="000000"/>
              </w:rPr>
            </w:pPr>
            <w:r>
              <w:rPr>
                <w:color w:val="000000"/>
              </w:rPr>
              <w:t>57,143</w:t>
            </w:r>
          </w:p>
        </w:tc>
        <w:tc>
          <w:tcPr>
            <w:tcW w:w="1511" w:type="dxa"/>
            <w:tcBorders>
              <w:bottom w:val="single" w:sz="4" w:space="0" w:color="auto"/>
            </w:tcBorders>
          </w:tcPr>
          <w:p w14:paraId="04292008" w14:textId="636CF8C1" w:rsidR="0006796B" w:rsidRPr="00C44927" w:rsidRDefault="00251471" w:rsidP="00EA1CE2">
            <w:pPr>
              <w:tabs>
                <w:tab w:val="decimal" w:pos="1070"/>
              </w:tabs>
              <w:rPr>
                <w:color w:val="000000"/>
              </w:rPr>
            </w:pPr>
            <w:r>
              <w:rPr>
                <w:color w:val="000000"/>
              </w:rPr>
              <w:t>211,080</w:t>
            </w:r>
          </w:p>
        </w:tc>
        <w:tc>
          <w:tcPr>
            <w:tcW w:w="1511" w:type="dxa"/>
            <w:tcBorders>
              <w:bottom w:val="single" w:sz="4" w:space="0" w:color="auto"/>
            </w:tcBorders>
          </w:tcPr>
          <w:p w14:paraId="38BE7B5E" w14:textId="00058E0D" w:rsidR="0006796B" w:rsidRPr="00C44927" w:rsidRDefault="00251471" w:rsidP="00EA1CE2">
            <w:pPr>
              <w:tabs>
                <w:tab w:val="decimal" w:pos="1059"/>
              </w:tabs>
              <w:rPr>
                <w:color w:val="000000"/>
              </w:rPr>
            </w:pPr>
            <w:r>
              <w:rPr>
                <w:color w:val="000000"/>
              </w:rPr>
              <w:t>142,856</w:t>
            </w:r>
          </w:p>
        </w:tc>
      </w:tr>
      <w:tr w:rsidR="0006796B" w:rsidRPr="00C44927" w14:paraId="234DB45C" w14:textId="77777777" w:rsidTr="00EA1CE2">
        <w:tc>
          <w:tcPr>
            <w:tcW w:w="4108" w:type="dxa"/>
          </w:tcPr>
          <w:p w14:paraId="67519BE4" w14:textId="77777777" w:rsidR="0006796B" w:rsidRPr="00C44927" w:rsidRDefault="0006796B" w:rsidP="00EA1CE2">
            <w:pPr>
              <w:rPr>
                <w:color w:val="000000"/>
              </w:rPr>
            </w:pPr>
            <w:r>
              <w:rPr>
                <w:color w:val="000000"/>
              </w:rPr>
              <w:t>Total stock-based compensation e</w:t>
            </w:r>
            <w:r w:rsidRPr="00C44927">
              <w:rPr>
                <w:color w:val="000000"/>
              </w:rPr>
              <w:t>xpense</w:t>
            </w:r>
          </w:p>
        </w:tc>
        <w:tc>
          <w:tcPr>
            <w:tcW w:w="1511" w:type="dxa"/>
            <w:tcBorders>
              <w:top w:val="single" w:sz="4" w:space="0" w:color="auto"/>
              <w:bottom w:val="double" w:sz="4" w:space="0" w:color="auto"/>
            </w:tcBorders>
          </w:tcPr>
          <w:p w14:paraId="40D65DDC" w14:textId="6FB940A0" w:rsidR="0006796B" w:rsidRPr="00C44927" w:rsidRDefault="0006796B" w:rsidP="00EA1CE2">
            <w:pPr>
              <w:tabs>
                <w:tab w:val="decimal" w:pos="1092"/>
              </w:tabs>
              <w:rPr>
                <w:color w:val="000000"/>
              </w:rPr>
            </w:pPr>
            <w:r w:rsidRPr="00C44927">
              <w:rPr>
                <w:color w:val="000000"/>
              </w:rPr>
              <w:t xml:space="preserve">$ </w:t>
            </w:r>
            <w:r w:rsidR="001C12B9">
              <w:rPr>
                <w:color w:val="000000"/>
              </w:rPr>
              <w:t>32,348</w:t>
            </w:r>
          </w:p>
        </w:tc>
        <w:tc>
          <w:tcPr>
            <w:tcW w:w="1511" w:type="dxa"/>
            <w:tcBorders>
              <w:top w:val="single" w:sz="4" w:space="0" w:color="auto"/>
              <w:bottom w:val="double" w:sz="4" w:space="0" w:color="auto"/>
            </w:tcBorders>
          </w:tcPr>
          <w:p w14:paraId="7ADB8734" w14:textId="7A1AC0F6" w:rsidR="0006796B" w:rsidRPr="00C44927" w:rsidRDefault="0006796B" w:rsidP="00EA1CE2">
            <w:pPr>
              <w:tabs>
                <w:tab w:val="decimal" w:pos="1081"/>
              </w:tabs>
              <w:rPr>
                <w:color w:val="000000"/>
              </w:rPr>
            </w:pPr>
            <w:r>
              <w:rPr>
                <w:color w:val="000000"/>
              </w:rPr>
              <w:t xml:space="preserve">$  </w:t>
            </w:r>
            <w:r w:rsidR="00251471">
              <w:rPr>
                <w:color w:val="000000"/>
              </w:rPr>
              <w:t>142,513</w:t>
            </w:r>
          </w:p>
        </w:tc>
        <w:tc>
          <w:tcPr>
            <w:tcW w:w="1511" w:type="dxa"/>
            <w:tcBorders>
              <w:top w:val="single" w:sz="4" w:space="0" w:color="auto"/>
              <w:bottom w:val="double" w:sz="4" w:space="0" w:color="auto"/>
            </w:tcBorders>
          </w:tcPr>
          <w:p w14:paraId="52DEBE44" w14:textId="28DAD72D" w:rsidR="0006796B" w:rsidRPr="00C44927" w:rsidRDefault="0006796B" w:rsidP="00EA1CE2">
            <w:pPr>
              <w:tabs>
                <w:tab w:val="decimal" w:pos="1070"/>
              </w:tabs>
              <w:rPr>
                <w:color w:val="000000"/>
              </w:rPr>
            </w:pPr>
            <w:r>
              <w:rPr>
                <w:color w:val="000000"/>
              </w:rPr>
              <w:t xml:space="preserve">$ </w:t>
            </w:r>
            <w:r w:rsidR="00251471">
              <w:rPr>
                <w:color w:val="000000"/>
              </w:rPr>
              <w:t>290,744</w:t>
            </w:r>
          </w:p>
        </w:tc>
        <w:tc>
          <w:tcPr>
            <w:tcW w:w="1511" w:type="dxa"/>
            <w:tcBorders>
              <w:top w:val="single" w:sz="4" w:space="0" w:color="auto"/>
              <w:bottom w:val="double" w:sz="4" w:space="0" w:color="auto"/>
            </w:tcBorders>
          </w:tcPr>
          <w:p w14:paraId="46361197" w14:textId="6F078230" w:rsidR="0006796B" w:rsidRPr="00C44927" w:rsidRDefault="0006796B" w:rsidP="00EA1CE2">
            <w:pPr>
              <w:tabs>
                <w:tab w:val="decimal" w:pos="1059"/>
              </w:tabs>
              <w:rPr>
                <w:color w:val="000000"/>
              </w:rPr>
            </w:pPr>
            <w:r>
              <w:rPr>
                <w:color w:val="000000"/>
              </w:rPr>
              <w:t xml:space="preserve">$ </w:t>
            </w:r>
            <w:r w:rsidR="00251471">
              <w:rPr>
                <w:color w:val="000000"/>
              </w:rPr>
              <w:t>275,425</w:t>
            </w:r>
          </w:p>
        </w:tc>
      </w:tr>
    </w:tbl>
    <w:p w14:paraId="09DDFC87" w14:textId="77777777" w:rsidR="00CA6A84" w:rsidRDefault="00CA6A84" w:rsidP="00CA6A84"/>
    <w:p w14:paraId="770CF37A" w14:textId="402ACA54" w:rsidR="0006796B" w:rsidRDefault="0006796B" w:rsidP="00CA6A84">
      <w:r w:rsidRPr="00137D87">
        <w:t xml:space="preserve">In general, stock-based compensation expense is allocated to research and development expense or general and administrative expense according to the classification of cash compensation paid to the employee, consultant or director to whom the stock compensation was granted. </w:t>
      </w:r>
      <w:r>
        <w:rPr>
          <w:color w:val="000000"/>
        </w:rPr>
        <w:t xml:space="preserve">For the three-month and </w:t>
      </w:r>
      <w:r w:rsidR="00251471">
        <w:rPr>
          <w:color w:val="000000"/>
        </w:rPr>
        <w:t>nine</w:t>
      </w:r>
      <w:r>
        <w:rPr>
          <w:color w:val="000000"/>
        </w:rPr>
        <w:t xml:space="preserve">-month periods ended </w:t>
      </w:r>
      <w:r w:rsidR="00251471">
        <w:rPr>
          <w:color w:val="000000"/>
        </w:rPr>
        <w:t>September</w:t>
      </w:r>
      <w:r>
        <w:rPr>
          <w:color w:val="000000"/>
        </w:rPr>
        <w:t xml:space="preserve"> 30, 2019 and 2018</w:t>
      </w:r>
      <w:r w:rsidRPr="00137D87">
        <w:t>, stock-based compensation expense was allocated as follows:</w:t>
      </w:r>
    </w:p>
    <w:p w14:paraId="0245F506" w14:textId="77777777" w:rsidR="00CA6A84" w:rsidRDefault="00CA6A84" w:rsidP="00CA6A84"/>
    <w:tbl>
      <w:tblPr>
        <w:tblW w:w="0" w:type="auto"/>
        <w:tblLook w:val="01E0" w:firstRow="1" w:lastRow="1" w:firstColumn="1" w:lastColumn="1" w:noHBand="0" w:noVBand="0"/>
      </w:tblPr>
      <w:tblGrid>
        <w:gridCol w:w="3944"/>
        <w:gridCol w:w="1499"/>
        <w:gridCol w:w="1498"/>
        <w:gridCol w:w="1498"/>
        <w:gridCol w:w="1497"/>
      </w:tblGrid>
      <w:tr w:rsidR="0006796B" w:rsidRPr="00C44927" w14:paraId="6871EBE9" w14:textId="77777777" w:rsidTr="00EA1CE2">
        <w:tc>
          <w:tcPr>
            <w:tcW w:w="4108" w:type="dxa"/>
          </w:tcPr>
          <w:p w14:paraId="46E58927" w14:textId="77777777" w:rsidR="0006796B" w:rsidRPr="00C44927" w:rsidRDefault="0006796B" w:rsidP="00EA1CE2">
            <w:pPr>
              <w:rPr>
                <w:color w:val="000000"/>
              </w:rPr>
            </w:pPr>
          </w:p>
        </w:tc>
        <w:tc>
          <w:tcPr>
            <w:tcW w:w="3022" w:type="dxa"/>
            <w:gridSpan w:val="2"/>
            <w:tcBorders>
              <w:bottom w:val="single" w:sz="4" w:space="0" w:color="auto"/>
            </w:tcBorders>
          </w:tcPr>
          <w:p w14:paraId="6ECB847E" w14:textId="7EADB842" w:rsidR="0006796B" w:rsidRPr="00C44927" w:rsidRDefault="0006796B" w:rsidP="00EA1CE2">
            <w:pPr>
              <w:jc w:val="center"/>
              <w:rPr>
                <w:color w:val="000000"/>
              </w:rPr>
            </w:pPr>
            <w:r w:rsidRPr="00C44927">
              <w:rPr>
                <w:color w:val="000000"/>
              </w:rPr>
              <w:t xml:space="preserve">Three Months Ended </w:t>
            </w:r>
            <w:r w:rsidR="00251471">
              <w:rPr>
                <w:color w:val="000000"/>
              </w:rPr>
              <w:t>Sep</w:t>
            </w:r>
            <w:r w:rsidRPr="00C44927">
              <w:rPr>
                <w:color w:val="000000"/>
              </w:rPr>
              <w:t xml:space="preserve"> 30,</w:t>
            </w:r>
          </w:p>
        </w:tc>
        <w:tc>
          <w:tcPr>
            <w:tcW w:w="3022" w:type="dxa"/>
            <w:gridSpan w:val="2"/>
            <w:tcBorders>
              <w:bottom w:val="single" w:sz="4" w:space="0" w:color="auto"/>
            </w:tcBorders>
          </w:tcPr>
          <w:p w14:paraId="10A6C21F" w14:textId="5F2E9F7F" w:rsidR="0006796B" w:rsidRPr="00C44927" w:rsidRDefault="00251471" w:rsidP="00EA1CE2">
            <w:pPr>
              <w:jc w:val="center"/>
              <w:rPr>
                <w:color w:val="000000"/>
              </w:rPr>
            </w:pPr>
            <w:r>
              <w:rPr>
                <w:color w:val="000000"/>
              </w:rPr>
              <w:t>Nine</w:t>
            </w:r>
            <w:r w:rsidR="0006796B" w:rsidRPr="00C44927">
              <w:rPr>
                <w:color w:val="000000"/>
              </w:rPr>
              <w:t xml:space="preserve"> Months Ended </w:t>
            </w:r>
            <w:r>
              <w:rPr>
                <w:color w:val="000000"/>
              </w:rPr>
              <w:t>Sep</w:t>
            </w:r>
            <w:r w:rsidR="0006796B" w:rsidRPr="00C44927">
              <w:rPr>
                <w:color w:val="000000"/>
              </w:rPr>
              <w:t xml:space="preserve"> 30,</w:t>
            </w:r>
          </w:p>
        </w:tc>
      </w:tr>
      <w:tr w:rsidR="0006796B" w:rsidRPr="00C44927" w14:paraId="00E3B0CF" w14:textId="77777777" w:rsidTr="00EA1CE2">
        <w:tc>
          <w:tcPr>
            <w:tcW w:w="4108" w:type="dxa"/>
            <w:tcBorders>
              <w:bottom w:val="single" w:sz="4" w:space="0" w:color="auto"/>
            </w:tcBorders>
          </w:tcPr>
          <w:p w14:paraId="757442E0" w14:textId="77777777" w:rsidR="0006796B" w:rsidRPr="00C44927" w:rsidRDefault="0006796B" w:rsidP="00EA1CE2">
            <w:pPr>
              <w:rPr>
                <w:color w:val="000000"/>
              </w:rPr>
            </w:pPr>
            <w:r w:rsidRPr="00C44927">
              <w:rPr>
                <w:color w:val="000000"/>
              </w:rPr>
              <w:t>Expense Allocated to:</w:t>
            </w:r>
          </w:p>
        </w:tc>
        <w:tc>
          <w:tcPr>
            <w:tcW w:w="1511" w:type="dxa"/>
            <w:tcBorders>
              <w:top w:val="single" w:sz="4" w:space="0" w:color="auto"/>
              <w:bottom w:val="single" w:sz="4" w:space="0" w:color="auto"/>
            </w:tcBorders>
          </w:tcPr>
          <w:p w14:paraId="08368789" w14:textId="7034C754" w:rsidR="0006796B" w:rsidRPr="00C44927" w:rsidRDefault="0006796B" w:rsidP="00EA1CE2">
            <w:pPr>
              <w:jc w:val="center"/>
              <w:rPr>
                <w:color w:val="000000"/>
              </w:rPr>
            </w:pPr>
            <w:r>
              <w:rPr>
                <w:color w:val="000000"/>
              </w:rPr>
              <w:t>2019</w:t>
            </w:r>
          </w:p>
        </w:tc>
        <w:tc>
          <w:tcPr>
            <w:tcW w:w="1511" w:type="dxa"/>
            <w:tcBorders>
              <w:top w:val="single" w:sz="4" w:space="0" w:color="auto"/>
              <w:bottom w:val="single" w:sz="4" w:space="0" w:color="auto"/>
            </w:tcBorders>
          </w:tcPr>
          <w:p w14:paraId="2EFA457F" w14:textId="1CE451FE" w:rsidR="0006796B" w:rsidRPr="00C44927" w:rsidRDefault="0006796B" w:rsidP="00EA1CE2">
            <w:pPr>
              <w:jc w:val="center"/>
              <w:rPr>
                <w:color w:val="000000"/>
              </w:rPr>
            </w:pPr>
            <w:r>
              <w:rPr>
                <w:color w:val="000000"/>
              </w:rPr>
              <w:t>2018</w:t>
            </w:r>
          </w:p>
        </w:tc>
        <w:tc>
          <w:tcPr>
            <w:tcW w:w="1511" w:type="dxa"/>
            <w:tcBorders>
              <w:bottom w:val="single" w:sz="4" w:space="0" w:color="auto"/>
            </w:tcBorders>
          </w:tcPr>
          <w:p w14:paraId="5248F1DA" w14:textId="79413A1E" w:rsidR="0006796B" w:rsidRPr="00C44927" w:rsidRDefault="0006796B" w:rsidP="00EA1CE2">
            <w:pPr>
              <w:jc w:val="center"/>
              <w:rPr>
                <w:color w:val="000000"/>
              </w:rPr>
            </w:pPr>
            <w:r>
              <w:rPr>
                <w:color w:val="000000"/>
              </w:rPr>
              <w:t>2019</w:t>
            </w:r>
          </w:p>
        </w:tc>
        <w:tc>
          <w:tcPr>
            <w:tcW w:w="1511" w:type="dxa"/>
            <w:tcBorders>
              <w:bottom w:val="single" w:sz="4" w:space="0" w:color="auto"/>
            </w:tcBorders>
          </w:tcPr>
          <w:p w14:paraId="5373146E" w14:textId="75722913" w:rsidR="0006796B" w:rsidRPr="00C44927" w:rsidRDefault="0006796B" w:rsidP="00EA1CE2">
            <w:pPr>
              <w:jc w:val="center"/>
              <w:rPr>
                <w:color w:val="000000"/>
              </w:rPr>
            </w:pPr>
            <w:r>
              <w:rPr>
                <w:color w:val="000000"/>
              </w:rPr>
              <w:t>2018</w:t>
            </w:r>
          </w:p>
        </w:tc>
      </w:tr>
      <w:tr w:rsidR="0006796B" w:rsidRPr="00C44927" w14:paraId="0505DB95" w14:textId="77777777" w:rsidTr="00EA1CE2">
        <w:tc>
          <w:tcPr>
            <w:tcW w:w="4108" w:type="dxa"/>
            <w:tcBorders>
              <w:top w:val="single" w:sz="4" w:space="0" w:color="auto"/>
            </w:tcBorders>
          </w:tcPr>
          <w:p w14:paraId="3A029771" w14:textId="77777777" w:rsidR="0006796B" w:rsidRPr="00C44927" w:rsidRDefault="0006796B" w:rsidP="00EA1CE2">
            <w:pPr>
              <w:rPr>
                <w:color w:val="000000"/>
              </w:rPr>
            </w:pPr>
            <w:r>
              <w:rPr>
                <w:color w:val="000000"/>
              </w:rPr>
              <w:t>General and administrative e</w:t>
            </w:r>
            <w:r w:rsidRPr="00C44927">
              <w:rPr>
                <w:color w:val="000000"/>
              </w:rPr>
              <w:t>xpense</w:t>
            </w:r>
          </w:p>
        </w:tc>
        <w:tc>
          <w:tcPr>
            <w:tcW w:w="1511" w:type="dxa"/>
            <w:tcBorders>
              <w:top w:val="single" w:sz="4" w:space="0" w:color="auto"/>
            </w:tcBorders>
          </w:tcPr>
          <w:p w14:paraId="1078A445" w14:textId="0EC8FA65" w:rsidR="0006796B" w:rsidRPr="00C44927" w:rsidRDefault="0006796B" w:rsidP="00EA1CE2">
            <w:pPr>
              <w:tabs>
                <w:tab w:val="decimal" w:pos="1092"/>
              </w:tabs>
              <w:rPr>
                <w:color w:val="000000"/>
              </w:rPr>
            </w:pPr>
            <w:r>
              <w:rPr>
                <w:color w:val="000000"/>
              </w:rPr>
              <w:t xml:space="preserve">$   </w:t>
            </w:r>
            <w:r w:rsidR="00251471">
              <w:rPr>
                <w:color w:val="000000"/>
              </w:rPr>
              <w:t>21,342</w:t>
            </w:r>
          </w:p>
        </w:tc>
        <w:tc>
          <w:tcPr>
            <w:tcW w:w="1511" w:type="dxa"/>
            <w:tcBorders>
              <w:top w:val="single" w:sz="4" w:space="0" w:color="auto"/>
            </w:tcBorders>
          </w:tcPr>
          <w:p w14:paraId="7F429E50" w14:textId="08A2BFFF" w:rsidR="0006796B" w:rsidRPr="00C44927" w:rsidRDefault="0006796B" w:rsidP="00EA1CE2">
            <w:pPr>
              <w:tabs>
                <w:tab w:val="decimal" w:pos="1081"/>
              </w:tabs>
              <w:rPr>
                <w:color w:val="000000"/>
              </w:rPr>
            </w:pPr>
            <w:r>
              <w:rPr>
                <w:color w:val="000000"/>
              </w:rPr>
              <w:t xml:space="preserve">$  </w:t>
            </w:r>
            <w:r w:rsidR="00251471">
              <w:rPr>
                <w:color w:val="000000"/>
              </w:rPr>
              <w:t>131,754</w:t>
            </w:r>
          </w:p>
        </w:tc>
        <w:tc>
          <w:tcPr>
            <w:tcW w:w="1511" w:type="dxa"/>
            <w:tcBorders>
              <w:top w:val="single" w:sz="4" w:space="0" w:color="auto"/>
            </w:tcBorders>
          </w:tcPr>
          <w:p w14:paraId="39C06C8E" w14:textId="332B92E3" w:rsidR="0006796B" w:rsidRPr="00C44927" w:rsidRDefault="0006796B" w:rsidP="00EA1CE2">
            <w:pPr>
              <w:tabs>
                <w:tab w:val="decimal" w:pos="1070"/>
              </w:tabs>
              <w:rPr>
                <w:color w:val="000000"/>
              </w:rPr>
            </w:pPr>
            <w:r>
              <w:rPr>
                <w:color w:val="000000"/>
              </w:rPr>
              <w:t xml:space="preserve">$ </w:t>
            </w:r>
            <w:r w:rsidR="00251471">
              <w:rPr>
                <w:color w:val="000000"/>
              </w:rPr>
              <w:t>257,097</w:t>
            </w:r>
          </w:p>
        </w:tc>
        <w:tc>
          <w:tcPr>
            <w:tcW w:w="1511" w:type="dxa"/>
            <w:tcBorders>
              <w:top w:val="single" w:sz="4" w:space="0" w:color="auto"/>
            </w:tcBorders>
          </w:tcPr>
          <w:p w14:paraId="2611696A" w14:textId="30B7DD42" w:rsidR="0006796B" w:rsidRPr="00C44927" w:rsidRDefault="0006796B" w:rsidP="00EA1CE2">
            <w:pPr>
              <w:tabs>
                <w:tab w:val="decimal" w:pos="1059"/>
              </w:tabs>
              <w:rPr>
                <w:color w:val="000000"/>
              </w:rPr>
            </w:pPr>
            <w:r>
              <w:rPr>
                <w:color w:val="000000"/>
              </w:rPr>
              <w:t xml:space="preserve">$ </w:t>
            </w:r>
            <w:r w:rsidR="00251471">
              <w:rPr>
                <w:color w:val="000000"/>
              </w:rPr>
              <w:t>243,204</w:t>
            </w:r>
          </w:p>
        </w:tc>
      </w:tr>
      <w:tr w:rsidR="0006796B" w:rsidRPr="00C44927" w14:paraId="6A834DC8" w14:textId="77777777" w:rsidTr="00EA1CE2">
        <w:tc>
          <w:tcPr>
            <w:tcW w:w="4108" w:type="dxa"/>
          </w:tcPr>
          <w:p w14:paraId="4CC58EF6" w14:textId="77777777" w:rsidR="0006796B" w:rsidRPr="00C44927" w:rsidRDefault="0006796B" w:rsidP="00EA1CE2">
            <w:pPr>
              <w:rPr>
                <w:color w:val="000000"/>
              </w:rPr>
            </w:pPr>
            <w:r>
              <w:rPr>
                <w:color w:val="000000"/>
              </w:rPr>
              <w:t>Research and development e</w:t>
            </w:r>
            <w:r w:rsidRPr="00C44927">
              <w:rPr>
                <w:color w:val="000000"/>
              </w:rPr>
              <w:t>xpense</w:t>
            </w:r>
          </w:p>
        </w:tc>
        <w:tc>
          <w:tcPr>
            <w:tcW w:w="1511" w:type="dxa"/>
            <w:tcBorders>
              <w:bottom w:val="single" w:sz="4" w:space="0" w:color="auto"/>
            </w:tcBorders>
          </w:tcPr>
          <w:p w14:paraId="520A572C" w14:textId="25DF1642" w:rsidR="0006796B" w:rsidRPr="00C44927" w:rsidRDefault="00251471" w:rsidP="00EA1CE2">
            <w:pPr>
              <w:tabs>
                <w:tab w:val="decimal" w:pos="1092"/>
              </w:tabs>
              <w:rPr>
                <w:color w:val="000000"/>
              </w:rPr>
            </w:pPr>
            <w:r>
              <w:rPr>
                <w:color w:val="000000"/>
              </w:rPr>
              <w:t>11,006</w:t>
            </w:r>
          </w:p>
        </w:tc>
        <w:tc>
          <w:tcPr>
            <w:tcW w:w="1511" w:type="dxa"/>
            <w:tcBorders>
              <w:bottom w:val="single" w:sz="4" w:space="0" w:color="auto"/>
            </w:tcBorders>
          </w:tcPr>
          <w:p w14:paraId="71BF0AB9" w14:textId="73703875" w:rsidR="0006796B" w:rsidRPr="00C44927" w:rsidRDefault="00251471" w:rsidP="00EA1CE2">
            <w:pPr>
              <w:tabs>
                <w:tab w:val="decimal" w:pos="1081"/>
              </w:tabs>
              <w:rPr>
                <w:color w:val="000000"/>
              </w:rPr>
            </w:pPr>
            <w:r>
              <w:rPr>
                <w:color w:val="000000"/>
              </w:rPr>
              <w:t>10,759</w:t>
            </w:r>
          </w:p>
        </w:tc>
        <w:tc>
          <w:tcPr>
            <w:tcW w:w="1511" w:type="dxa"/>
            <w:tcBorders>
              <w:bottom w:val="single" w:sz="4" w:space="0" w:color="auto"/>
            </w:tcBorders>
          </w:tcPr>
          <w:p w14:paraId="490B4FF2" w14:textId="6428C7F9" w:rsidR="0006796B" w:rsidRPr="00C44927" w:rsidRDefault="00251471" w:rsidP="00EA1CE2">
            <w:pPr>
              <w:tabs>
                <w:tab w:val="decimal" w:pos="1070"/>
              </w:tabs>
              <w:rPr>
                <w:color w:val="000000"/>
              </w:rPr>
            </w:pPr>
            <w:r>
              <w:rPr>
                <w:color w:val="000000"/>
              </w:rPr>
              <w:t>33,647</w:t>
            </w:r>
          </w:p>
        </w:tc>
        <w:tc>
          <w:tcPr>
            <w:tcW w:w="1511" w:type="dxa"/>
            <w:tcBorders>
              <w:bottom w:val="single" w:sz="4" w:space="0" w:color="auto"/>
            </w:tcBorders>
          </w:tcPr>
          <w:p w14:paraId="5206D0C1" w14:textId="5FE1F4CD" w:rsidR="0006796B" w:rsidRPr="00C44927" w:rsidRDefault="00251471" w:rsidP="00EA1CE2">
            <w:pPr>
              <w:tabs>
                <w:tab w:val="decimal" w:pos="1059"/>
              </w:tabs>
              <w:rPr>
                <w:color w:val="000000"/>
              </w:rPr>
            </w:pPr>
            <w:r>
              <w:rPr>
                <w:color w:val="000000"/>
              </w:rPr>
              <w:t>32,221</w:t>
            </w:r>
          </w:p>
        </w:tc>
      </w:tr>
      <w:tr w:rsidR="0006796B" w:rsidRPr="00C44927" w14:paraId="786ADC3C" w14:textId="77777777" w:rsidTr="00EA1CE2">
        <w:tc>
          <w:tcPr>
            <w:tcW w:w="4108" w:type="dxa"/>
          </w:tcPr>
          <w:p w14:paraId="4A4BF169" w14:textId="77777777" w:rsidR="0006796B" w:rsidRPr="00C44927" w:rsidRDefault="0006796B" w:rsidP="00EA1CE2">
            <w:pPr>
              <w:rPr>
                <w:color w:val="000000"/>
              </w:rPr>
            </w:pPr>
            <w:r>
              <w:rPr>
                <w:color w:val="000000"/>
              </w:rPr>
              <w:t>Total stock-based compensation e</w:t>
            </w:r>
            <w:r w:rsidRPr="00C44927">
              <w:rPr>
                <w:color w:val="000000"/>
              </w:rPr>
              <w:t>xpense</w:t>
            </w:r>
          </w:p>
        </w:tc>
        <w:tc>
          <w:tcPr>
            <w:tcW w:w="1511" w:type="dxa"/>
            <w:tcBorders>
              <w:top w:val="single" w:sz="4" w:space="0" w:color="auto"/>
              <w:bottom w:val="double" w:sz="4" w:space="0" w:color="auto"/>
            </w:tcBorders>
          </w:tcPr>
          <w:p w14:paraId="5E79175E" w14:textId="6AAECFE1" w:rsidR="0006796B" w:rsidRPr="00C44927" w:rsidRDefault="0006796B" w:rsidP="00EA1CE2">
            <w:pPr>
              <w:tabs>
                <w:tab w:val="decimal" w:pos="1092"/>
              </w:tabs>
              <w:rPr>
                <w:color w:val="000000"/>
              </w:rPr>
            </w:pPr>
            <w:r w:rsidRPr="00C44927">
              <w:rPr>
                <w:color w:val="000000"/>
              </w:rPr>
              <w:t xml:space="preserve">$ </w:t>
            </w:r>
            <w:r>
              <w:rPr>
                <w:color w:val="000000"/>
              </w:rPr>
              <w:t xml:space="preserve"> </w:t>
            </w:r>
            <w:r w:rsidR="00251471">
              <w:rPr>
                <w:color w:val="000000"/>
              </w:rPr>
              <w:t>32,348</w:t>
            </w:r>
          </w:p>
        </w:tc>
        <w:tc>
          <w:tcPr>
            <w:tcW w:w="1511" w:type="dxa"/>
            <w:tcBorders>
              <w:top w:val="single" w:sz="4" w:space="0" w:color="auto"/>
              <w:bottom w:val="double" w:sz="4" w:space="0" w:color="auto"/>
            </w:tcBorders>
          </w:tcPr>
          <w:p w14:paraId="66826343" w14:textId="070C9452" w:rsidR="0006796B" w:rsidRPr="00C44927" w:rsidRDefault="0006796B" w:rsidP="00EA1CE2">
            <w:pPr>
              <w:tabs>
                <w:tab w:val="decimal" w:pos="1081"/>
              </w:tabs>
              <w:rPr>
                <w:color w:val="000000"/>
              </w:rPr>
            </w:pPr>
            <w:r>
              <w:rPr>
                <w:color w:val="000000"/>
              </w:rPr>
              <w:t xml:space="preserve">$  </w:t>
            </w:r>
            <w:r w:rsidR="00251471">
              <w:rPr>
                <w:color w:val="000000"/>
              </w:rPr>
              <w:t>142,513</w:t>
            </w:r>
          </w:p>
        </w:tc>
        <w:tc>
          <w:tcPr>
            <w:tcW w:w="1511" w:type="dxa"/>
            <w:tcBorders>
              <w:top w:val="single" w:sz="4" w:space="0" w:color="auto"/>
              <w:bottom w:val="double" w:sz="4" w:space="0" w:color="auto"/>
            </w:tcBorders>
          </w:tcPr>
          <w:p w14:paraId="3326F3AE" w14:textId="260CC962" w:rsidR="0006796B" w:rsidRPr="00C44927" w:rsidRDefault="0006796B" w:rsidP="00EA1CE2">
            <w:pPr>
              <w:tabs>
                <w:tab w:val="decimal" w:pos="1070"/>
              </w:tabs>
              <w:rPr>
                <w:color w:val="000000"/>
              </w:rPr>
            </w:pPr>
            <w:r>
              <w:rPr>
                <w:color w:val="000000"/>
              </w:rPr>
              <w:t xml:space="preserve">$ </w:t>
            </w:r>
            <w:r w:rsidR="00251471">
              <w:rPr>
                <w:color w:val="000000"/>
              </w:rPr>
              <w:t>290,744</w:t>
            </w:r>
          </w:p>
        </w:tc>
        <w:tc>
          <w:tcPr>
            <w:tcW w:w="1511" w:type="dxa"/>
            <w:tcBorders>
              <w:top w:val="single" w:sz="4" w:space="0" w:color="auto"/>
              <w:bottom w:val="double" w:sz="4" w:space="0" w:color="auto"/>
            </w:tcBorders>
          </w:tcPr>
          <w:p w14:paraId="785F3B17" w14:textId="45796219" w:rsidR="0006796B" w:rsidRPr="00C44927" w:rsidRDefault="0006796B" w:rsidP="00EA1CE2">
            <w:pPr>
              <w:tabs>
                <w:tab w:val="decimal" w:pos="1059"/>
              </w:tabs>
              <w:rPr>
                <w:color w:val="000000"/>
              </w:rPr>
            </w:pPr>
            <w:r>
              <w:rPr>
                <w:color w:val="000000"/>
              </w:rPr>
              <w:t xml:space="preserve">$ </w:t>
            </w:r>
            <w:r w:rsidR="00251471">
              <w:rPr>
                <w:color w:val="000000"/>
              </w:rPr>
              <w:t>275,425</w:t>
            </w:r>
          </w:p>
        </w:tc>
      </w:tr>
    </w:tbl>
    <w:p w14:paraId="071A5F0C" w14:textId="19BCF726" w:rsidR="0006796B" w:rsidRDefault="0006796B" w:rsidP="000A55AE">
      <w:pPr>
        <w:pStyle w:val="BodyText"/>
        <w:spacing w:after="0"/>
        <w:rPr>
          <w:rStyle w:val="BodySubtitleChar"/>
        </w:rPr>
      </w:pPr>
    </w:p>
    <w:p w14:paraId="767F4ED0" w14:textId="0AD56846" w:rsidR="00C323DF" w:rsidRPr="004A3014" w:rsidRDefault="00FB1EB5" w:rsidP="000A55AE">
      <w:pPr>
        <w:pStyle w:val="BodyText"/>
        <w:spacing w:after="0"/>
      </w:pPr>
      <w:r w:rsidRPr="00904E61">
        <w:rPr>
          <w:rStyle w:val="BodySubtitleChar"/>
        </w:rPr>
        <w:t>Other Incom</w:t>
      </w:r>
      <w:r w:rsidR="00C323DF" w:rsidRPr="00904E61">
        <w:rPr>
          <w:rStyle w:val="BodySubtitleChar"/>
        </w:rPr>
        <w:t>e</w:t>
      </w:r>
      <w:r w:rsidR="00904E61" w:rsidRPr="00904E61">
        <w:rPr>
          <w:rStyle w:val="BodySubtitleChar"/>
        </w:rPr>
        <w:t xml:space="preserve"> (Expense)</w:t>
      </w:r>
    </w:p>
    <w:p w14:paraId="4C005F69" w14:textId="455924AC" w:rsidR="0085392C" w:rsidRDefault="0085392C" w:rsidP="000A55AE">
      <w:pPr>
        <w:pStyle w:val="BodyText"/>
        <w:spacing w:after="0"/>
      </w:pPr>
      <w:bookmarkStart w:id="32" w:name="_Toc197922411"/>
    </w:p>
    <w:p w14:paraId="216450F4" w14:textId="1B82CEDC" w:rsidR="0085392C" w:rsidRDefault="0085392C" w:rsidP="00CA6A84">
      <w:pPr>
        <w:pStyle w:val="BodyText"/>
        <w:spacing w:after="0"/>
      </w:pPr>
      <w:r>
        <w:t>Interest income for the three-</w:t>
      </w:r>
      <w:r w:rsidRPr="00184417">
        <w:t>mont</w:t>
      </w:r>
      <w:r>
        <w:t>h</w:t>
      </w:r>
      <w:r w:rsidRPr="00184417">
        <w:t xml:space="preserve"> </w:t>
      </w:r>
      <w:r>
        <w:t xml:space="preserve">and </w:t>
      </w:r>
      <w:r w:rsidR="00251471">
        <w:t>nine</w:t>
      </w:r>
      <w:r>
        <w:t xml:space="preserve">-month periods </w:t>
      </w:r>
      <w:r w:rsidRPr="00184417">
        <w:t xml:space="preserve">ended </w:t>
      </w:r>
      <w:r w:rsidR="00251471">
        <w:t>September</w:t>
      </w:r>
      <w:r>
        <w:t xml:space="preserve"> 30, 2019</w:t>
      </w:r>
      <w:r w:rsidRPr="00184417">
        <w:t xml:space="preserve"> was $</w:t>
      </w:r>
      <w:r w:rsidR="00251471">
        <w:t>2,560</w:t>
      </w:r>
      <w:r>
        <w:t xml:space="preserve"> and $</w:t>
      </w:r>
      <w:r w:rsidR="00251471">
        <w:t>4,665</w:t>
      </w:r>
      <w:r>
        <w:t xml:space="preserve">, respectively, </w:t>
      </w:r>
      <w:r w:rsidRPr="00184417">
        <w:t xml:space="preserve">as </w:t>
      </w:r>
      <w:r w:rsidRPr="00D311E6">
        <w:t xml:space="preserve">compared to </w:t>
      </w:r>
      <w:r>
        <w:t>$</w:t>
      </w:r>
      <w:r w:rsidR="00251471">
        <w:t>1,058</w:t>
      </w:r>
      <w:r>
        <w:t xml:space="preserve"> and $</w:t>
      </w:r>
      <w:r w:rsidR="00251471">
        <w:t>4,092</w:t>
      </w:r>
      <w:r>
        <w:t>, respectively,</w:t>
      </w:r>
      <w:r w:rsidRPr="00D311E6">
        <w:t xml:space="preserve"> for </w:t>
      </w:r>
      <w:r>
        <w:t xml:space="preserve">comparable periods of 2018. </w:t>
      </w:r>
      <w:r w:rsidRPr="001C6303">
        <w:t>The variances between periods are</w:t>
      </w:r>
      <w:r>
        <w:t xml:space="preserve"> primarily</w:t>
      </w:r>
      <w:r w:rsidRPr="001C6303">
        <w:t xml:space="preserve"> attributable to </w:t>
      </w:r>
      <w:r>
        <w:t>cash available for investment and interest rate fluctuations.</w:t>
      </w:r>
      <w:r w:rsidRPr="008D6E78">
        <w:t xml:space="preserve"> </w:t>
      </w:r>
      <w:r>
        <w:t>Interest expense for the three-</w:t>
      </w:r>
      <w:r w:rsidRPr="00184417">
        <w:t>mont</w:t>
      </w:r>
      <w:r>
        <w:t>h</w:t>
      </w:r>
      <w:r w:rsidRPr="00184417">
        <w:t xml:space="preserve"> </w:t>
      </w:r>
      <w:r>
        <w:t xml:space="preserve">and </w:t>
      </w:r>
      <w:r w:rsidR="00251471">
        <w:t>nine</w:t>
      </w:r>
      <w:r>
        <w:t xml:space="preserve">-month periods </w:t>
      </w:r>
      <w:r w:rsidRPr="00184417">
        <w:t xml:space="preserve">ended </w:t>
      </w:r>
      <w:r w:rsidR="00251471">
        <w:t>September</w:t>
      </w:r>
      <w:r>
        <w:t xml:space="preserve"> 30, 201</w:t>
      </w:r>
      <w:r w:rsidR="00CA6A84">
        <w:t>9</w:t>
      </w:r>
      <w:r w:rsidRPr="00184417">
        <w:t xml:space="preserve"> was $</w:t>
      </w:r>
      <w:r w:rsidR="00251471">
        <w:t>1,054</w:t>
      </w:r>
      <w:r>
        <w:t xml:space="preserve"> and $</w:t>
      </w:r>
      <w:r w:rsidR="00251471">
        <w:t>3,275</w:t>
      </w:r>
      <w:r>
        <w:t xml:space="preserve">, respectively, </w:t>
      </w:r>
      <w:r w:rsidR="00CA6A84" w:rsidRPr="00184417">
        <w:t xml:space="preserve">as </w:t>
      </w:r>
      <w:r w:rsidR="00CA6A84" w:rsidRPr="00D311E6">
        <w:t xml:space="preserve">compared to </w:t>
      </w:r>
      <w:r w:rsidR="00CA6A84">
        <w:t>$</w:t>
      </w:r>
      <w:r w:rsidR="00251471">
        <w:t>625</w:t>
      </w:r>
      <w:r w:rsidR="00CA6A84">
        <w:t xml:space="preserve"> and $</w:t>
      </w:r>
      <w:r w:rsidR="00251471">
        <w:t>1,458</w:t>
      </w:r>
      <w:r w:rsidR="00CA6A84">
        <w:t>, respectively,</w:t>
      </w:r>
      <w:r w:rsidR="00CA6A84" w:rsidRPr="00D311E6">
        <w:t xml:space="preserve"> for </w:t>
      </w:r>
      <w:r w:rsidR="00CA6A84">
        <w:t>comparable periods of 2018</w:t>
      </w:r>
      <w:r>
        <w:t>.</w:t>
      </w:r>
      <w:r w:rsidR="00CA6A84">
        <w:t xml:space="preserve"> Interest expense relates to the GRA Note and financing costs associated with insurance premiums.</w:t>
      </w:r>
    </w:p>
    <w:p w14:paraId="14C9EBB6" w14:textId="77777777" w:rsidR="0085392C" w:rsidRDefault="0085392C" w:rsidP="000A55AE">
      <w:pPr>
        <w:pStyle w:val="BodyText"/>
        <w:spacing w:after="0"/>
      </w:pPr>
    </w:p>
    <w:p w14:paraId="6E128900" w14:textId="77777777" w:rsidR="000A55AE" w:rsidRDefault="000A55AE" w:rsidP="000A55AE">
      <w:pPr>
        <w:pStyle w:val="Heading2"/>
        <w:numPr>
          <w:ilvl w:val="0"/>
          <w:numId w:val="0"/>
        </w:numPr>
        <w:tabs>
          <w:tab w:val="left" w:pos="1080"/>
        </w:tabs>
        <w:spacing w:after="0"/>
        <w:rPr>
          <w:u w:val="none"/>
        </w:rPr>
      </w:pPr>
    </w:p>
    <w:p w14:paraId="4067366E" w14:textId="06CC7E36" w:rsidR="00182CF3" w:rsidRPr="001C6303" w:rsidRDefault="0054260E" w:rsidP="000A55AE">
      <w:pPr>
        <w:pStyle w:val="Heading2"/>
        <w:numPr>
          <w:ilvl w:val="0"/>
          <w:numId w:val="0"/>
        </w:numPr>
        <w:tabs>
          <w:tab w:val="left" w:pos="1080"/>
        </w:tabs>
        <w:spacing w:after="0"/>
      </w:pPr>
      <w:r w:rsidRPr="001C6303">
        <w:rPr>
          <w:u w:val="none"/>
        </w:rPr>
        <w:t>Item 3</w:t>
      </w:r>
      <w:r w:rsidRPr="001C6303">
        <w:rPr>
          <w:u w:val="none"/>
        </w:rPr>
        <w:tab/>
      </w:r>
      <w:r w:rsidR="0035003D" w:rsidRPr="001C6303">
        <w:t>Quantitative and Qualitative Disclosures About Market Risk</w:t>
      </w:r>
      <w:bookmarkEnd w:id="32"/>
    </w:p>
    <w:p w14:paraId="2ABA84AD" w14:textId="77777777" w:rsidR="000A55AE" w:rsidRDefault="000A55AE" w:rsidP="000A55AE">
      <w:pPr>
        <w:pStyle w:val="BodyText"/>
        <w:spacing w:after="0"/>
        <w:rPr>
          <w:rFonts w:eastAsia="????"/>
        </w:rPr>
      </w:pPr>
    </w:p>
    <w:p w14:paraId="52A0009D" w14:textId="18DE4EBC" w:rsidR="0035003D" w:rsidRDefault="00535ED7" w:rsidP="000A55AE">
      <w:pPr>
        <w:pStyle w:val="BodyText"/>
        <w:spacing w:after="0"/>
        <w:rPr>
          <w:rFonts w:eastAsia="????"/>
        </w:rPr>
      </w:pPr>
      <w:r>
        <w:rPr>
          <w:rFonts w:eastAsia="????"/>
        </w:rPr>
        <w:t>Not applicable.</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33" w:name="_Toc197922412"/>
      <w:r w:rsidRPr="001C6303">
        <w:rPr>
          <w:u w:val="none"/>
        </w:rPr>
        <w:t>Item 4</w:t>
      </w:r>
      <w:r w:rsidRPr="001C6303">
        <w:rPr>
          <w:u w:val="none"/>
        </w:rPr>
        <w:tab/>
      </w:r>
      <w:r w:rsidR="00BD6BBE" w:rsidRPr="001C6303">
        <w:t>Controls and Procedures</w:t>
      </w:r>
      <w:bookmarkEnd w:id="33"/>
    </w:p>
    <w:p w14:paraId="5A74D2A9" w14:textId="77777777"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E463B6D" w:rsidR="00A920D8" w:rsidRPr="001C6303" w:rsidRDefault="00A920D8" w:rsidP="000A55AE">
      <w:pPr>
        <w:pStyle w:val="BodyText"/>
        <w:spacing w:after="0"/>
      </w:pPr>
      <w:r w:rsidRPr="001C6303">
        <w:lastRenderedPageBreak/>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and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1A08A156" w14:textId="77777777" w:rsidR="000A55AE" w:rsidRDefault="000A55AE" w:rsidP="000A55AE">
      <w:pPr>
        <w:pStyle w:val="BodySubtitle"/>
      </w:pPr>
    </w:p>
    <w:p w14:paraId="711FE6CA" w14:textId="0C75C259" w:rsidR="00757775" w:rsidRPr="001C6303" w:rsidRDefault="00A920D8" w:rsidP="000A55AE">
      <w:pPr>
        <w:pStyle w:val="BodySubtitle"/>
      </w:pPr>
      <w:r w:rsidRPr="001C6303">
        <w:t>Changes in internal control over financial reporting</w:t>
      </w:r>
    </w:p>
    <w:p w14:paraId="2E8C2952" w14:textId="77777777" w:rsidR="000A55AE" w:rsidRDefault="000A55AE" w:rsidP="000A55AE">
      <w:pPr>
        <w:pStyle w:val="BodyText"/>
        <w:spacing w:after="0"/>
      </w:pPr>
    </w:p>
    <w:p w14:paraId="23F3D99E" w14:textId="34B69A2C" w:rsidR="00EB48EF" w:rsidRDefault="00143716" w:rsidP="000A55AE">
      <w:pPr>
        <w:pStyle w:val="BodyText"/>
        <w:spacing w:after="0"/>
      </w:pPr>
      <w:r w:rsidRPr="001C6303">
        <w:t xml:space="preserve">There was no change in our internal control over financial reporting that occurred during the </w:t>
      </w:r>
      <w:r w:rsidR="00A920D8" w:rsidRPr="001C6303">
        <w:t xml:space="preserve">three months ended </w:t>
      </w:r>
      <w:r w:rsidR="00251471">
        <w:t>September</w:t>
      </w:r>
      <w:r w:rsidR="00644AFF">
        <w:t> </w:t>
      </w:r>
      <w:r w:rsidR="006B43ED">
        <w:t>3</w:t>
      </w:r>
      <w:r w:rsidR="00CA6A84">
        <w:t>0</w:t>
      </w:r>
      <w:r w:rsidR="006B43ED">
        <w:t>, 201</w:t>
      </w:r>
      <w:r w:rsidR="00AC47F0">
        <w:t>9</w:t>
      </w:r>
      <w:r w:rsidR="000D595F">
        <w:t xml:space="preserve"> </w:t>
      </w:r>
      <w:r w:rsidRPr="001C6303">
        <w:t>that has materially affected, or is reasonably likely to materially affect, our internal c</w:t>
      </w:r>
      <w:bookmarkStart w:id="34" w:name="_Toc197922413"/>
      <w:r w:rsidR="002D75EF">
        <w:t>ontrol over financial reporting.</w:t>
      </w:r>
    </w:p>
    <w:p w14:paraId="65D403B1" w14:textId="39F8DFEE" w:rsidR="00F63074" w:rsidRDefault="00F63074" w:rsidP="000A55AE">
      <w:pPr>
        <w:pStyle w:val="Heading1"/>
        <w:numPr>
          <w:ilvl w:val="0"/>
          <w:numId w:val="0"/>
        </w:numPr>
        <w:jc w:val="left"/>
      </w:pPr>
    </w:p>
    <w:p w14:paraId="1BB38AF9" w14:textId="782556E3" w:rsidR="006F2532" w:rsidRPr="00374DEE" w:rsidRDefault="006F2532" w:rsidP="006F2532">
      <w:pPr>
        <w:rPr>
          <w:i/>
        </w:rPr>
      </w:pPr>
      <w:r w:rsidRPr="00374DEE">
        <w:rPr>
          <w:i/>
        </w:rPr>
        <w:t>Limitations on Controls</w:t>
      </w:r>
    </w:p>
    <w:p w14:paraId="4B834CB5" w14:textId="07229A8B" w:rsidR="006F2532" w:rsidRDefault="006F2532" w:rsidP="006F2532"/>
    <w:p w14:paraId="1F197BC5" w14:textId="77777777" w:rsidR="00374DEE" w:rsidRPr="00024863" w:rsidRDefault="00374DEE" w:rsidP="00374DEE">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063EF8A5" w14:textId="77777777" w:rsidR="006F2532" w:rsidRPr="00374DEE" w:rsidRDefault="006F2532" w:rsidP="00DB3B22"/>
    <w:p w14:paraId="4AEAAD1D" w14:textId="77777777" w:rsidR="00D9086D" w:rsidRPr="00D9086D" w:rsidRDefault="00D9086D" w:rsidP="000A55AE"/>
    <w:p w14:paraId="5CF04708" w14:textId="255FB95A" w:rsidR="00BD6BBE" w:rsidRDefault="004E3374" w:rsidP="000A55AE">
      <w:pPr>
        <w:pStyle w:val="Heading1"/>
        <w:numPr>
          <w:ilvl w:val="0"/>
          <w:numId w:val="0"/>
        </w:numPr>
      </w:pPr>
      <w:r>
        <w:t>PART</w:t>
      </w:r>
      <w:r w:rsidR="002D50D9">
        <w:t xml:space="preserve"> II -- </w:t>
      </w:r>
      <w:r w:rsidR="00BD6BBE" w:rsidRPr="001C6303">
        <w:t>OTHER INFORMATION</w:t>
      </w:r>
      <w:bookmarkEnd w:id="34"/>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35" w:name="_Toc197922414"/>
      <w:r w:rsidRPr="001C6303">
        <w:t>Legal Proceedings</w:t>
      </w:r>
      <w:bookmarkEnd w:id="35"/>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36" w:name="_Toc197922415"/>
      <w:r w:rsidRPr="001C6303">
        <w:t>Risk Factors</w:t>
      </w:r>
      <w:bookmarkEnd w:id="36"/>
    </w:p>
    <w:p w14:paraId="2421EF43" w14:textId="77777777" w:rsidR="000A55AE" w:rsidRDefault="000A55AE" w:rsidP="000A55AE">
      <w:pPr>
        <w:pStyle w:val="BodyText"/>
        <w:spacing w:after="0"/>
      </w:pPr>
    </w:p>
    <w:p w14:paraId="11082EF5" w14:textId="770083E2" w:rsidR="00906109" w:rsidRDefault="004A4EEC" w:rsidP="000A55AE">
      <w:pPr>
        <w:pStyle w:val="BodyText"/>
        <w:spacing w:after="0"/>
      </w:pPr>
      <w:r>
        <w:t xml:space="preserve">As a </w:t>
      </w:r>
      <w:r w:rsidR="00916665">
        <w:t>smaller reporting company (as defined in Rule 12b-2 of the Exchange Act), we are not required to provide the information called for by this Item 1A.</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37" w:name="_Toc197922416"/>
      <w:r w:rsidRPr="001C6303">
        <w:t>Unregistered Sale</w:t>
      </w:r>
      <w:r w:rsidR="00A63414" w:rsidRPr="001C6303">
        <w:t>s</w:t>
      </w:r>
      <w:r w:rsidRPr="001C6303">
        <w:t xml:space="preserve"> of Equity Securities and Use of Proceeds</w:t>
      </w:r>
      <w:bookmarkEnd w:id="37"/>
    </w:p>
    <w:p w14:paraId="12D60E19" w14:textId="77777777" w:rsidR="000A55AE" w:rsidRDefault="000A55AE" w:rsidP="000A55AE">
      <w:pPr>
        <w:pStyle w:val="BodyText"/>
        <w:spacing w:after="0"/>
      </w:pPr>
      <w:bookmarkStart w:id="38" w:name="_Toc197922417"/>
    </w:p>
    <w:p w14:paraId="0F4A682D" w14:textId="44E4A68B" w:rsidR="0091095B" w:rsidRDefault="007B503B" w:rsidP="000A55AE">
      <w:pPr>
        <w:pStyle w:val="BodyText"/>
        <w:spacing w:after="0"/>
      </w:pPr>
      <w:r w:rsidRPr="00E8377F">
        <w:t>None</w:t>
      </w:r>
      <w:r w:rsidR="00106E6F" w:rsidRPr="00E8377F">
        <w:t xml:space="preserve"> not previously disclosed on Form 8-K.</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38"/>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72069955" w:rsidR="00F44C3F" w:rsidRDefault="000D4A4B" w:rsidP="000A55AE">
      <w:r>
        <w:t>Not applicable</w:t>
      </w:r>
    </w:p>
    <w:p w14:paraId="1027084F" w14:textId="77777777" w:rsidR="000A55AE" w:rsidRDefault="000A55AE" w:rsidP="000A55AE"/>
    <w:p w14:paraId="189BAF65" w14:textId="77777777" w:rsidR="00025C72" w:rsidRPr="001C6303" w:rsidRDefault="00C07C60" w:rsidP="000A55AE">
      <w:pPr>
        <w:pStyle w:val="Heading2"/>
        <w:spacing w:after="0"/>
      </w:pPr>
      <w:bookmarkStart w:id="39" w:name="_Toc197922419"/>
      <w:r>
        <w:t>Other Information</w:t>
      </w:r>
      <w:r w:rsidR="00025C72" w:rsidRPr="001C6303">
        <w:t xml:space="preserve"> </w:t>
      </w:r>
    </w:p>
    <w:p w14:paraId="72A27140" w14:textId="77777777" w:rsidR="000A55AE" w:rsidRDefault="000A55AE" w:rsidP="000A55AE"/>
    <w:bookmarkEnd w:id="39"/>
    <w:p w14:paraId="27A46366" w14:textId="282E3BF6" w:rsidR="00A17B7E" w:rsidRDefault="004A4EEC" w:rsidP="000A55AE">
      <w:r>
        <w:t>None.</w:t>
      </w:r>
    </w:p>
    <w:p w14:paraId="0D468E33" w14:textId="77777777" w:rsidR="000A55AE" w:rsidRDefault="000A55AE" w:rsidP="000A55AE"/>
    <w:p w14:paraId="59831883" w14:textId="77777777" w:rsidR="004A4EEC" w:rsidRDefault="004A4EEC">
      <w:pPr>
        <w:rPr>
          <w:b/>
        </w:rPr>
      </w:pPr>
      <w:bookmarkStart w:id="40" w:name="_Toc197922420"/>
      <w:r>
        <w:br w:type="page"/>
      </w:r>
    </w:p>
    <w:p w14:paraId="68861240" w14:textId="1C1E828D" w:rsidR="00BD6BBE" w:rsidRDefault="005E7A32" w:rsidP="000A55AE">
      <w:pPr>
        <w:pStyle w:val="Heading2"/>
        <w:numPr>
          <w:ilvl w:val="0"/>
          <w:numId w:val="0"/>
        </w:numPr>
        <w:tabs>
          <w:tab w:val="left" w:pos="1000"/>
        </w:tabs>
        <w:spacing w:after="0"/>
      </w:pPr>
      <w:r w:rsidRPr="001C6303">
        <w:rPr>
          <w:u w:val="none"/>
        </w:rPr>
        <w:lastRenderedPageBreak/>
        <w:t>Item 6</w:t>
      </w:r>
      <w:r w:rsidRPr="001C6303">
        <w:rPr>
          <w:u w:val="none"/>
        </w:rPr>
        <w:tab/>
      </w:r>
      <w:r w:rsidR="00BD6BBE" w:rsidRPr="001C6303">
        <w:t>Exhibits</w:t>
      </w:r>
      <w:bookmarkEnd w:id="40"/>
    </w:p>
    <w:p w14:paraId="2FC380D8" w14:textId="7A32B6F5" w:rsidR="004A4EEC" w:rsidRDefault="004A4EEC" w:rsidP="000A55AE"/>
    <w:p w14:paraId="019AE6B2" w14:textId="77777777" w:rsidR="004A4EEC" w:rsidRPr="001C6303" w:rsidRDefault="004A4EEC" w:rsidP="004A4EEC">
      <w:pPr>
        <w:keepNext/>
      </w:pPr>
      <w:r w:rsidRPr="001C6303">
        <w:t>Exhibit</w:t>
      </w:r>
    </w:p>
    <w:p w14:paraId="2E90F602" w14:textId="77777777" w:rsidR="004A4EEC" w:rsidRPr="001C6303" w:rsidRDefault="004A4EEC" w:rsidP="00AE1892">
      <w:pPr>
        <w:keepNext/>
        <w:tabs>
          <w:tab w:val="left" w:pos="990"/>
        </w:tabs>
        <w:spacing w:after="60"/>
        <w:rPr>
          <w:u w:val="single"/>
        </w:rPr>
      </w:pPr>
      <w:r w:rsidRPr="001C6303">
        <w:rPr>
          <w:u w:val="single"/>
        </w:rPr>
        <w:t>Number</w:t>
      </w:r>
      <w:r w:rsidRPr="001C6303">
        <w:tab/>
      </w:r>
      <w:r w:rsidRPr="001C6303">
        <w:rPr>
          <w:u w:val="single"/>
        </w:rPr>
        <w:t>Description</w:t>
      </w:r>
    </w:p>
    <w:p w14:paraId="0A3A7F2D" w14:textId="680C1953" w:rsidR="004A4EEC" w:rsidRDefault="004A4EEC" w:rsidP="00AE1892">
      <w:pPr>
        <w:ind w:left="990" w:hanging="990"/>
        <w:rPr>
          <w:bCs/>
        </w:rPr>
      </w:pPr>
      <w:r w:rsidRPr="00374DEE">
        <w:rPr>
          <w:bCs/>
        </w:rPr>
        <w:t>3.1</w:t>
      </w:r>
      <w:r w:rsidRPr="00374DEE">
        <w:rPr>
          <w:bCs/>
        </w:rPr>
        <w:tab/>
      </w:r>
      <w:hyperlink r:id="rId26" w:history="1">
        <w:r w:rsidRPr="002575DB">
          <w:rPr>
            <w:rStyle w:val="Hyperlink"/>
            <w:bCs/>
          </w:rPr>
          <w:t>Certificate of Amendment to the Certificate of Incorporation of GeoVax Labs, Inc. filed April 30, 2019 (1)</w:t>
        </w:r>
      </w:hyperlink>
    </w:p>
    <w:p w14:paraId="012D952A" w14:textId="7B976328" w:rsidR="004A4EEC" w:rsidRDefault="004A4EEC" w:rsidP="00AE1892">
      <w:pPr>
        <w:ind w:left="990" w:hanging="990"/>
        <w:rPr>
          <w:bCs/>
        </w:rPr>
      </w:pPr>
      <w:r>
        <w:rPr>
          <w:bCs/>
        </w:rPr>
        <w:t>4.1</w:t>
      </w:r>
      <w:r>
        <w:rPr>
          <w:bCs/>
        </w:rPr>
        <w:tab/>
      </w:r>
      <w:hyperlink r:id="rId27" w:history="1">
        <w:r w:rsidRPr="002575DB">
          <w:rPr>
            <w:rStyle w:val="Hyperlink"/>
            <w:bCs/>
          </w:rPr>
          <w:t>Form of Stock Certificate to be issued after April 30, 2019 to represent the Company’s Common Stock, par value $0.001 (1)</w:t>
        </w:r>
      </w:hyperlink>
    </w:p>
    <w:p w14:paraId="4CC023BE" w14:textId="6DCB1E36" w:rsidR="004A4EEC" w:rsidRPr="007D175E" w:rsidRDefault="004A4EEC" w:rsidP="00AE1892">
      <w:pPr>
        <w:ind w:left="990" w:hanging="990"/>
        <w:rPr>
          <w:bCs/>
        </w:rPr>
      </w:pPr>
      <w:r w:rsidRPr="007D175E">
        <w:rPr>
          <w:bCs/>
        </w:rPr>
        <w:t>4.</w:t>
      </w:r>
      <w:r w:rsidR="006F6931">
        <w:rPr>
          <w:bCs/>
        </w:rPr>
        <w:t>2</w:t>
      </w:r>
      <w:r w:rsidRPr="007D175E">
        <w:rPr>
          <w:bCs/>
        </w:rPr>
        <w:t>.1</w:t>
      </w:r>
      <w:r w:rsidRPr="007D175E">
        <w:rPr>
          <w:bCs/>
        </w:rPr>
        <w:tab/>
      </w:r>
      <w:hyperlink r:id="rId28" w:history="1">
        <w:r w:rsidRPr="007D175E">
          <w:rPr>
            <w:bCs/>
            <w:color w:val="0000FF"/>
            <w:u w:val="single"/>
          </w:rPr>
          <w:t>Certificate of Designation of Preferences, Rights and Limitations of Series F Convertible Preferred Stock (</w:t>
        </w:r>
        <w:r>
          <w:rPr>
            <w:bCs/>
            <w:color w:val="0000FF"/>
            <w:u w:val="single"/>
          </w:rPr>
          <w:t>2</w:t>
        </w:r>
        <w:r w:rsidRPr="007D175E">
          <w:rPr>
            <w:bCs/>
            <w:color w:val="0000FF"/>
            <w:u w:val="single"/>
          </w:rPr>
          <w:t>)</w:t>
        </w:r>
      </w:hyperlink>
    </w:p>
    <w:p w14:paraId="02280A0E" w14:textId="1C95CD6C" w:rsidR="004A4EEC" w:rsidRPr="007D175E" w:rsidRDefault="004A4EEC" w:rsidP="00AE1892">
      <w:pPr>
        <w:ind w:left="990" w:hanging="990"/>
        <w:rPr>
          <w:bCs/>
        </w:rPr>
      </w:pPr>
      <w:r w:rsidRPr="007D175E">
        <w:rPr>
          <w:bCs/>
        </w:rPr>
        <w:t>4.</w:t>
      </w:r>
      <w:r w:rsidR="006F6931">
        <w:rPr>
          <w:bCs/>
        </w:rPr>
        <w:t>2</w:t>
      </w:r>
      <w:r w:rsidRPr="007D175E">
        <w:rPr>
          <w:bCs/>
        </w:rPr>
        <w:t>.2</w:t>
      </w:r>
      <w:r w:rsidRPr="007D175E">
        <w:rPr>
          <w:bCs/>
        </w:rPr>
        <w:tab/>
      </w:r>
      <w:hyperlink r:id="rId29" w:history="1">
        <w:r w:rsidRPr="007D175E">
          <w:rPr>
            <w:bCs/>
            <w:color w:val="0000FF"/>
            <w:u w:val="single"/>
          </w:rPr>
          <w:t>Form of Stock Certificate for the Series F Convertible Preferred Stock (</w:t>
        </w:r>
        <w:r>
          <w:rPr>
            <w:bCs/>
            <w:color w:val="0000FF"/>
            <w:u w:val="single"/>
          </w:rPr>
          <w:t>2</w:t>
        </w:r>
        <w:r w:rsidRPr="007D175E">
          <w:rPr>
            <w:bCs/>
            <w:color w:val="0000FF"/>
            <w:u w:val="single"/>
          </w:rPr>
          <w:t>)</w:t>
        </w:r>
      </w:hyperlink>
    </w:p>
    <w:p w14:paraId="55167022" w14:textId="3BA4C13B" w:rsidR="004A4EEC" w:rsidRPr="007D175E" w:rsidRDefault="004A4EEC" w:rsidP="00AE1892">
      <w:pPr>
        <w:ind w:left="990" w:hanging="990"/>
        <w:rPr>
          <w:bCs/>
        </w:rPr>
      </w:pPr>
      <w:r w:rsidRPr="007D175E">
        <w:rPr>
          <w:bCs/>
        </w:rPr>
        <w:t>4.</w:t>
      </w:r>
      <w:r w:rsidR="006F6931">
        <w:rPr>
          <w:bCs/>
        </w:rPr>
        <w:t>3</w:t>
      </w:r>
      <w:r w:rsidRPr="007D175E">
        <w:rPr>
          <w:bCs/>
        </w:rPr>
        <w:t>.1</w:t>
      </w:r>
      <w:r w:rsidRPr="007D175E">
        <w:rPr>
          <w:bCs/>
        </w:rPr>
        <w:tab/>
      </w:r>
      <w:hyperlink r:id="rId30" w:history="1">
        <w:r w:rsidRPr="007D175E">
          <w:rPr>
            <w:bCs/>
            <w:color w:val="0000FF"/>
            <w:u w:val="single"/>
          </w:rPr>
          <w:t>Certificate of Designation of Preferences, Rights and Limitations of Series G Convertible Preferred Stock (</w:t>
        </w:r>
        <w:r>
          <w:rPr>
            <w:bCs/>
            <w:color w:val="0000FF"/>
            <w:u w:val="single"/>
          </w:rPr>
          <w:t>3</w:t>
        </w:r>
        <w:r w:rsidRPr="007D175E">
          <w:rPr>
            <w:bCs/>
            <w:color w:val="0000FF"/>
            <w:u w:val="single"/>
          </w:rPr>
          <w:t>)</w:t>
        </w:r>
      </w:hyperlink>
    </w:p>
    <w:p w14:paraId="3C56C60D" w14:textId="1C76AEE0" w:rsidR="006F6931" w:rsidRPr="006F6931" w:rsidRDefault="004A4EEC" w:rsidP="006F6931">
      <w:pPr>
        <w:ind w:left="990" w:hanging="990"/>
        <w:rPr>
          <w:bCs/>
          <w:color w:val="0000FF"/>
          <w:u w:val="single"/>
        </w:rPr>
      </w:pPr>
      <w:r w:rsidRPr="007D175E">
        <w:rPr>
          <w:bCs/>
        </w:rPr>
        <w:t>4.</w:t>
      </w:r>
      <w:r w:rsidR="006F6931">
        <w:rPr>
          <w:bCs/>
        </w:rPr>
        <w:t>3</w:t>
      </w:r>
      <w:r w:rsidRPr="007D175E">
        <w:rPr>
          <w:bCs/>
        </w:rPr>
        <w:t>.2</w:t>
      </w:r>
      <w:r w:rsidRPr="007D175E">
        <w:rPr>
          <w:bCs/>
        </w:rPr>
        <w:tab/>
      </w:r>
      <w:hyperlink r:id="rId31" w:history="1">
        <w:r w:rsidRPr="007D175E">
          <w:rPr>
            <w:bCs/>
            <w:color w:val="0000FF"/>
            <w:u w:val="single"/>
          </w:rPr>
          <w:t>Form of Stock Certificate for the Series G Convertible Preferred Stock (</w:t>
        </w:r>
        <w:r>
          <w:rPr>
            <w:bCs/>
            <w:color w:val="0000FF"/>
            <w:u w:val="single"/>
          </w:rPr>
          <w:t>3</w:t>
        </w:r>
        <w:r w:rsidRPr="007D175E">
          <w:rPr>
            <w:bCs/>
            <w:color w:val="0000FF"/>
            <w:u w:val="single"/>
          </w:rPr>
          <w:t>)</w:t>
        </w:r>
      </w:hyperlink>
    </w:p>
    <w:p w14:paraId="31ECC67B" w14:textId="3B1EB296" w:rsidR="006F6931" w:rsidRDefault="006F6931" w:rsidP="00AE1892">
      <w:pPr>
        <w:ind w:left="990" w:hanging="990"/>
        <w:rPr>
          <w:bCs/>
        </w:rPr>
      </w:pPr>
      <w:r>
        <w:rPr>
          <w:bCs/>
        </w:rPr>
        <w:t>4.4.1</w:t>
      </w:r>
      <w:r>
        <w:rPr>
          <w:bCs/>
        </w:rPr>
        <w:tab/>
      </w:r>
      <w:hyperlink r:id="rId32" w:history="1">
        <w:r w:rsidRPr="00FF4DD5">
          <w:rPr>
            <w:rStyle w:val="Hyperlink"/>
            <w:bCs/>
          </w:rPr>
          <w:t>Certificate of Designation of Preferences, Rights and Limitations of Series H Convertible Preferred Stock (4)</w:t>
        </w:r>
      </w:hyperlink>
    </w:p>
    <w:p w14:paraId="6EA79691" w14:textId="5AF19E79" w:rsidR="006F6931" w:rsidRDefault="006F6931" w:rsidP="00AE1892">
      <w:pPr>
        <w:ind w:left="990" w:hanging="990"/>
        <w:rPr>
          <w:bCs/>
        </w:rPr>
      </w:pPr>
      <w:r>
        <w:rPr>
          <w:bCs/>
        </w:rPr>
        <w:t>4.4.2</w:t>
      </w:r>
      <w:r>
        <w:rPr>
          <w:bCs/>
        </w:rPr>
        <w:tab/>
      </w:r>
      <w:hyperlink r:id="rId33" w:history="1">
        <w:r w:rsidRPr="00FF4DD5">
          <w:rPr>
            <w:rStyle w:val="Hyperlink"/>
            <w:bCs/>
          </w:rPr>
          <w:t>Form of Stock Certificate for the Series H Convertible Preferred Stock (4)</w:t>
        </w:r>
      </w:hyperlink>
    </w:p>
    <w:p w14:paraId="40F5904B" w14:textId="2009993B" w:rsidR="006F6931" w:rsidRDefault="006F6931" w:rsidP="006F6931">
      <w:pPr>
        <w:ind w:left="990" w:hanging="990"/>
        <w:rPr>
          <w:bCs/>
        </w:rPr>
      </w:pPr>
      <w:r>
        <w:rPr>
          <w:bCs/>
        </w:rPr>
        <w:t>4.5.1</w:t>
      </w:r>
      <w:r>
        <w:rPr>
          <w:bCs/>
        </w:rPr>
        <w:tab/>
      </w:r>
      <w:hyperlink r:id="rId34" w:history="1">
        <w:r w:rsidRPr="00347F37">
          <w:rPr>
            <w:rStyle w:val="Hyperlink"/>
            <w:bCs/>
          </w:rPr>
          <w:t>Certificate of Designation of Preferences, Rights and Limitations of Series I Convertible Preferred Stock (5)</w:t>
        </w:r>
      </w:hyperlink>
    </w:p>
    <w:p w14:paraId="32E0B878" w14:textId="1BA93C90" w:rsidR="006F6931" w:rsidRDefault="006F6931" w:rsidP="006F6931">
      <w:pPr>
        <w:ind w:left="990" w:hanging="990"/>
        <w:rPr>
          <w:bCs/>
        </w:rPr>
      </w:pPr>
      <w:r>
        <w:rPr>
          <w:bCs/>
        </w:rPr>
        <w:t>4.5.2</w:t>
      </w:r>
      <w:r>
        <w:rPr>
          <w:bCs/>
        </w:rPr>
        <w:tab/>
      </w:r>
      <w:hyperlink r:id="rId35" w:history="1">
        <w:r w:rsidRPr="00347F37">
          <w:rPr>
            <w:rStyle w:val="Hyperlink"/>
            <w:bCs/>
          </w:rPr>
          <w:t>Form of Stock Certificate for the Series I Convertible Preferred Stock (5)</w:t>
        </w:r>
      </w:hyperlink>
    </w:p>
    <w:p w14:paraId="0D4872A6" w14:textId="4423F14C" w:rsidR="004A4EEC" w:rsidRPr="007D175E" w:rsidRDefault="004A4EEC" w:rsidP="00AE1892">
      <w:pPr>
        <w:ind w:left="990" w:hanging="990"/>
        <w:rPr>
          <w:bCs/>
        </w:rPr>
      </w:pPr>
      <w:r w:rsidRPr="007D175E">
        <w:rPr>
          <w:bCs/>
        </w:rPr>
        <w:t>10.</w:t>
      </w:r>
      <w:r>
        <w:rPr>
          <w:bCs/>
        </w:rPr>
        <w:t>1</w:t>
      </w:r>
      <w:r w:rsidRPr="007D175E">
        <w:rPr>
          <w:bCs/>
        </w:rPr>
        <w:tab/>
      </w:r>
      <w:hyperlink r:id="rId36" w:history="1">
        <w:r w:rsidRPr="007D175E">
          <w:rPr>
            <w:bCs/>
            <w:color w:val="0000FF"/>
            <w:u w:val="single"/>
          </w:rPr>
          <w:t>Form of Exchange Agreement, dated February 18, 2019 (</w:t>
        </w:r>
        <w:r>
          <w:rPr>
            <w:bCs/>
            <w:color w:val="0000FF"/>
            <w:u w:val="single"/>
          </w:rPr>
          <w:t>2</w:t>
        </w:r>
        <w:r w:rsidRPr="007D175E">
          <w:rPr>
            <w:bCs/>
            <w:color w:val="0000FF"/>
            <w:u w:val="single"/>
          </w:rPr>
          <w:t>)</w:t>
        </w:r>
      </w:hyperlink>
    </w:p>
    <w:p w14:paraId="2F62F0F8" w14:textId="77777777" w:rsidR="004A4EEC" w:rsidRPr="007D175E" w:rsidRDefault="004A4EEC" w:rsidP="00AE1892">
      <w:pPr>
        <w:ind w:left="990" w:hanging="990"/>
        <w:rPr>
          <w:bCs/>
        </w:rPr>
      </w:pPr>
      <w:r w:rsidRPr="007D175E">
        <w:rPr>
          <w:bCs/>
        </w:rPr>
        <w:t>10.2</w:t>
      </w:r>
      <w:r w:rsidRPr="007D175E">
        <w:rPr>
          <w:bCs/>
        </w:rPr>
        <w:tab/>
      </w:r>
      <w:hyperlink r:id="rId37" w:history="1">
        <w:r w:rsidRPr="007D175E">
          <w:rPr>
            <w:bCs/>
            <w:color w:val="0000FF"/>
            <w:u w:val="single"/>
          </w:rPr>
          <w:t>Form of Securities Purchase Agreement dated February 25, 2019 (</w:t>
        </w:r>
        <w:r>
          <w:rPr>
            <w:bCs/>
            <w:color w:val="0000FF"/>
            <w:u w:val="single"/>
          </w:rPr>
          <w:t>3</w:t>
        </w:r>
        <w:r w:rsidRPr="007D175E">
          <w:rPr>
            <w:bCs/>
            <w:color w:val="0000FF"/>
            <w:u w:val="single"/>
          </w:rPr>
          <w:t>)</w:t>
        </w:r>
      </w:hyperlink>
    </w:p>
    <w:p w14:paraId="01C32972" w14:textId="77777777" w:rsidR="004A4EEC" w:rsidRPr="007D175E" w:rsidRDefault="004A4EEC" w:rsidP="00AE1892">
      <w:pPr>
        <w:ind w:left="990" w:hanging="990"/>
        <w:rPr>
          <w:bCs/>
        </w:rPr>
      </w:pPr>
      <w:r w:rsidRPr="007D175E">
        <w:rPr>
          <w:bCs/>
        </w:rPr>
        <w:t>10.</w:t>
      </w:r>
      <w:r>
        <w:rPr>
          <w:bCs/>
        </w:rPr>
        <w:t>3</w:t>
      </w:r>
      <w:r w:rsidRPr="007D175E">
        <w:rPr>
          <w:bCs/>
        </w:rPr>
        <w:tab/>
      </w:r>
      <w:hyperlink r:id="rId38" w:history="1">
        <w:r w:rsidRPr="007D175E">
          <w:rPr>
            <w:bCs/>
            <w:color w:val="0000FF"/>
            <w:u w:val="single"/>
          </w:rPr>
          <w:t>Form of Series I Common Stock Purchase Warrant (</w:t>
        </w:r>
        <w:r>
          <w:rPr>
            <w:bCs/>
            <w:color w:val="0000FF"/>
            <w:u w:val="single"/>
          </w:rPr>
          <w:t>3</w:t>
        </w:r>
        <w:r w:rsidRPr="007D175E">
          <w:rPr>
            <w:bCs/>
            <w:color w:val="0000FF"/>
            <w:u w:val="single"/>
          </w:rPr>
          <w:t>)</w:t>
        </w:r>
      </w:hyperlink>
    </w:p>
    <w:p w14:paraId="79EFDA6D" w14:textId="530CBC32" w:rsidR="006F6931" w:rsidRDefault="006F6931" w:rsidP="00AE1892">
      <w:pPr>
        <w:ind w:left="990" w:hanging="990"/>
      </w:pPr>
      <w:r>
        <w:t>10.4</w:t>
      </w:r>
      <w:r>
        <w:tab/>
      </w:r>
      <w:hyperlink r:id="rId39" w:history="1">
        <w:r w:rsidRPr="00FF4DD5">
          <w:rPr>
            <w:rStyle w:val="Hyperlink"/>
          </w:rPr>
          <w:t>Form of Exchange Agreement, dated July 16, 2019 (4)</w:t>
        </w:r>
      </w:hyperlink>
    </w:p>
    <w:p w14:paraId="473CAF37" w14:textId="47F9F36B" w:rsidR="006F6931" w:rsidRDefault="006F6931" w:rsidP="00AE1892">
      <w:pPr>
        <w:ind w:left="990" w:hanging="990"/>
      </w:pPr>
      <w:r>
        <w:t>10.5</w:t>
      </w:r>
      <w:r>
        <w:tab/>
      </w:r>
      <w:hyperlink r:id="rId40" w:history="1">
        <w:r w:rsidRPr="00347F37">
          <w:rPr>
            <w:rStyle w:val="Hyperlink"/>
          </w:rPr>
          <w:t xml:space="preserve">Form of Securities Purchase Agreement dated July </w:t>
        </w:r>
        <w:r w:rsidR="00347F37" w:rsidRPr="00347F37">
          <w:rPr>
            <w:rStyle w:val="Hyperlink"/>
          </w:rPr>
          <w:t>24</w:t>
        </w:r>
        <w:r w:rsidRPr="00347F37">
          <w:rPr>
            <w:rStyle w:val="Hyperlink"/>
          </w:rPr>
          <w:t>, 2019 (5)</w:t>
        </w:r>
      </w:hyperlink>
    </w:p>
    <w:p w14:paraId="411602AE" w14:textId="7CF4FBA4" w:rsidR="00FF461E" w:rsidRDefault="00FF461E" w:rsidP="00AE1892">
      <w:pPr>
        <w:ind w:left="990" w:hanging="990"/>
      </w:pPr>
      <w:r>
        <w:t>21.1*</w:t>
      </w:r>
      <w:r>
        <w:tab/>
        <w:t>Subsidiaries of the Registrant</w:t>
      </w:r>
    </w:p>
    <w:p w14:paraId="3719BB9A" w14:textId="441A5404" w:rsidR="004A4EEC" w:rsidRPr="001C6303" w:rsidRDefault="004A4EEC" w:rsidP="00AE1892">
      <w:pPr>
        <w:ind w:left="990" w:hanging="990"/>
      </w:pPr>
      <w:r w:rsidRPr="001C6303">
        <w:t>31.1*</w:t>
      </w:r>
      <w:r w:rsidRPr="001C6303">
        <w:tab/>
        <w:t xml:space="preserve">Certification pursuant to Rule 13a-14(a) or 15d-14(a) of the Securities Exchange Act of 1934 </w:t>
      </w:r>
    </w:p>
    <w:p w14:paraId="713EDDD5" w14:textId="77777777" w:rsidR="004A4EEC" w:rsidRPr="001C6303" w:rsidRDefault="004A4EEC" w:rsidP="00AE1892">
      <w:pPr>
        <w:ind w:left="990" w:hanging="990"/>
      </w:pPr>
      <w:r w:rsidRPr="001C6303">
        <w:t>31.2*</w:t>
      </w:r>
      <w:r w:rsidRPr="001C6303">
        <w:tab/>
        <w:t xml:space="preserve">Certification pursuant to Rule 13a-14(a) or 15d-14(a) of the Securities Exchange Act of 1934 </w:t>
      </w:r>
    </w:p>
    <w:p w14:paraId="13D131E3" w14:textId="77777777" w:rsidR="004A4EEC" w:rsidRPr="001C6303" w:rsidRDefault="004A4EEC" w:rsidP="00AE1892">
      <w:pPr>
        <w:ind w:left="990" w:hanging="990"/>
      </w:pPr>
      <w:r w:rsidRPr="001C6303">
        <w:t>32.1*</w:t>
      </w:r>
      <w:r w:rsidRPr="001C6303">
        <w:tab/>
        <w:t xml:space="preserve">Certification pursuant to 18 U.S.C. Section 1350, as adopted by Section 906 of the Sarbanes-Oxley Act of 2002 </w:t>
      </w:r>
    </w:p>
    <w:p w14:paraId="5B738E88" w14:textId="77777777" w:rsidR="004A4EEC" w:rsidRPr="001C6303" w:rsidRDefault="004A4EEC" w:rsidP="00AE1892">
      <w:pPr>
        <w:ind w:left="990" w:hanging="990"/>
      </w:pPr>
      <w:r w:rsidRPr="001C6303">
        <w:t>32.2*</w:t>
      </w:r>
      <w:r w:rsidRPr="001C6303">
        <w:tab/>
        <w:t xml:space="preserve">Certification pursuant to 18 U.S.C. Section 1350, as adopted by Section 906 of the Sarbanes-Oxley Act of 2002 </w:t>
      </w:r>
    </w:p>
    <w:p w14:paraId="3A941B72" w14:textId="4A955516" w:rsidR="00AE1892" w:rsidRDefault="00AE1892" w:rsidP="00AE1892">
      <w:pPr>
        <w:ind w:left="1170" w:hanging="1170"/>
      </w:pPr>
      <w:r>
        <w:t>101.INS**</w:t>
      </w:r>
      <w:r>
        <w:tab/>
        <w:t>XBRL Instance Document</w:t>
      </w:r>
    </w:p>
    <w:p w14:paraId="5EEDB7CF" w14:textId="5DEE00D6" w:rsidR="00AE1892" w:rsidRDefault="00AE1892" w:rsidP="00AE1892">
      <w:pPr>
        <w:ind w:left="1170" w:hanging="1170"/>
      </w:pPr>
      <w:r>
        <w:t>101.SCH**</w:t>
      </w:r>
      <w:r>
        <w:tab/>
        <w:t>XBRL Taxonomy Extension Schema Document</w:t>
      </w:r>
    </w:p>
    <w:p w14:paraId="60B16068" w14:textId="0EA2F566" w:rsidR="00AE1892" w:rsidRDefault="00AE1892" w:rsidP="00AE1892">
      <w:pPr>
        <w:ind w:left="1170" w:hanging="1170"/>
      </w:pPr>
      <w:r>
        <w:t>101.CAL**</w:t>
      </w:r>
      <w:r>
        <w:tab/>
        <w:t>XBRL Taxonomy Extension Calculation Linkbase Document</w:t>
      </w:r>
    </w:p>
    <w:p w14:paraId="0FCC5851" w14:textId="1CAD13DD" w:rsidR="00AE1892" w:rsidRDefault="00AE1892" w:rsidP="00AE1892">
      <w:pPr>
        <w:ind w:left="1170" w:hanging="1170"/>
      </w:pPr>
      <w:r>
        <w:t>101.DEF**</w:t>
      </w:r>
      <w:r>
        <w:tab/>
        <w:t>XBRL Taxonomy Extension Definition Linkbase Document</w:t>
      </w:r>
    </w:p>
    <w:p w14:paraId="2D64C96F" w14:textId="36DFB58A" w:rsidR="00AE1892" w:rsidRDefault="00AE1892" w:rsidP="00AE1892">
      <w:pPr>
        <w:ind w:left="1170" w:hanging="1170"/>
      </w:pPr>
      <w:r>
        <w:t>101.LAB**</w:t>
      </w:r>
      <w:r>
        <w:tab/>
        <w:t>XBRL Taxonomy Extension Label Linkbase Document</w:t>
      </w:r>
    </w:p>
    <w:p w14:paraId="0E906F09" w14:textId="3F444813" w:rsidR="00AE1892" w:rsidRPr="001C6303" w:rsidRDefault="00AE1892" w:rsidP="00AE1892">
      <w:pPr>
        <w:ind w:left="1170" w:hanging="1170"/>
      </w:pPr>
      <w:r>
        <w:t>101.PRE**</w:t>
      </w:r>
      <w:r>
        <w:tab/>
        <w:t>XBRL Taxonomy Extension Presentation Linkbase Document</w:t>
      </w:r>
    </w:p>
    <w:p w14:paraId="44D161CF" w14:textId="77777777" w:rsidR="00AE1892" w:rsidRDefault="00AE1892" w:rsidP="004A4EEC">
      <w:pPr>
        <w:tabs>
          <w:tab w:val="left" w:pos="1080"/>
          <w:tab w:val="left" w:pos="2340"/>
          <w:tab w:val="left" w:pos="3600"/>
          <w:tab w:val="left" w:pos="7920"/>
        </w:tabs>
        <w:ind w:left="907" w:hanging="907"/>
      </w:pPr>
    </w:p>
    <w:p w14:paraId="74B1CD19" w14:textId="5C454900" w:rsidR="004A4EEC" w:rsidRDefault="004A4EEC" w:rsidP="004A4EEC"/>
    <w:p w14:paraId="690E6402" w14:textId="681F86DA" w:rsidR="00251471" w:rsidRDefault="00251471" w:rsidP="004A4EEC"/>
    <w:p w14:paraId="64163656" w14:textId="77777777" w:rsidR="004A4EEC" w:rsidRDefault="004A4EEC" w:rsidP="004A4EEC">
      <w:r>
        <w:t>_____________________</w:t>
      </w:r>
    </w:p>
    <w:p w14:paraId="432F5DA1" w14:textId="77777777" w:rsidR="004A4EEC" w:rsidRDefault="004A4EEC" w:rsidP="004A4EEC">
      <w:r w:rsidRPr="001C6303">
        <w:t>*</w:t>
      </w:r>
      <w:r w:rsidRPr="001C6303">
        <w:tab/>
        <w:t>Filed herewith</w:t>
      </w:r>
    </w:p>
    <w:p w14:paraId="0B27C1E8" w14:textId="3C2D9220" w:rsidR="004A4EEC" w:rsidRPr="001C6303" w:rsidRDefault="004A4EEC" w:rsidP="004A4EEC">
      <w:pPr>
        <w:ind w:left="720" w:hanging="720"/>
      </w:pPr>
      <w:r>
        <w:t>**</w:t>
      </w:r>
      <w:r>
        <w:tab/>
      </w:r>
      <w:r w:rsidR="00AE1892">
        <w:t>XBRL (Extensible Business Reporting Language) information furnished hereto are deemed not filed or a part of a registration statement or prospectus for purposes of Sections 11 or 12 of the Securities Act of 1933, as amended, is deemed not filed for purposes of Section 18 of the Securities Exchange Act of 1934, as amended, and otherwise is not subject to liability under these sections.</w:t>
      </w:r>
    </w:p>
    <w:p w14:paraId="0F46A1A6" w14:textId="77777777" w:rsidR="004A4EEC" w:rsidRPr="001C6303" w:rsidRDefault="004A4EEC" w:rsidP="004A4EEC">
      <w:pPr>
        <w:ind w:left="720" w:hanging="720"/>
      </w:pPr>
    </w:p>
    <w:p w14:paraId="23B411E8" w14:textId="77777777" w:rsidR="004A4EEC" w:rsidRPr="00B82609" w:rsidRDefault="004A4EEC" w:rsidP="004A4EEC">
      <w:pPr>
        <w:pStyle w:val="ListParagraph"/>
        <w:numPr>
          <w:ilvl w:val="0"/>
          <w:numId w:val="7"/>
        </w:numPr>
        <w:ind w:hanging="720"/>
      </w:pPr>
      <w:r w:rsidRPr="0043109A">
        <w:rPr>
          <w:rFonts w:ascii="Times New Roman" w:hAnsi="Times New Roman"/>
        </w:rPr>
        <w:t xml:space="preserve">Incorporated by reference from the registrant’s Current Report on Form 8-K </w:t>
      </w:r>
      <w:r w:rsidRPr="00B82609">
        <w:rPr>
          <w:rFonts w:ascii="Times New Roman" w:hAnsi="Times New Roman"/>
        </w:rPr>
        <w:t>filed April 30, 2019</w:t>
      </w:r>
      <w:r>
        <w:rPr>
          <w:rFonts w:ascii="Times New Roman" w:hAnsi="Times New Roman"/>
        </w:rPr>
        <w:t>.</w:t>
      </w:r>
    </w:p>
    <w:p w14:paraId="4E1FB863" w14:textId="77777777" w:rsidR="004A4EEC" w:rsidRPr="00693185" w:rsidRDefault="004A4EEC" w:rsidP="004A4EEC">
      <w:pPr>
        <w:pStyle w:val="ListParagraph"/>
        <w:numPr>
          <w:ilvl w:val="0"/>
          <w:numId w:val="7"/>
        </w:numPr>
        <w:ind w:hanging="720"/>
      </w:pPr>
      <w:r w:rsidRPr="00B82609">
        <w:rPr>
          <w:rFonts w:ascii="Times New Roman" w:hAnsi="Times New Roman"/>
        </w:rPr>
        <w:t>Incorporated by reference from the registrant’s Current Report on Form 8-K filed February 19, 2019</w:t>
      </w:r>
      <w:r w:rsidRPr="003434EE">
        <w:rPr>
          <w:rFonts w:ascii="Times New Roman" w:hAnsi="Times New Roman"/>
        </w:rPr>
        <w:t>.</w:t>
      </w:r>
    </w:p>
    <w:p w14:paraId="10A6F4C2" w14:textId="77777777" w:rsidR="006F6931" w:rsidRPr="006F6931" w:rsidRDefault="004A4EEC" w:rsidP="006F6931">
      <w:pPr>
        <w:pStyle w:val="ListParagraph"/>
        <w:numPr>
          <w:ilvl w:val="0"/>
          <w:numId w:val="7"/>
        </w:numPr>
        <w:ind w:hanging="720"/>
      </w:pPr>
      <w:r w:rsidRPr="0043109A">
        <w:rPr>
          <w:rFonts w:ascii="Times New Roman" w:hAnsi="Times New Roman"/>
        </w:rPr>
        <w:t xml:space="preserve">Incorporated by reference from the registrant’s Current Report on Form 8-K filed </w:t>
      </w:r>
      <w:r>
        <w:rPr>
          <w:rFonts w:ascii="Times New Roman" w:hAnsi="Times New Roman"/>
        </w:rPr>
        <w:t>February</w:t>
      </w:r>
      <w:r w:rsidRPr="00AC18E3">
        <w:rPr>
          <w:rFonts w:ascii="Times New Roman" w:hAnsi="Times New Roman"/>
        </w:rPr>
        <w:t xml:space="preserve"> </w:t>
      </w:r>
      <w:r>
        <w:rPr>
          <w:rFonts w:ascii="Times New Roman" w:hAnsi="Times New Roman"/>
        </w:rPr>
        <w:t xml:space="preserve">26, </w:t>
      </w:r>
      <w:r w:rsidRPr="00AC18E3">
        <w:rPr>
          <w:rFonts w:ascii="Times New Roman" w:hAnsi="Times New Roman"/>
        </w:rPr>
        <w:t>201</w:t>
      </w:r>
      <w:r>
        <w:rPr>
          <w:rFonts w:ascii="Times New Roman" w:hAnsi="Times New Roman"/>
        </w:rPr>
        <w:t>9.</w:t>
      </w:r>
    </w:p>
    <w:p w14:paraId="2C55FF39" w14:textId="77777777" w:rsidR="006F6931" w:rsidRDefault="006F6931" w:rsidP="006F6931">
      <w:pPr>
        <w:pStyle w:val="ListParagraph"/>
        <w:numPr>
          <w:ilvl w:val="0"/>
          <w:numId w:val="7"/>
        </w:numPr>
        <w:ind w:hanging="720"/>
      </w:pPr>
      <w:r w:rsidRPr="006F6931">
        <w:t xml:space="preserve">Incorporated by reference from the registrant’s Current Report on Form 8-K filed </w:t>
      </w:r>
      <w:r>
        <w:t>July</w:t>
      </w:r>
      <w:r w:rsidRPr="006F6931">
        <w:t xml:space="preserve"> </w:t>
      </w:r>
      <w:r>
        <w:t>17</w:t>
      </w:r>
      <w:r w:rsidRPr="006F6931">
        <w:t>, 2019.</w:t>
      </w:r>
    </w:p>
    <w:p w14:paraId="55E1078B" w14:textId="57D72106" w:rsidR="006F6931" w:rsidRPr="00655E50" w:rsidRDefault="006F6931" w:rsidP="006F6931">
      <w:pPr>
        <w:pStyle w:val="ListParagraph"/>
        <w:numPr>
          <w:ilvl w:val="0"/>
          <w:numId w:val="7"/>
        </w:numPr>
        <w:ind w:hanging="720"/>
      </w:pPr>
      <w:r w:rsidRPr="00655E50">
        <w:t xml:space="preserve">Incorporated by reference from the registrant’s Current Report on Form 8-K filed July </w:t>
      </w:r>
      <w:r w:rsidR="007966A5">
        <w:t>24</w:t>
      </w:r>
      <w:r w:rsidRPr="00655E50">
        <w:t>, 2019.</w:t>
      </w:r>
    </w:p>
    <w:p w14:paraId="06A1C2B4" w14:textId="2923D5CC" w:rsidR="004A4EEC" w:rsidRDefault="004A4EEC" w:rsidP="000A55AE"/>
    <w:p w14:paraId="7B2BE5D2" w14:textId="77777777" w:rsidR="004A4EEC" w:rsidRPr="001C6303" w:rsidRDefault="004A4EEC" w:rsidP="000A55AE"/>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7572FC7B" w:rsidR="00BD6BBE" w:rsidRPr="001C6303" w:rsidRDefault="005277CB">
      <w:pPr>
        <w:tabs>
          <w:tab w:val="left" w:pos="720"/>
          <w:tab w:val="left" w:pos="5400"/>
          <w:tab w:val="center" w:pos="7380"/>
        </w:tabs>
      </w:pPr>
      <w:r w:rsidRPr="001C6303">
        <w:t>Date:</w:t>
      </w:r>
      <w:r w:rsidRPr="001C6303">
        <w:tab/>
      </w:r>
      <w:r w:rsidR="001F228F">
        <w:t>November</w:t>
      </w:r>
      <w:r w:rsidR="00A17B7E" w:rsidRPr="00CD5558">
        <w:t xml:space="preserve"> </w:t>
      </w:r>
      <w:r w:rsidR="00C1516A">
        <w:t>7</w:t>
      </w:r>
      <w:r w:rsidR="006B43ED" w:rsidRPr="00CD5558">
        <w:t>, 201</w:t>
      </w:r>
      <w:r w:rsidR="00AC47F0" w:rsidRPr="00CD5558">
        <w:t>9</w:t>
      </w:r>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737E0EC9" w14:textId="5ED610FC" w:rsidR="00693185" w:rsidRPr="001C6303" w:rsidRDefault="00693185" w:rsidP="00262302"/>
    <w:sectPr w:rsidR="00693185" w:rsidRPr="001C6303" w:rsidSect="00311621">
      <w:headerReference w:type="even" r:id="rId41"/>
      <w:headerReference w:type="default" r:id="rId42"/>
      <w:footerReference w:type="even" r:id="rId43"/>
      <w:footerReference w:type="default" r:id="rId44"/>
      <w:headerReference w:type="first" r:id="rId45"/>
      <w:footerReference w:type="first" r:id="rId46"/>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FADF" w14:textId="77777777" w:rsidR="006E60BB" w:rsidRDefault="006E60BB">
      <w:r>
        <w:separator/>
      </w:r>
    </w:p>
  </w:endnote>
  <w:endnote w:type="continuationSeparator" w:id="0">
    <w:p w14:paraId="0CA5F849" w14:textId="77777777" w:rsidR="006E60BB" w:rsidRDefault="006E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5BA6" w14:textId="77777777" w:rsidR="006E60BB" w:rsidRDefault="006E60BB"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6E60BB" w:rsidRDefault="006E6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D819" w14:textId="77777777" w:rsidR="006E60BB" w:rsidRDefault="006E60BB">
    <w:pPr>
      <w:pStyle w:val="Footer"/>
      <w:framePr w:wrap="around" w:vAnchor="text" w:hAnchor="margin" w:xAlign="center" w:y="1"/>
      <w:rPr>
        <w:rStyle w:val="PageNumber"/>
      </w:rPr>
    </w:pPr>
  </w:p>
  <w:p w14:paraId="16540C0E" w14:textId="77777777" w:rsidR="006E60BB" w:rsidRDefault="006E60BB">
    <w:pPr>
      <w:pStyle w:val="Footer"/>
    </w:pPr>
  </w:p>
  <w:p w14:paraId="315F27D0" w14:textId="77777777" w:rsidR="006E60BB" w:rsidRDefault="006E60BB"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905536"/>
      <w:docPartObj>
        <w:docPartGallery w:val="Page Numbers (Bottom of Page)"/>
        <w:docPartUnique/>
      </w:docPartObj>
    </w:sdtPr>
    <w:sdtEndPr/>
    <w:sdtContent>
      <w:p w14:paraId="3F72555D" w14:textId="77777777" w:rsidR="006E60BB" w:rsidRDefault="006E60BB">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2041AD2D" w14:textId="77777777" w:rsidR="006E60BB" w:rsidRDefault="006E60BB"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D917" w14:textId="77777777" w:rsidR="006E60BB" w:rsidRDefault="006E60B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6E60BB" w:rsidRDefault="006E60BB">
    <w:pPr>
      <w:pStyle w:val="Footer"/>
    </w:pPr>
  </w:p>
  <w:p w14:paraId="6BB4EA6F" w14:textId="3BDCD941" w:rsidR="006E60BB" w:rsidRDefault="009201D8" w:rsidP="003A5897">
    <w:pPr>
      <w:pStyle w:val="Footer"/>
    </w:pPr>
    <w:r>
      <w:fldChar w:fldCharType="begin"/>
    </w:r>
    <w:r>
      <w:instrText xml:space="preserve"> DOCPROPERTY "SWDocID"  \* MERGEFORMAT </w:instrText>
    </w:r>
    <w:r>
      <w:fldChar w:fldCharType="separate"/>
    </w:r>
    <w:r w:rsidRPr="009201D8">
      <w:rPr>
        <w:sz w:val="18"/>
      </w:rPr>
      <w:t>WCSR  3894443v2</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E60A" w14:textId="77777777" w:rsidR="006E60BB" w:rsidRDefault="006E60B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6D1C887" w14:textId="77777777" w:rsidR="006E60BB" w:rsidRDefault="006E60BB">
    <w:pPr>
      <w:pStyle w:val="Footer"/>
    </w:pPr>
  </w:p>
  <w:p w14:paraId="7906B40A" w14:textId="41C29F85" w:rsidR="006E60BB" w:rsidRDefault="009201D8" w:rsidP="003A5897">
    <w:pPr>
      <w:pStyle w:val="Footer"/>
    </w:pPr>
    <w:r>
      <w:fldChar w:fldCharType="begin"/>
    </w:r>
    <w:r>
      <w:instrText xml:space="preserve"> DOCPROPERTY "SWDocID"  \* MERGEFORMAT </w:instrText>
    </w:r>
    <w:r>
      <w:fldChar w:fldCharType="separate"/>
    </w:r>
    <w:r w:rsidRPr="009201D8">
      <w:rPr>
        <w:sz w:val="18"/>
      </w:rPr>
      <w:t>WCSR  3894443v2</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57ED" w14:textId="77777777" w:rsidR="006E60BB" w:rsidRDefault="006E60B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779C2B1" w14:textId="77777777" w:rsidR="006E60BB" w:rsidRDefault="006E60BB">
    <w:pPr>
      <w:pStyle w:val="Footer"/>
    </w:pPr>
  </w:p>
  <w:p w14:paraId="052EBE7F" w14:textId="42B8736A" w:rsidR="006E60BB" w:rsidRDefault="009201D8" w:rsidP="003A5897">
    <w:pPr>
      <w:pStyle w:val="Footer"/>
    </w:pPr>
    <w:r>
      <w:fldChar w:fldCharType="begin"/>
    </w:r>
    <w:r>
      <w:instrText xml:space="preserve"> DOCPROPERTY "SWDocID"  \* MERGEFORMAT </w:instrText>
    </w:r>
    <w:r>
      <w:fldChar w:fldCharType="separate"/>
    </w:r>
    <w:r w:rsidRPr="009201D8">
      <w:rPr>
        <w:sz w:val="18"/>
      </w:rPr>
      <w:t>WCSR  3894443v2</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FFC3" w14:textId="77777777" w:rsidR="006E60BB" w:rsidRDefault="006E60BB">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6E60BB" w:rsidRDefault="006E60BB">
    <w:pPr>
      <w:pStyle w:val="Footer"/>
      <w:rPr>
        <w:sz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8380" w14:textId="020428AA" w:rsidR="006E60BB" w:rsidRDefault="006E60BB">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6E60BB" w:rsidRDefault="006E60B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82A3" w14:textId="77777777" w:rsidR="006E60BB" w:rsidRDefault="006E60B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73608" w14:textId="77777777" w:rsidR="006E60BB" w:rsidRDefault="006E60BB">
      <w:r>
        <w:separator/>
      </w:r>
    </w:p>
  </w:footnote>
  <w:footnote w:type="continuationSeparator" w:id="0">
    <w:p w14:paraId="4BBCC55A" w14:textId="77777777" w:rsidR="006E60BB" w:rsidRDefault="006E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A0D64" w14:textId="77777777" w:rsidR="006E60BB" w:rsidRDefault="006E60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92AA" w14:textId="77777777" w:rsidR="006E60BB" w:rsidRDefault="006E60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8959" w14:textId="77777777" w:rsidR="006E60BB" w:rsidRDefault="006E60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C57D" w14:textId="77777777" w:rsidR="006E60BB" w:rsidRDefault="006E60BB">
    <w:pPr>
      <w:pStyle w:val="Header"/>
    </w:pPr>
    <w:r>
      <w:rPr>
        <w:noProof/>
      </w:rPr>
      <mc:AlternateContent>
        <mc:Choice Requires="wps">
          <w:drawing>
            <wp:anchor distT="0" distB="0" distL="114300" distR="114300" simplePos="0" relativeHeight="251678720" behindDoc="0" locked="0" layoutInCell="1" allowOverlap="1" wp14:anchorId="5E0272EE" wp14:editId="1EFFF57F">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32E631" id="_x0000_t202" coordsize="21600,21600" o:spt="202" path="m,l,21600r21600,l21600,xe">
              <v:stroke joinstyle="miter"/>
              <v:path gradientshapeok="t" o:connecttype="rect"/>
            </v:shapetype>
            <v:shape id="WordArt 7" o:spid="_x0000_s1026" type="#_x0000_t202" style="position:absolute;margin-left:0;margin-top:0;width:480.5pt;height:24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9073" w14:textId="77777777" w:rsidR="006E60BB" w:rsidRDefault="006E60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39AD5" w14:textId="77777777" w:rsidR="006E60BB" w:rsidRDefault="006E60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1C2D" w14:textId="77777777" w:rsidR="006E60BB" w:rsidRDefault="006E6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892C" w14:textId="77777777" w:rsidR="006E60BB" w:rsidRDefault="006E6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E1E9" w14:textId="77777777" w:rsidR="006E60BB" w:rsidRDefault="006E60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98D29" w14:textId="77777777" w:rsidR="006E60BB" w:rsidRDefault="006E60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5D70" w14:textId="77777777" w:rsidR="006E60BB" w:rsidRDefault="006E60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4797" w14:textId="77777777" w:rsidR="006E60BB" w:rsidRDefault="006E60BB">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6536" w14:textId="77777777" w:rsidR="006E60BB" w:rsidRDefault="006E60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5AC1" w14:textId="77777777" w:rsidR="006E60BB" w:rsidRDefault="006E60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5D97" w14:textId="77777777" w:rsidR="006E60BB" w:rsidRDefault="006E60BB">
    <w:pPr>
      <w:pStyle w:val="Header"/>
    </w:pPr>
    <w:r>
      <w:rPr>
        <w:noProof/>
      </w:rPr>
      <mc:AlternateContent>
        <mc:Choice Requires="wps">
          <w:drawing>
            <wp:anchor distT="0" distB="0" distL="114300" distR="114300" simplePos="0" relativeHeight="251676672" behindDoc="0" locked="0" layoutInCell="1" allowOverlap="1" wp14:anchorId="36BAC3CE" wp14:editId="35F689D5">
              <wp:simplePos x="0" y="0"/>
              <wp:positionH relativeFrom="column">
                <wp:posOffset>0</wp:posOffset>
              </wp:positionH>
              <wp:positionV relativeFrom="paragraph">
                <wp:posOffset>0</wp:posOffset>
              </wp:positionV>
              <wp:extent cx="6102350" cy="3051175"/>
              <wp:effectExtent l="0" t="0" r="3175" b="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BE8980" id="_x0000_t202" coordsize="21600,21600" o:spt="202" path="m,l,21600r21600,l21600,xe">
              <v:stroke joinstyle="miter"/>
              <v:path gradientshapeok="t" o:connecttype="rect"/>
            </v:shapetype>
            <v:shape id="WordArt 7" o:spid="_x0000_s1026" type="#_x0000_t202" style="position:absolute;margin-left:0;margin-top:0;width:480.5pt;height:24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yf9wEAAM8DAAAOAAAAZHJzL2Uyb0RvYy54bWysU8GO0zAQvSPxD5bvbJJW3UVR01XZZbks&#10;sNIW7XlqO00g9hjbbdK/Z+y6ZQU3RA9WbY/fvPfmZXk76YEdlPM9moZXVyVnygiUvdk1/Nvm4d17&#10;znwAI2FAoxp+VJ7frt6+WY62VjPscJDKMQIxvh5tw7sQbF0UXnRKg79Cqwxdtug0BNq6XSEdjISu&#10;h2JWltfFiE5ah0J5T6f3p0u+Svhtq0T42rZeBTY0nLiFtLq0buNarJZQ7xzYrheZBvwDCw29oaYX&#10;qHsIwPau/wtK98KhxzZcCdQFtm0vVNJAaqryDzXPHViVtJA53l5s8v8PVnw5PDnWy4bPOTOgaUQv&#10;5OjaBXYTzRmtr6nm2VJVmD7gRENOQr19RPHDM4N3HZidWjuHY6dAErmKoPJxkrA5WsJNpxs1hY+y&#10;pzlUEb54hX9q5mOn7fgZJT2BfcDUbWqdjvaSYYwo0CSPl+kRIhN0eF2Vs/mCrgTdzctFVd0sUg+o&#10;z8+t8+GTQs3in4Y7ikeCh8OjD5EO1OeSzC3SORHbojwStZGy0nD/cw9Okcy9vkOKFmlrHepsXdxH&#10;thFrM72As7lhIK5PwzkrqWsKjczWg/xOQHqgCB5gYIuSfllCLs4MT6jxrbdrMumhT/SjmyeemT6l&#10;JqnKCY+xfL1PVb+/w9Uv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p4Wsn/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57A6DD0C"/>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abstractNumId w:val="5"/>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355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3127"/>
    <w:rsid w:val="000034E0"/>
    <w:rsid w:val="00003985"/>
    <w:rsid w:val="000045A2"/>
    <w:rsid w:val="00004976"/>
    <w:rsid w:val="00006146"/>
    <w:rsid w:val="00006D2A"/>
    <w:rsid w:val="00010534"/>
    <w:rsid w:val="000108EF"/>
    <w:rsid w:val="00010CDD"/>
    <w:rsid w:val="00011BEF"/>
    <w:rsid w:val="00012345"/>
    <w:rsid w:val="000128C9"/>
    <w:rsid w:val="00012C3B"/>
    <w:rsid w:val="00012E6B"/>
    <w:rsid w:val="000162CE"/>
    <w:rsid w:val="00017A17"/>
    <w:rsid w:val="000206F1"/>
    <w:rsid w:val="00021A09"/>
    <w:rsid w:val="000237DB"/>
    <w:rsid w:val="0002455D"/>
    <w:rsid w:val="000251EA"/>
    <w:rsid w:val="000253FD"/>
    <w:rsid w:val="00025C72"/>
    <w:rsid w:val="00025E86"/>
    <w:rsid w:val="000267C2"/>
    <w:rsid w:val="000311C2"/>
    <w:rsid w:val="00031A17"/>
    <w:rsid w:val="0003218D"/>
    <w:rsid w:val="00032EFE"/>
    <w:rsid w:val="00033091"/>
    <w:rsid w:val="0003437B"/>
    <w:rsid w:val="00036D88"/>
    <w:rsid w:val="0003701D"/>
    <w:rsid w:val="000371CC"/>
    <w:rsid w:val="00041939"/>
    <w:rsid w:val="00041E98"/>
    <w:rsid w:val="00042449"/>
    <w:rsid w:val="000427E1"/>
    <w:rsid w:val="00043DA7"/>
    <w:rsid w:val="00045A27"/>
    <w:rsid w:val="000467AD"/>
    <w:rsid w:val="00046E77"/>
    <w:rsid w:val="00047BFF"/>
    <w:rsid w:val="00047C34"/>
    <w:rsid w:val="00050847"/>
    <w:rsid w:val="00050E31"/>
    <w:rsid w:val="000510FB"/>
    <w:rsid w:val="0005266E"/>
    <w:rsid w:val="00052BD0"/>
    <w:rsid w:val="00052CED"/>
    <w:rsid w:val="00053143"/>
    <w:rsid w:val="000539A3"/>
    <w:rsid w:val="00053F1C"/>
    <w:rsid w:val="00054B43"/>
    <w:rsid w:val="000550F2"/>
    <w:rsid w:val="00055C21"/>
    <w:rsid w:val="000563AC"/>
    <w:rsid w:val="0005774A"/>
    <w:rsid w:val="00057822"/>
    <w:rsid w:val="00060DB0"/>
    <w:rsid w:val="000644BC"/>
    <w:rsid w:val="00065002"/>
    <w:rsid w:val="000654AF"/>
    <w:rsid w:val="00065B02"/>
    <w:rsid w:val="000664F5"/>
    <w:rsid w:val="00066C41"/>
    <w:rsid w:val="00066DD7"/>
    <w:rsid w:val="0006796B"/>
    <w:rsid w:val="0007076D"/>
    <w:rsid w:val="00072810"/>
    <w:rsid w:val="00074172"/>
    <w:rsid w:val="00075378"/>
    <w:rsid w:val="0007631A"/>
    <w:rsid w:val="00076ACC"/>
    <w:rsid w:val="00082209"/>
    <w:rsid w:val="0008274C"/>
    <w:rsid w:val="00085756"/>
    <w:rsid w:val="00085927"/>
    <w:rsid w:val="00086188"/>
    <w:rsid w:val="0008634B"/>
    <w:rsid w:val="00086A2F"/>
    <w:rsid w:val="000871E0"/>
    <w:rsid w:val="00087E6E"/>
    <w:rsid w:val="00087F53"/>
    <w:rsid w:val="00090FF4"/>
    <w:rsid w:val="00094012"/>
    <w:rsid w:val="0009462E"/>
    <w:rsid w:val="000947D0"/>
    <w:rsid w:val="00095DD7"/>
    <w:rsid w:val="00096B1B"/>
    <w:rsid w:val="00096E33"/>
    <w:rsid w:val="00097B30"/>
    <w:rsid w:val="000A3522"/>
    <w:rsid w:val="000A49BE"/>
    <w:rsid w:val="000A4CB0"/>
    <w:rsid w:val="000A4DF8"/>
    <w:rsid w:val="000A5148"/>
    <w:rsid w:val="000A55AE"/>
    <w:rsid w:val="000A58BB"/>
    <w:rsid w:val="000A6576"/>
    <w:rsid w:val="000B0FD9"/>
    <w:rsid w:val="000B12B0"/>
    <w:rsid w:val="000B1892"/>
    <w:rsid w:val="000B4A80"/>
    <w:rsid w:val="000B5C24"/>
    <w:rsid w:val="000B648E"/>
    <w:rsid w:val="000B712F"/>
    <w:rsid w:val="000B7D9B"/>
    <w:rsid w:val="000C0100"/>
    <w:rsid w:val="000C085D"/>
    <w:rsid w:val="000C18B5"/>
    <w:rsid w:val="000C4495"/>
    <w:rsid w:val="000C47BC"/>
    <w:rsid w:val="000C6372"/>
    <w:rsid w:val="000C6642"/>
    <w:rsid w:val="000C6697"/>
    <w:rsid w:val="000C70FD"/>
    <w:rsid w:val="000D0077"/>
    <w:rsid w:val="000D15F1"/>
    <w:rsid w:val="000D3DC5"/>
    <w:rsid w:val="000D4A4B"/>
    <w:rsid w:val="000D51BA"/>
    <w:rsid w:val="000D595F"/>
    <w:rsid w:val="000D599A"/>
    <w:rsid w:val="000D5CD5"/>
    <w:rsid w:val="000D5FA7"/>
    <w:rsid w:val="000D6F5A"/>
    <w:rsid w:val="000D7A76"/>
    <w:rsid w:val="000D7B7A"/>
    <w:rsid w:val="000E0FB3"/>
    <w:rsid w:val="000E213D"/>
    <w:rsid w:val="000E36B3"/>
    <w:rsid w:val="000E5E04"/>
    <w:rsid w:val="000E6FF4"/>
    <w:rsid w:val="000E74A1"/>
    <w:rsid w:val="000E7698"/>
    <w:rsid w:val="000E7CAC"/>
    <w:rsid w:val="000F0905"/>
    <w:rsid w:val="000F0F0D"/>
    <w:rsid w:val="000F202C"/>
    <w:rsid w:val="000F3A7C"/>
    <w:rsid w:val="000F3D82"/>
    <w:rsid w:val="000F4B4D"/>
    <w:rsid w:val="000F57EC"/>
    <w:rsid w:val="000F5A92"/>
    <w:rsid w:val="000F6610"/>
    <w:rsid w:val="000F7274"/>
    <w:rsid w:val="000F74E2"/>
    <w:rsid w:val="001000F4"/>
    <w:rsid w:val="00103160"/>
    <w:rsid w:val="00103750"/>
    <w:rsid w:val="00105666"/>
    <w:rsid w:val="00105905"/>
    <w:rsid w:val="00106DDC"/>
    <w:rsid w:val="00106E6F"/>
    <w:rsid w:val="0011067F"/>
    <w:rsid w:val="00110E4D"/>
    <w:rsid w:val="00110F05"/>
    <w:rsid w:val="001113CE"/>
    <w:rsid w:val="0011183F"/>
    <w:rsid w:val="00111D74"/>
    <w:rsid w:val="0011396A"/>
    <w:rsid w:val="00114043"/>
    <w:rsid w:val="001142B0"/>
    <w:rsid w:val="001157CC"/>
    <w:rsid w:val="00115A56"/>
    <w:rsid w:val="001166A1"/>
    <w:rsid w:val="00116DAF"/>
    <w:rsid w:val="00117869"/>
    <w:rsid w:val="001179AC"/>
    <w:rsid w:val="00117D5D"/>
    <w:rsid w:val="0012093F"/>
    <w:rsid w:val="00121A58"/>
    <w:rsid w:val="00124E8B"/>
    <w:rsid w:val="00125B03"/>
    <w:rsid w:val="00126366"/>
    <w:rsid w:val="00126621"/>
    <w:rsid w:val="00130959"/>
    <w:rsid w:val="00131C8E"/>
    <w:rsid w:val="001322CA"/>
    <w:rsid w:val="0013596C"/>
    <w:rsid w:val="00135F87"/>
    <w:rsid w:val="001362F2"/>
    <w:rsid w:val="00137307"/>
    <w:rsid w:val="001373A9"/>
    <w:rsid w:val="00137D87"/>
    <w:rsid w:val="00140C57"/>
    <w:rsid w:val="0014178D"/>
    <w:rsid w:val="001426C2"/>
    <w:rsid w:val="001435F4"/>
    <w:rsid w:val="001436ED"/>
    <w:rsid w:val="00143709"/>
    <w:rsid w:val="00143716"/>
    <w:rsid w:val="001451E8"/>
    <w:rsid w:val="00146008"/>
    <w:rsid w:val="00147AF4"/>
    <w:rsid w:val="00150DA7"/>
    <w:rsid w:val="00154A23"/>
    <w:rsid w:val="00155130"/>
    <w:rsid w:val="001568E0"/>
    <w:rsid w:val="001608A4"/>
    <w:rsid w:val="00161492"/>
    <w:rsid w:val="001615D5"/>
    <w:rsid w:val="00161A28"/>
    <w:rsid w:val="0016206A"/>
    <w:rsid w:val="00162B50"/>
    <w:rsid w:val="001630D7"/>
    <w:rsid w:val="0016377E"/>
    <w:rsid w:val="00163782"/>
    <w:rsid w:val="001653A6"/>
    <w:rsid w:val="0016579D"/>
    <w:rsid w:val="001664F3"/>
    <w:rsid w:val="00166A4A"/>
    <w:rsid w:val="00170256"/>
    <w:rsid w:val="00171251"/>
    <w:rsid w:val="00172748"/>
    <w:rsid w:val="0017287E"/>
    <w:rsid w:val="00172BE4"/>
    <w:rsid w:val="00174B2B"/>
    <w:rsid w:val="00175858"/>
    <w:rsid w:val="00175A7C"/>
    <w:rsid w:val="001768CD"/>
    <w:rsid w:val="001768F7"/>
    <w:rsid w:val="00176E63"/>
    <w:rsid w:val="0017772C"/>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75D"/>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178D"/>
    <w:rsid w:val="001A204D"/>
    <w:rsid w:val="001A3767"/>
    <w:rsid w:val="001A4A25"/>
    <w:rsid w:val="001A4CBD"/>
    <w:rsid w:val="001A5175"/>
    <w:rsid w:val="001A7C9C"/>
    <w:rsid w:val="001B0731"/>
    <w:rsid w:val="001B0999"/>
    <w:rsid w:val="001B0E45"/>
    <w:rsid w:val="001B0E8C"/>
    <w:rsid w:val="001B0F51"/>
    <w:rsid w:val="001B1787"/>
    <w:rsid w:val="001B249E"/>
    <w:rsid w:val="001B3B6C"/>
    <w:rsid w:val="001B4F28"/>
    <w:rsid w:val="001B50DA"/>
    <w:rsid w:val="001B548C"/>
    <w:rsid w:val="001B5CE8"/>
    <w:rsid w:val="001B5ECB"/>
    <w:rsid w:val="001B694B"/>
    <w:rsid w:val="001B7BD8"/>
    <w:rsid w:val="001C006E"/>
    <w:rsid w:val="001C12B9"/>
    <w:rsid w:val="001C32F6"/>
    <w:rsid w:val="001C3695"/>
    <w:rsid w:val="001C3AC6"/>
    <w:rsid w:val="001C4BA5"/>
    <w:rsid w:val="001C4F8F"/>
    <w:rsid w:val="001C5077"/>
    <w:rsid w:val="001C62BA"/>
    <w:rsid w:val="001C6303"/>
    <w:rsid w:val="001C6599"/>
    <w:rsid w:val="001C6718"/>
    <w:rsid w:val="001C7065"/>
    <w:rsid w:val="001D44D7"/>
    <w:rsid w:val="001D4A52"/>
    <w:rsid w:val="001D745A"/>
    <w:rsid w:val="001D7CCE"/>
    <w:rsid w:val="001E0D7D"/>
    <w:rsid w:val="001E1B0D"/>
    <w:rsid w:val="001E2D68"/>
    <w:rsid w:val="001E302D"/>
    <w:rsid w:val="001E43A8"/>
    <w:rsid w:val="001E4713"/>
    <w:rsid w:val="001E6A3F"/>
    <w:rsid w:val="001E77F3"/>
    <w:rsid w:val="001E78A9"/>
    <w:rsid w:val="001E7B55"/>
    <w:rsid w:val="001F04BE"/>
    <w:rsid w:val="001F0568"/>
    <w:rsid w:val="001F09D0"/>
    <w:rsid w:val="001F2008"/>
    <w:rsid w:val="001F228F"/>
    <w:rsid w:val="001F251F"/>
    <w:rsid w:val="001F4C15"/>
    <w:rsid w:val="001F6747"/>
    <w:rsid w:val="002024CE"/>
    <w:rsid w:val="002025C3"/>
    <w:rsid w:val="00202BAB"/>
    <w:rsid w:val="0020331B"/>
    <w:rsid w:val="002048CA"/>
    <w:rsid w:val="00205913"/>
    <w:rsid w:val="002059C0"/>
    <w:rsid w:val="00205B29"/>
    <w:rsid w:val="0021186D"/>
    <w:rsid w:val="002127A7"/>
    <w:rsid w:val="00212E42"/>
    <w:rsid w:val="00212E76"/>
    <w:rsid w:val="00212F30"/>
    <w:rsid w:val="00213FD9"/>
    <w:rsid w:val="00214014"/>
    <w:rsid w:val="00214555"/>
    <w:rsid w:val="00215A77"/>
    <w:rsid w:val="00216725"/>
    <w:rsid w:val="0021705A"/>
    <w:rsid w:val="00217A79"/>
    <w:rsid w:val="00217DF9"/>
    <w:rsid w:val="0022051E"/>
    <w:rsid w:val="0022126F"/>
    <w:rsid w:val="002232ED"/>
    <w:rsid w:val="002239C8"/>
    <w:rsid w:val="00223A0E"/>
    <w:rsid w:val="0022458D"/>
    <w:rsid w:val="0022515F"/>
    <w:rsid w:val="002254C4"/>
    <w:rsid w:val="002259F1"/>
    <w:rsid w:val="002260F6"/>
    <w:rsid w:val="00226729"/>
    <w:rsid w:val="00226E90"/>
    <w:rsid w:val="002300D1"/>
    <w:rsid w:val="00231346"/>
    <w:rsid w:val="00231AD7"/>
    <w:rsid w:val="0023491B"/>
    <w:rsid w:val="00234F72"/>
    <w:rsid w:val="00235CCA"/>
    <w:rsid w:val="00236AFC"/>
    <w:rsid w:val="00237166"/>
    <w:rsid w:val="00237A64"/>
    <w:rsid w:val="002401F7"/>
    <w:rsid w:val="00240B57"/>
    <w:rsid w:val="00241293"/>
    <w:rsid w:val="00243245"/>
    <w:rsid w:val="0024365D"/>
    <w:rsid w:val="0024386A"/>
    <w:rsid w:val="00243F27"/>
    <w:rsid w:val="002443B2"/>
    <w:rsid w:val="00244A54"/>
    <w:rsid w:val="00244F17"/>
    <w:rsid w:val="00245CAF"/>
    <w:rsid w:val="00245E4D"/>
    <w:rsid w:val="00246D74"/>
    <w:rsid w:val="00246F1D"/>
    <w:rsid w:val="00246F50"/>
    <w:rsid w:val="002475ED"/>
    <w:rsid w:val="00247B7A"/>
    <w:rsid w:val="00247EFB"/>
    <w:rsid w:val="002503B0"/>
    <w:rsid w:val="00251471"/>
    <w:rsid w:val="00251EE8"/>
    <w:rsid w:val="0025217A"/>
    <w:rsid w:val="00252A1C"/>
    <w:rsid w:val="00253985"/>
    <w:rsid w:val="00255075"/>
    <w:rsid w:val="0025615B"/>
    <w:rsid w:val="00256529"/>
    <w:rsid w:val="002567E8"/>
    <w:rsid w:val="00257446"/>
    <w:rsid w:val="002575DB"/>
    <w:rsid w:val="00257A5A"/>
    <w:rsid w:val="00260D4C"/>
    <w:rsid w:val="002615A4"/>
    <w:rsid w:val="00262302"/>
    <w:rsid w:val="00263DE8"/>
    <w:rsid w:val="00263E8F"/>
    <w:rsid w:val="00263F3A"/>
    <w:rsid w:val="00264164"/>
    <w:rsid w:val="00264347"/>
    <w:rsid w:val="002648E3"/>
    <w:rsid w:val="00264F2B"/>
    <w:rsid w:val="00265232"/>
    <w:rsid w:val="00265917"/>
    <w:rsid w:val="00265FE0"/>
    <w:rsid w:val="002703B5"/>
    <w:rsid w:val="00270616"/>
    <w:rsid w:val="00270FAD"/>
    <w:rsid w:val="00272B59"/>
    <w:rsid w:val="00272B87"/>
    <w:rsid w:val="00272D9F"/>
    <w:rsid w:val="00273176"/>
    <w:rsid w:val="00273F9E"/>
    <w:rsid w:val="002747DD"/>
    <w:rsid w:val="00276836"/>
    <w:rsid w:val="00276CF2"/>
    <w:rsid w:val="00277F5A"/>
    <w:rsid w:val="00280782"/>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18"/>
    <w:rsid w:val="002916DB"/>
    <w:rsid w:val="002924FD"/>
    <w:rsid w:val="00292DA5"/>
    <w:rsid w:val="002940C2"/>
    <w:rsid w:val="00294C62"/>
    <w:rsid w:val="002953C2"/>
    <w:rsid w:val="00295626"/>
    <w:rsid w:val="00296B9C"/>
    <w:rsid w:val="00297C39"/>
    <w:rsid w:val="002A0849"/>
    <w:rsid w:val="002A33CE"/>
    <w:rsid w:val="002A3612"/>
    <w:rsid w:val="002A3643"/>
    <w:rsid w:val="002A366D"/>
    <w:rsid w:val="002A36E7"/>
    <w:rsid w:val="002A3CEB"/>
    <w:rsid w:val="002A4B7D"/>
    <w:rsid w:val="002A56A7"/>
    <w:rsid w:val="002A6173"/>
    <w:rsid w:val="002A64CF"/>
    <w:rsid w:val="002A6629"/>
    <w:rsid w:val="002A7C8A"/>
    <w:rsid w:val="002B008D"/>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C064C"/>
    <w:rsid w:val="002C15DA"/>
    <w:rsid w:val="002C1FD0"/>
    <w:rsid w:val="002C26C7"/>
    <w:rsid w:val="002C446F"/>
    <w:rsid w:val="002C4612"/>
    <w:rsid w:val="002C47DA"/>
    <w:rsid w:val="002C503A"/>
    <w:rsid w:val="002C65AC"/>
    <w:rsid w:val="002C6B31"/>
    <w:rsid w:val="002C785E"/>
    <w:rsid w:val="002D0356"/>
    <w:rsid w:val="002D1230"/>
    <w:rsid w:val="002D19A2"/>
    <w:rsid w:val="002D2C1C"/>
    <w:rsid w:val="002D47BF"/>
    <w:rsid w:val="002D50D9"/>
    <w:rsid w:val="002D627A"/>
    <w:rsid w:val="002D6A9E"/>
    <w:rsid w:val="002D75EF"/>
    <w:rsid w:val="002D7837"/>
    <w:rsid w:val="002E3CAF"/>
    <w:rsid w:val="002E449A"/>
    <w:rsid w:val="002E4A22"/>
    <w:rsid w:val="002E5D06"/>
    <w:rsid w:val="002E74EF"/>
    <w:rsid w:val="002E7E14"/>
    <w:rsid w:val="002F0916"/>
    <w:rsid w:val="002F1439"/>
    <w:rsid w:val="002F1B97"/>
    <w:rsid w:val="002F3AA2"/>
    <w:rsid w:val="002F3BEB"/>
    <w:rsid w:val="002F53D1"/>
    <w:rsid w:val="00300507"/>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44D7"/>
    <w:rsid w:val="00315051"/>
    <w:rsid w:val="003161F3"/>
    <w:rsid w:val="00316ABB"/>
    <w:rsid w:val="003179B8"/>
    <w:rsid w:val="00320832"/>
    <w:rsid w:val="00320C55"/>
    <w:rsid w:val="0032202F"/>
    <w:rsid w:val="00323150"/>
    <w:rsid w:val="00324708"/>
    <w:rsid w:val="0032570B"/>
    <w:rsid w:val="003268F2"/>
    <w:rsid w:val="00330817"/>
    <w:rsid w:val="003308AF"/>
    <w:rsid w:val="00330A8F"/>
    <w:rsid w:val="00330DCA"/>
    <w:rsid w:val="00330EA0"/>
    <w:rsid w:val="00331503"/>
    <w:rsid w:val="003327BF"/>
    <w:rsid w:val="00332FB0"/>
    <w:rsid w:val="00333260"/>
    <w:rsid w:val="00333843"/>
    <w:rsid w:val="00333D9E"/>
    <w:rsid w:val="00333E38"/>
    <w:rsid w:val="00334FCA"/>
    <w:rsid w:val="0033576A"/>
    <w:rsid w:val="00335EFC"/>
    <w:rsid w:val="00335FCC"/>
    <w:rsid w:val="003360CE"/>
    <w:rsid w:val="00337294"/>
    <w:rsid w:val="0034148D"/>
    <w:rsid w:val="00342196"/>
    <w:rsid w:val="003441A0"/>
    <w:rsid w:val="00344350"/>
    <w:rsid w:val="00344393"/>
    <w:rsid w:val="00344595"/>
    <w:rsid w:val="00344EA6"/>
    <w:rsid w:val="003467A5"/>
    <w:rsid w:val="00346823"/>
    <w:rsid w:val="0034697D"/>
    <w:rsid w:val="0034732B"/>
    <w:rsid w:val="00347F37"/>
    <w:rsid w:val="0035003D"/>
    <w:rsid w:val="00350671"/>
    <w:rsid w:val="0035085F"/>
    <w:rsid w:val="00350D62"/>
    <w:rsid w:val="003513DB"/>
    <w:rsid w:val="00352743"/>
    <w:rsid w:val="003535E6"/>
    <w:rsid w:val="003542D2"/>
    <w:rsid w:val="00354595"/>
    <w:rsid w:val="00356734"/>
    <w:rsid w:val="003567C7"/>
    <w:rsid w:val="00356AD1"/>
    <w:rsid w:val="0035777C"/>
    <w:rsid w:val="00357DC8"/>
    <w:rsid w:val="00357E0B"/>
    <w:rsid w:val="00361012"/>
    <w:rsid w:val="003615B2"/>
    <w:rsid w:val="00361F10"/>
    <w:rsid w:val="0036411A"/>
    <w:rsid w:val="00365B20"/>
    <w:rsid w:val="00365F57"/>
    <w:rsid w:val="003675C8"/>
    <w:rsid w:val="003705E9"/>
    <w:rsid w:val="003725CC"/>
    <w:rsid w:val="00372D41"/>
    <w:rsid w:val="003737BF"/>
    <w:rsid w:val="00373C76"/>
    <w:rsid w:val="00374DEE"/>
    <w:rsid w:val="00374EE5"/>
    <w:rsid w:val="00374FE3"/>
    <w:rsid w:val="0037516F"/>
    <w:rsid w:val="0037543B"/>
    <w:rsid w:val="00376BB7"/>
    <w:rsid w:val="00380C40"/>
    <w:rsid w:val="00381705"/>
    <w:rsid w:val="003818AF"/>
    <w:rsid w:val="00382323"/>
    <w:rsid w:val="00384143"/>
    <w:rsid w:val="00384F51"/>
    <w:rsid w:val="0038521E"/>
    <w:rsid w:val="00385703"/>
    <w:rsid w:val="00386021"/>
    <w:rsid w:val="00386760"/>
    <w:rsid w:val="00387105"/>
    <w:rsid w:val="00387333"/>
    <w:rsid w:val="00391F19"/>
    <w:rsid w:val="0039222C"/>
    <w:rsid w:val="0039241A"/>
    <w:rsid w:val="003927C1"/>
    <w:rsid w:val="0039294F"/>
    <w:rsid w:val="00394451"/>
    <w:rsid w:val="0039467E"/>
    <w:rsid w:val="00395F83"/>
    <w:rsid w:val="00396286"/>
    <w:rsid w:val="003A0C0D"/>
    <w:rsid w:val="003A1B5B"/>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7B1"/>
    <w:rsid w:val="003D2CA5"/>
    <w:rsid w:val="003D3149"/>
    <w:rsid w:val="003D3EA8"/>
    <w:rsid w:val="003D5252"/>
    <w:rsid w:val="003D663A"/>
    <w:rsid w:val="003D6A75"/>
    <w:rsid w:val="003E0E5E"/>
    <w:rsid w:val="003E2267"/>
    <w:rsid w:val="003E237A"/>
    <w:rsid w:val="003E2B17"/>
    <w:rsid w:val="003E425C"/>
    <w:rsid w:val="003E4BC5"/>
    <w:rsid w:val="003E5086"/>
    <w:rsid w:val="003E67B3"/>
    <w:rsid w:val="003E6FC6"/>
    <w:rsid w:val="003E7124"/>
    <w:rsid w:val="003E7450"/>
    <w:rsid w:val="003F3C5A"/>
    <w:rsid w:val="003F3F98"/>
    <w:rsid w:val="003F4F6C"/>
    <w:rsid w:val="003F5257"/>
    <w:rsid w:val="003F664C"/>
    <w:rsid w:val="003F7E05"/>
    <w:rsid w:val="00400247"/>
    <w:rsid w:val="004008BE"/>
    <w:rsid w:val="004008E8"/>
    <w:rsid w:val="00400AFE"/>
    <w:rsid w:val="00400D6F"/>
    <w:rsid w:val="0040231A"/>
    <w:rsid w:val="00403122"/>
    <w:rsid w:val="004034E9"/>
    <w:rsid w:val="00404CBC"/>
    <w:rsid w:val="00405129"/>
    <w:rsid w:val="0040627F"/>
    <w:rsid w:val="004063F0"/>
    <w:rsid w:val="00407464"/>
    <w:rsid w:val="004075BE"/>
    <w:rsid w:val="0041180F"/>
    <w:rsid w:val="00411ACA"/>
    <w:rsid w:val="00411BD1"/>
    <w:rsid w:val="004140BF"/>
    <w:rsid w:val="00414ADC"/>
    <w:rsid w:val="004203C0"/>
    <w:rsid w:val="00420D59"/>
    <w:rsid w:val="00423C1B"/>
    <w:rsid w:val="004252E7"/>
    <w:rsid w:val="00425B36"/>
    <w:rsid w:val="00425BBF"/>
    <w:rsid w:val="004263A2"/>
    <w:rsid w:val="00427848"/>
    <w:rsid w:val="00427CB9"/>
    <w:rsid w:val="00433E3C"/>
    <w:rsid w:val="004351C7"/>
    <w:rsid w:val="00435288"/>
    <w:rsid w:val="004357D8"/>
    <w:rsid w:val="00435FCE"/>
    <w:rsid w:val="00436318"/>
    <w:rsid w:val="00436B74"/>
    <w:rsid w:val="00440459"/>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7098"/>
    <w:rsid w:val="00457935"/>
    <w:rsid w:val="00457C00"/>
    <w:rsid w:val="00460775"/>
    <w:rsid w:val="004612F7"/>
    <w:rsid w:val="0046196B"/>
    <w:rsid w:val="0046257C"/>
    <w:rsid w:val="0046273F"/>
    <w:rsid w:val="0046286C"/>
    <w:rsid w:val="00463064"/>
    <w:rsid w:val="00463FB7"/>
    <w:rsid w:val="004640D8"/>
    <w:rsid w:val="00464893"/>
    <w:rsid w:val="004653BB"/>
    <w:rsid w:val="00466C11"/>
    <w:rsid w:val="00467265"/>
    <w:rsid w:val="00470774"/>
    <w:rsid w:val="0047335B"/>
    <w:rsid w:val="00474127"/>
    <w:rsid w:val="0048157D"/>
    <w:rsid w:val="00482106"/>
    <w:rsid w:val="004821FA"/>
    <w:rsid w:val="0048252D"/>
    <w:rsid w:val="00483834"/>
    <w:rsid w:val="00483B91"/>
    <w:rsid w:val="00483E00"/>
    <w:rsid w:val="00484A73"/>
    <w:rsid w:val="00484BB3"/>
    <w:rsid w:val="00484BB9"/>
    <w:rsid w:val="00485558"/>
    <w:rsid w:val="0048591D"/>
    <w:rsid w:val="00486728"/>
    <w:rsid w:val="00487CAB"/>
    <w:rsid w:val="004901C9"/>
    <w:rsid w:val="004905B9"/>
    <w:rsid w:val="00491083"/>
    <w:rsid w:val="00493BB7"/>
    <w:rsid w:val="00493E48"/>
    <w:rsid w:val="00495FB2"/>
    <w:rsid w:val="0049614B"/>
    <w:rsid w:val="00496902"/>
    <w:rsid w:val="004A028C"/>
    <w:rsid w:val="004A06DF"/>
    <w:rsid w:val="004A3014"/>
    <w:rsid w:val="004A3A49"/>
    <w:rsid w:val="004A4DC6"/>
    <w:rsid w:val="004A4EEC"/>
    <w:rsid w:val="004A5665"/>
    <w:rsid w:val="004A5F4E"/>
    <w:rsid w:val="004B0174"/>
    <w:rsid w:val="004B063C"/>
    <w:rsid w:val="004B2EEB"/>
    <w:rsid w:val="004B3413"/>
    <w:rsid w:val="004B43AC"/>
    <w:rsid w:val="004B5102"/>
    <w:rsid w:val="004B5435"/>
    <w:rsid w:val="004B5B77"/>
    <w:rsid w:val="004B5DC9"/>
    <w:rsid w:val="004B5DF1"/>
    <w:rsid w:val="004B6320"/>
    <w:rsid w:val="004B6E93"/>
    <w:rsid w:val="004B7205"/>
    <w:rsid w:val="004B7AC9"/>
    <w:rsid w:val="004C3FBC"/>
    <w:rsid w:val="004C570D"/>
    <w:rsid w:val="004C6488"/>
    <w:rsid w:val="004C72B5"/>
    <w:rsid w:val="004C77EE"/>
    <w:rsid w:val="004D2502"/>
    <w:rsid w:val="004D27B4"/>
    <w:rsid w:val="004D285A"/>
    <w:rsid w:val="004D2E2F"/>
    <w:rsid w:val="004D40D8"/>
    <w:rsid w:val="004D5228"/>
    <w:rsid w:val="004D58F1"/>
    <w:rsid w:val="004D61A5"/>
    <w:rsid w:val="004D6825"/>
    <w:rsid w:val="004D6F0F"/>
    <w:rsid w:val="004D6F55"/>
    <w:rsid w:val="004D78A3"/>
    <w:rsid w:val="004E11CB"/>
    <w:rsid w:val="004E21C8"/>
    <w:rsid w:val="004E3374"/>
    <w:rsid w:val="004E3B36"/>
    <w:rsid w:val="004E564C"/>
    <w:rsid w:val="004E5BEA"/>
    <w:rsid w:val="004E5E4C"/>
    <w:rsid w:val="004F1552"/>
    <w:rsid w:val="004F2FF4"/>
    <w:rsid w:val="004F529E"/>
    <w:rsid w:val="004F6699"/>
    <w:rsid w:val="004F6B5D"/>
    <w:rsid w:val="005003DA"/>
    <w:rsid w:val="00501EEA"/>
    <w:rsid w:val="005024A5"/>
    <w:rsid w:val="005024F5"/>
    <w:rsid w:val="00502870"/>
    <w:rsid w:val="005036D4"/>
    <w:rsid w:val="00504189"/>
    <w:rsid w:val="00504E21"/>
    <w:rsid w:val="005059D8"/>
    <w:rsid w:val="00505DBA"/>
    <w:rsid w:val="00506E1E"/>
    <w:rsid w:val="00507645"/>
    <w:rsid w:val="00507DB9"/>
    <w:rsid w:val="00507FFA"/>
    <w:rsid w:val="005105D4"/>
    <w:rsid w:val="00511410"/>
    <w:rsid w:val="0051605E"/>
    <w:rsid w:val="0051766F"/>
    <w:rsid w:val="005177BD"/>
    <w:rsid w:val="00521F32"/>
    <w:rsid w:val="005220EF"/>
    <w:rsid w:val="0052366F"/>
    <w:rsid w:val="00523C32"/>
    <w:rsid w:val="00524636"/>
    <w:rsid w:val="005268FE"/>
    <w:rsid w:val="00526E58"/>
    <w:rsid w:val="005277CB"/>
    <w:rsid w:val="00527F02"/>
    <w:rsid w:val="00530C72"/>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37BCF"/>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3221"/>
    <w:rsid w:val="00553AEA"/>
    <w:rsid w:val="00554371"/>
    <w:rsid w:val="0055467E"/>
    <w:rsid w:val="00557049"/>
    <w:rsid w:val="00560065"/>
    <w:rsid w:val="00561271"/>
    <w:rsid w:val="0056383C"/>
    <w:rsid w:val="005641C0"/>
    <w:rsid w:val="00565257"/>
    <w:rsid w:val="005652BD"/>
    <w:rsid w:val="00565650"/>
    <w:rsid w:val="0056581D"/>
    <w:rsid w:val="00565A68"/>
    <w:rsid w:val="005661A8"/>
    <w:rsid w:val="0057050B"/>
    <w:rsid w:val="005705CB"/>
    <w:rsid w:val="005737C3"/>
    <w:rsid w:val="00574A25"/>
    <w:rsid w:val="0057563D"/>
    <w:rsid w:val="0057572B"/>
    <w:rsid w:val="00576BC6"/>
    <w:rsid w:val="00576C19"/>
    <w:rsid w:val="005776D5"/>
    <w:rsid w:val="00577A08"/>
    <w:rsid w:val="00580F8A"/>
    <w:rsid w:val="005812E0"/>
    <w:rsid w:val="0058175D"/>
    <w:rsid w:val="00581EE6"/>
    <w:rsid w:val="0058293D"/>
    <w:rsid w:val="00583B2A"/>
    <w:rsid w:val="0058507E"/>
    <w:rsid w:val="00585725"/>
    <w:rsid w:val="00585E89"/>
    <w:rsid w:val="005879BD"/>
    <w:rsid w:val="005903E6"/>
    <w:rsid w:val="00590413"/>
    <w:rsid w:val="00590AFC"/>
    <w:rsid w:val="005916C0"/>
    <w:rsid w:val="005922F5"/>
    <w:rsid w:val="00593889"/>
    <w:rsid w:val="00593EB6"/>
    <w:rsid w:val="00594438"/>
    <w:rsid w:val="00595E6C"/>
    <w:rsid w:val="005A0080"/>
    <w:rsid w:val="005A04E5"/>
    <w:rsid w:val="005A1611"/>
    <w:rsid w:val="005A1716"/>
    <w:rsid w:val="005A2265"/>
    <w:rsid w:val="005A4699"/>
    <w:rsid w:val="005B043B"/>
    <w:rsid w:val="005B092C"/>
    <w:rsid w:val="005B12C6"/>
    <w:rsid w:val="005B1AC2"/>
    <w:rsid w:val="005B3E3F"/>
    <w:rsid w:val="005B4AEA"/>
    <w:rsid w:val="005B4FAC"/>
    <w:rsid w:val="005B61C4"/>
    <w:rsid w:val="005B6CD8"/>
    <w:rsid w:val="005B6EF5"/>
    <w:rsid w:val="005B70E8"/>
    <w:rsid w:val="005B7AA7"/>
    <w:rsid w:val="005B7D6F"/>
    <w:rsid w:val="005B7E33"/>
    <w:rsid w:val="005C048B"/>
    <w:rsid w:val="005C04A2"/>
    <w:rsid w:val="005C1072"/>
    <w:rsid w:val="005C1C6F"/>
    <w:rsid w:val="005C1E20"/>
    <w:rsid w:val="005C202D"/>
    <w:rsid w:val="005C2BCB"/>
    <w:rsid w:val="005C3311"/>
    <w:rsid w:val="005C5025"/>
    <w:rsid w:val="005C6958"/>
    <w:rsid w:val="005D0043"/>
    <w:rsid w:val="005D043E"/>
    <w:rsid w:val="005D1C82"/>
    <w:rsid w:val="005D2491"/>
    <w:rsid w:val="005D2500"/>
    <w:rsid w:val="005D2DB8"/>
    <w:rsid w:val="005D347D"/>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5AE1"/>
    <w:rsid w:val="005E6AA5"/>
    <w:rsid w:val="005E7A32"/>
    <w:rsid w:val="005F0563"/>
    <w:rsid w:val="005F06F0"/>
    <w:rsid w:val="005F0851"/>
    <w:rsid w:val="005F0CB8"/>
    <w:rsid w:val="005F2FFB"/>
    <w:rsid w:val="005F4076"/>
    <w:rsid w:val="005F40B3"/>
    <w:rsid w:val="005F5FBC"/>
    <w:rsid w:val="005F68E2"/>
    <w:rsid w:val="005F6AE5"/>
    <w:rsid w:val="006002B4"/>
    <w:rsid w:val="006008BF"/>
    <w:rsid w:val="00601A18"/>
    <w:rsid w:val="00602613"/>
    <w:rsid w:val="00603305"/>
    <w:rsid w:val="006035B9"/>
    <w:rsid w:val="00604177"/>
    <w:rsid w:val="00604611"/>
    <w:rsid w:val="00604788"/>
    <w:rsid w:val="006060BC"/>
    <w:rsid w:val="0060682C"/>
    <w:rsid w:val="00607593"/>
    <w:rsid w:val="006079E6"/>
    <w:rsid w:val="00611672"/>
    <w:rsid w:val="006116AA"/>
    <w:rsid w:val="006118A2"/>
    <w:rsid w:val="00611AB1"/>
    <w:rsid w:val="00611DD6"/>
    <w:rsid w:val="006125DE"/>
    <w:rsid w:val="00612B10"/>
    <w:rsid w:val="00612DF9"/>
    <w:rsid w:val="006156EA"/>
    <w:rsid w:val="00616C12"/>
    <w:rsid w:val="006201F3"/>
    <w:rsid w:val="00620B3E"/>
    <w:rsid w:val="00620E99"/>
    <w:rsid w:val="0062287A"/>
    <w:rsid w:val="00623265"/>
    <w:rsid w:val="00623804"/>
    <w:rsid w:val="00623BBF"/>
    <w:rsid w:val="00626A6C"/>
    <w:rsid w:val="00626E7D"/>
    <w:rsid w:val="00630044"/>
    <w:rsid w:val="006303A1"/>
    <w:rsid w:val="00631B52"/>
    <w:rsid w:val="00632AC8"/>
    <w:rsid w:val="0063349C"/>
    <w:rsid w:val="00633723"/>
    <w:rsid w:val="00636396"/>
    <w:rsid w:val="00640348"/>
    <w:rsid w:val="00643C50"/>
    <w:rsid w:val="00643C84"/>
    <w:rsid w:val="00644067"/>
    <w:rsid w:val="00644156"/>
    <w:rsid w:val="006443CC"/>
    <w:rsid w:val="006446F0"/>
    <w:rsid w:val="006449CF"/>
    <w:rsid w:val="00644AFF"/>
    <w:rsid w:val="00646565"/>
    <w:rsid w:val="00646E48"/>
    <w:rsid w:val="00647403"/>
    <w:rsid w:val="00647548"/>
    <w:rsid w:val="00647C06"/>
    <w:rsid w:val="00647C66"/>
    <w:rsid w:val="00647EDF"/>
    <w:rsid w:val="00650E77"/>
    <w:rsid w:val="00653E5F"/>
    <w:rsid w:val="00655E50"/>
    <w:rsid w:val="00656771"/>
    <w:rsid w:val="006567BB"/>
    <w:rsid w:val="00657F33"/>
    <w:rsid w:val="00663CBB"/>
    <w:rsid w:val="00664EEA"/>
    <w:rsid w:val="00665232"/>
    <w:rsid w:val="006653AB"/>
    <w:rsid w:val="00665612"/>
    <w:rsid w:val="0066567A"/>
    <w:rsid w:val="006660DA"/>
    <w:rsid w:val="00666C4F"/>
    <w:rsid w:val="00666D62"/>
    <w:rsid w:val="00670736"/>
    <w:rsid w:val="006728D8"/>
    <w:rsid w:val="00672EE4"/>
    <w:rsid w:val="006734BC"/>
    <w:rsid w:val="00673ADB"/>
    <w:rsid w:val="00673E68"/>
    <w:rsid w:val="00674BF3"/>
    <w:rsid w:val="00675187"/>
    <w:rsid w:val="00675367"/>
    <w:rsid w:val="006753E2"/>
    <w:rsid w:val="00675961"/>
    <w:rsid w:val="00675C69"/>
    <w:rsid w:val="00676336"/>
    <w:rsid w:val="00676E8C"/>
    <w:rsid w:val="00677308"/>
    <w:rsid w:val="00677311"/>
    <w:rsid w:val="006777B4"/>
    <w:rsid w:val="00680EF7"/>
    <w:rsid w:val="006813FC"/>
    <w:rsid w:val="006816F3"/>
    <w:rsid w:val="0068236C"/>
    <w:rsid w:val="0068375E"/>
    <w:rsid w:val="00683FD1"/>
    <w:rsid w:val="00684452"/>
    <w:rsid w:val="00685606"/>
    <w:rsid w:val="00686BC1"/>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28B2"/>
    <w:rsid w:val="006A35FB"/>
    <w:rsid w:val="006A37A4"/>
    <w:rsid w:val="006A3A92"/>
    <w:rsid w:val="006A3D3F"/>
    <w:rsid w:val="006A3ECD"/>
    <w:rsid w:val="006A4280"/>
    <w:rsid w:val="006A4689"/>
    <w:rsid w:val="006A4A4B"/>
    <w:rsid w:val="006A4E88"/>
    <w:rsid w:val="006A6B3F"/>
    <w:rsid w:val="006A70C4"/>
    <w:rsid w:val="006B15D8"/>
    <w:rsid w:val="006B2167"/>
    <w:rsid w:val="006B2E73"/>
    <w:rsid w:val="006B3F11"/>
    <w:rsid w:val="006B43A2"/>
    <w:rsid w:val="006B43ED"/>
    <w:rsid w:val="006B494F"/>
    <w:rsid w:val="006B69BF"/>
    <w:rsid w:val="006B6B64"/>
    <w:rsid w:val="006B6CF9"/>
    <w:rsid w:val="006B79A4"/>
    <w:rsid w:val="006B7CE4"/>
    <w:rsid w:val="006C0D1D"/>
    <w:rsid w:val="006C115A"/>
    <w:rsid w:val="006C1B86"/>
    <w:rsid w:val="006C2E50"/>
    <w:rsid w:val="006C3812"/>
    <w:rsid w:val="006C41C5"/>
    <w:rsid w:val="006C5B40"/>
    <w:rsid w:val="006C6143"/>
    <w:rsid w:val="006C6D19"/>
    <w:rsid w:val="006D0991"/>
    <w:rsid w:val="006D22F6"/>
    <w:rsid w:val="006D35E3"/>
    <w:rsid w:val="006D41BE"/>
    <w:rsid w:val="006D4355"/>
    <w:rsid w:val="006D5D40"/>
    <w:rsid w:val="006D5FDD"/>
    <w:rsid w:val="006D71E6"/>
    <w:rsid w:val="006D7F41"/>
    <w:rsid w:val="006E0986"/>
    <w:rsid w:val="006E1044"/>
    <w:rsid w:val="006E2197"/>
    <w:rsid w:val="006E304C"/>
    <w:rsid w:val="006E3AEB"/>
    <w:rsid w:val="006E3D51"/>
    <w:rsid w:val="006E3F42"/>
    <w:rsid w:val="006E4D5D"/>
    <w:rsid w:val="006E4F72"/>
    <w:rsid w:val="006E60BB"/>
    <w:rsid w:val="006E6845"/>
    <w:rsid w:val="006E769B"/>
    <w:rsid w:val="006E7CF8"/>
    <w:rsid w:val="006E7D01"/>
    <w:rsid w:val="006F0937"/>
    <w:rsid w:val="006F1C67"/>
    <w:rsid w:val="006F2532"/>
    <w:rsid w:val="006F2DBA"/>
    <w:rsid w:val="006F2EA2"/>
    <w:rsid w:val="006F2FEC"/>
    <w:rsid w:val="006F30E7"/>
    <w:rsid w:val="006F40F9"/>
    <w:rsid w:val="006F5B94"/>
    <w:rsid w:val="006F6931"/>
    <w:rsid w:val="006F7401"/>
    <w:rsid w:val="006F74A0"/>
    <w:rsid w:val="006F7F56"/>
    <w:rsid w:val="00700CEA"/>
    <w:rsid w:val="00702174"/>
    <w:rsid w:val="007022A7"/>
    <w:rsid w:val="00702986"/>
    <w:rsid w:val="0070332A"/>
    <w:rsid w:val="00703996"/>
    <w:rsid w:val="00703A3F"/>
    <w:rsid w:val="00705F16"/>
    <w:rsid w:val="00707130"/>
    <w:rsid w:val="00707A22"/>
    <w:rsid w:val="00711E98"/>
    <w:rsid w:val="00712CE1"/>
    <w:rsid w:val="0071419A"/>
    <w:rsid w:val="0071684D"/>
    <w:rsid w:val="0071685B"/>
    <w:rsid w:val="00716A40"/>
    <w:rsid w:val="00716FF7"/>
    <w:rsid w:val="0071773C"/>
    <w:rsid w:val="00720781"/>
    <w:rsid w:val="007227E4"/>
    <w:rsid w:val="00723617"/>
    <w:rsid w:val="007236E6"/>
    <w:rsid w:val="00723853"/>
    <w:rsid w:val="00724238"/>
    <w:rsid w:val="00724B4F"/>
    <w:rsid w:val="007250D8"/>
    <w:rsid w:val="007252CF"/>
    <w:rsid w:val="0072585E"/>
    <w:rsid w:val="00725963"/>
    <w:rsid w:val="00731B50"/>
    <w:rsid w:val="00731C61"/>
    <w:rsid w:val="00731D11"/>
    <w:rsid w:val="00731FC4"/>
    <w:rsid w:val="0073635E"/>
    <w:rsid w:val="007364FE"/>
    <w:rsid w:val="007369F8"/>
    <w:rsid w:val="00737604"/>
    <w:rsid w:val="00737AB3"/>
    <w:rsid w:val="00740957"/>
    <w:rsid w:val="00741150"/>
    <w:rsid w:val="00741E04"/>
    <w:rsid w:val="00742C89"/>
    <w:rsid w:val="00742ED6"/>
    <w:rsid w:val="00743CB7"/>
    <w:rsid w:val="0074461A"/>
    <w:rsid w:val="00745277"/>
    <w:rsid w:val="0074681A"/>
    <w:rsid w:val="00747B76"/>
    <w:rsid w:val="00747E9C"/>
    <w:rsid w:val="00747F31"/>
    <w:rsid w:val="007536E4"/>
    <w:rsid w:val="0075396C"/>
    <w:rsid w:val="00753C4E"/>
    <w:rsid w:val="007544BA"/>
    <w:rsid w:val="00754655"/>
    <w:rsid w:val="0075578A"/>
    <w:rsid w:val="007558A2"/>
    <w:rsid w:val="00756B6F"/>
    <w:rsid w:val="00757775"/>
    <w:rsid w:val="00761288"/>
    <w:rsid w:val="00761C9F"/>
    <w:rsid w:val="00761DCE"/>
    <w:rsid w:val="00762AA1"/>
    <w:rsid w:val="00763BFE"/>
    <w:rsid w:val="007640CB"/>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5911"/>
    <w:rsid w:val="00775DD0"/>
    <w:rsid w:val="00775E8C"/>
    <w:rsid w:val="0077636A"/>
    <w:rsid w:val="007824B8"/>
    <w:rsid w:val="00782840"/>
    <w:rsid w:val="00782D41"/>
    <w:rsid w:val="0078469E"/>
    <w:rsid w:val="00785361"/>
    <w:rsid w:val="007875CC"/>
    <w:rsid w:val="0079064B"/>
    <w:rsid w:val="00791546"/>
    <w:rsid w:val="00791C84"/>
    <w:rsid w:val="00792866"/>
    <w:rsid w:val="007933DC"/>
    <w:rsid w:val="00793844"/>
    <w:rsid w:val="007966A5"/>
    <w:rsid w:val="0079713A"/>
    <w:rsid w:val="00797EE1"/>
    <w:rsid w:val="007A0881"/>
    <w:rsid w:val="007A1B83"/>
    <w:rsid w:val="007A1C41"/>
    <w:rsid w:val="007A2647"/>
    <w:rsid w:val="007A2C9E"/>
    <w:rsid w:val="007A478F"/>
    <w:rsid w:val="007A4B96"/>
    <w:rsid w:val="007A4F71"/>
    <w:rsid w:val="007A6461"/>
    <w:rsid w:val="007A70AB"/>
    <w:rsid w:val="007A761B"/>
    <w:rsid w:val="007A7D2F"/>
    <w:rsid w:val="007B0EC1"/>
    <w:rsid w:val="007B103A"/>
    <w:rsid w:val="007B193D"/>
    <w:rsid w:val="007B28FC"/>
    <w:rsid w:val="007B4115"/>
    <w:rsid w:val="007B42FD"/>
    <w:rsid w:val="007B4479"/>
    <w:rsid w:val="007B4D3B"/>
    <w:rsid w:val="007B503B"/>
    <w:rsid w:val="007C1630"/>
    <w:rsid w:val="007C20EB"/>
    <w:rsid w:val="007C36C5"/>
    <w:rsid w:val="007C3F16"/>
    <w:rsid w:val="007C442F"/>
    <w:rsid w:val="007C4AB8"/>
    <w:rsid w:val="007C72CD"/>
    <w:rsid w:val="007C7EFF"/>
    <w:rsid w:val="007C7FA6"/>
    <w:rsid w:val="007D04E9"/>
    <w:rsid w:val="007D1555"/>
    <w:rsid w:val="007D175E"/>
    <w:rsid w:val="007D3A34"/>
    <w:rsid w:val="007D3A80"/>
    <w:rsid w:val="007D43D8"/>
    <w:rsid w:val="007D4AF8"/>
    <w:rsid w:val="007D51A9"/>
    <w:rsid w:val="007D6A0B"/>
    <w:rsid w:val="007D6D08"/>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1159"/>
    <w:rsid w:val="007F2C9F"/>
    <w:rsid w:val="007F2F78"/>
    <w:rsid w:val="007F3F0D"/>
    <w:rsid w:val="007F4789"/>
    <w:rsid w:val="007F5D4D"/>
    <w:rsid w:val="007F70DF"/>
    <w:rsid w:val="00801622"/>
    <w:rsid w:val="00802195"/>
    <w:rsid w:val="008027B2"/>
    <w:rsid w:val="00802940"/>
    <w:rsid w:val="0080388E"/>
    <w:rsid w:val="00804316"/>
    <w:rsid w:val="0080452D"/>
    <w:rsid w:val="008049BF"/>
    <w:rsid w:val="008059FE"/>
    <w:rsid w:val="008060E2"/>
    <w:rsid w:val="00806CA0"/>
    <w:rsid w:val="00806F82"/>
    <w:rsid w:val="0080777A"/>
    <w:rsid w:val="00807E2B"/>
    <w:rsid w:val="00811133"/>
    <w:rsid w:val="008121E0"/>
    <w:rsid w:val="00812E86"/>
    <w:rsid w:val="0081350C"/>
    <w:rsid w:val="00815F96"/>
    <w:rsid w:val="0081657E"/>
    <w:rsid w:val="00816946"/>
    <w:rsid w:val="00816DB9"/>
    <w:rsid w:val="00817BB3"/>
    <w:rsid w:val="008203CD"/>
    <w:rsid w:val="0082111B"/>
    <w:rsid w:val="00821C02"/>
    <w:rsid w:val="0082373B"/>
    <w:rsid w:val="00823D2D"/>
    <w:rsid w:val="00825A24"/>
    <w:rsid w:val="00825F2E"/>
    <w:rsid w:val="00826030"/>
    <w:rsid w:val="0082772D"/>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3806"/>
    <w:rsid w:val="00844352"/>
    <w:rsid w:val="008446E6"/>
    <w:rsid w:val="00851793"/>
    <w:rsid w:val="00851B00"/>
    <w:rsid w:val="008522D3"/>
    <w:rsid w:val="0085259B"/>
    <w:rsid w:val="0085270C"/>
    <w:rsid w:val="00853096"/>
    <w:rsid w:val="0085392C"/>
    <w:rsid w:val="0085417A"/>
    <w:rsid w:val="00854AB8"/>
    <w:rsid w:val="0085665E"/>
    <w:rsid w:val="00856BC0"/>
    <w:rsid w:val="008570C2"/>
    <w:rsid w:val="0085717B"/>
    <w:rsid w:val="008576FB"/>
    <w:rsid w:val="00857E8A"/>
    <w:rsid w:val="00861E51"/>
    <w:rsid w:val="008620A3"/>
    <w:rsid w:val="008637A2"/>
    <w:rsid w:val="0086394E"/>
    <w:rsid w:val="0086541A"/>
    <w:rsid w:val="00865E4A"/>
    <w:rsid w:val="00865FB3"/>
    <w:rsid w:val="00866611"/>
    <w:rsid w:val="00866755"/>
    <w:rsid w:val="008678E6"/>
    <w:rsid w:val="00867ACE"/>
    <w:rsid w:val="00867B5A"/>
    <w:rsid w:val="00870AE8"/>
    <w:rsid w:val="00870D62"/>
    <w:rsid w:val="008712BB"/>
    <w:rsid w:val="008752B0"/>
    <w:rsid w:val="0087657B"/>
    <w:rsid w:val="008774F2"/>
    <w:rsid w:val="00880545"/>
    <w:rsid w:val="00881333"/>
    <w:rsid w:val="00881E20"/>
    <w:rsid w:val="00883CC1"/>
    <w:rsid w:val="0088453E"/>
    <w:rsid w:val="008861A0"/>
    <w:rsid w:val="008864E5"/>
    <w:rsid w:val="00886FCF"/>
    <w:rsid w:val="008918DD"/>
    <w:rsid w:val="00894076"/>
    <w:rsid w:val="0089545E"/>
    <w:rsid w:val="0089572B"/>
    <w:rsid w:val="00895DC9"/>
    <w:rsid w:val="00897792"/>
    <w:rsid w:val="008A07EA"/>
    <w:rsid w:val="008A10DA"/>
    <w:rsid w:val="008A2914"/>
    <w:rsid w:val="008A47E2"/>
    <w:rsid w:val="008A6515"/>
    <w:rsid w:val="008A721C"/>
    <w:rsid w:val="008B0E39"/>
    <w:rsid w:val="008B1C1E"/>
    <w:rsid w:val="008B1FC2"/>
    <w:rsid w:val="008B2A13"/>
    <w:rsid w:val="008B321B"/>
    <w:rsid w:val="008B3D62"/>
    <w:rsid w:val="008B577D"/>
    <w:rsid w:val="008B66A9"/>
    <w:rsid w:val="008B7143"/>
    <w:rsid w:val="008B7315"/>
    <w:rsid w:val="008C266F"/>
    <w:rsid w:val="008C287F"/>
    <w:rsid w:val="008C2AC9"/>
    <w:rsid w:val="008C2FE1"/>
    <w:rsid w:val="008C3877"/>
    <w:rsid w:val="008C5B79"/>
    <w:rsid w:val="008C5C30"/>
    <w:rsid w:val="008C6230"/>
    <w:rsid w:val="008D0625"/>
    <w:rsid w:val="008D1017"/>
    <w:rsid w:val="008D2424"/>
    <w:rsid w:val="008D39E4"/>
    <w:rsid w:val="008D40B9"/>
    <w:rsid w:val="008D462F"/>
    <w:rsid w:val="008D6655"/>
    <w:rsid w:val="008D6989"/>
    <w:rsid w:val="008D6DD7"/>
    <w:rsid w:val="008D72F6"/>
    <w:rsid w:val="008E03A9"/>
    <w:rsid w:val="008E074D"/>
    <w:rsid w:val="008E1242"/>
    <w:rsid w:val="008E1B36"/>
    <w:rsid w:val="008E1CCE"/>
    <w:rsid w:val="008E1DB8"/>
    <w:rsid w:val="008E1E89"/>
    <w:rsid w:val="008E2AD3"/>
    <w:rsid w:val="008E4766"/>
    <w:rsid w:val="008E4BA9"/>
    <w:rsid w:val="008E55C8"/>
    <w:rsid w:val="008E641B"/>
    <w:rsid w:val="008E660A"/>
    <w:rsid w:val="008E6CE7"/>
    <w:rsid w:val="008F088E"/>
    <w:rsid w:val="008F1269"/>
    <w:rsid w:val="008F2EBE"/>
    <w:rsid w:val="008F3719"/>
    <w:rsid w:val="008F465E"/>
    <w:rsid w:val="008F5231"/>
    <w:rsid w:val="008F524C"/>
    <w:rsid w:val="008F636C"/>
    <w:rsid w:val="008F656F"/>
    <w:rsid w:val="008F7CD9"/>
    <w:rsid w:val="008F7D8F"/>
    <w:rsid w:val="00900236"/>
    <w:rsid w:val="009006FB"/>
    <w:rsid w:val="00900739"/>
    <w:rsid w:val="0090075B"/>
    <w:rsid w:val="00900AF3"/>
    <w:rsid w:val="00902324"/>
    <w:rsid w:val="00902B26"/>
    <w:rsid w:val="00903566"/>
    <w:rsid w:val="00903CA5"/>
    <w:rsid w:val="00904168"/>
    <w:rsid w:val="00904E61"/>
    <w:rsid w:val="009054EC"/>
    <w:rsid w:val="00905D0A"/>
    <w:rsid w:val="00906109"/>
    <w:rsid w:val="00907198"/>
    <w:rsid w:val="00907515"/>
    <w:rsid w:val="00907FC3"/>
    <w:rsid w:val="0091095B"/>
    <w:rsid w:val="009114CD"/>
    <w:rsid w:val="009126EB"/>
    <w:rsid w:val="00912751"/>
    <w:rsid w:val="0091418B"/>
    <w:rsid w:val="00914613"/>
    <w:rsid w:val="00914CDE"/>
    <w:rsid w:val="009157AA"/>
    <w:rsid w:val="00916665"/>
    <w:rsid w:val="009173EB"/>
    <w:rsid w:val="009201D8"/>
    <w:rsid w:val="0092033C"/>
    <w:rsid w:val="00920814"/>
    <w:rsid w:val="00920B30"/>
    <w:rsid w:val="0092101B"/>
    <w:rsid w:val="00921A55"/>
    <w:rsid w:val="009262BD"/>
    <w:rsid w:val="009305DD"/>
    <w:rsid w:val="009310B7"/>
    <w:rsid w:val="009312E9"/>
    <w:rsid w:val="009318C1"/>
    <w:rsid w:val="00931D38"/>
    <w:rsid w:val="0093359E"/>
    <w:rsid w:val="009336A9"/>
    <w:rsid w:val="00933A2B"/>
    <w:rsid w:val="00933EC4"/>
    <w:rsid w:val="00934AC2"/>
    <w:rsid w:val="00934F25"/>
    <w:rsid w:val="0093535A"/>
    <w:rsid w:val="0093581E"/>
    <w:rsid w:val="00936289"/>
    <w:rsid w:val="009369A2"/>
    <w:rsid w:val="009372F2"/>
    <w:rsid w:val="00937376"/>
    <w:rsid w:val="00937A3A"/>
    <w:rsid w:val="00937D81"/>
    <w:rsid w:val="00940623"/>
    <w:rsid w:val="00945742"/>
    <w:rsid w:val="009457C2"/>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0667"/>
    <w:rsid w:val="009623AE"/>
    <w:rsid w:val="00962B70"/>
    <w:rsid w:val="0096321B"/>
    <w:rsid w:val="00963B34"/>
    <w:rsid w:val="00965461"/>
    <w:rsid w:val="009659B1"/>
    <w:rsid w:val="009659C6"/>
    <w:rsid w:val="00965C5B"/>
    <w:rsid w:val="009673AF"/>
    <w:rsid w:val="009675FA"/>
    <w:rsid w:val="009701D0"/>
    <w:rsid w:val="009707CC"/>
    <w:rsid w:val="00970943"/>
    <w:rsid w:val="00970E88"/>
    <w:rsid w:val="00972E8F"/>
    <w:rsid w:val="009736ED"/>
    <w:rsid w:val="00975313"/>
    <w:rsid w:val="009761D8"/>
    <w:rsid w:val="009761F7"/>
    <w:rsid w:val="009765DD"/>
    <w:rsid w:val="009768F3"/>
    <w:rsid w:val="00976C24"/>
    <w:rsid w:val="009771C4"/>
    <w:rsid w:val="009818D6"/>
    <w:rsid w:val="00982D21"/>
    <w:rsid w:val="00983948"/>
    <w:rsid w:val="0098411C"/>
    <w:rsid w:val="009853BF"/>
    <w:rsid w:val="009857D8"/>
    <w:rsid w:val="009874B5"/>
    <w:rsid w:val="009877E6"/>
    <w:rsid w:val="00987E07"/>
    <w:rsid w:val="00987EF3"/>
    <w:rsid w:val="009935BC"/>
    <w:rsid w:val="009941FA"/>
    <w:rsid w:val="009948FF"/>
    <w:rsid w:val="00995C4E"/>
    <w:rsid w:val="00995F7A"/>
    <w:rsid w:val="009961D7"/>
    <w:rsid w:val="00996E99"/>
    <w:rsid w:val="009973AE"/>
    <w:rsid w:val="00997848"/>
    <w:rsid w:val="00997F61"/>
    <w:rsid w:val="009A0761"/>
    <w:rsid w:val="009A443F"/>
    <w:rsid w:val="009A45A4"/>
    <w:rsid w:val="009A53FB"/>
    <w:rsid w:val="009A5B53"/>
    <w:rsid w:val="009A6954"/>
    <w:rsid w:val="009B114A"/>
    <w:rsid w:val="009B1468"/>
    <w:rsid w:val="009B1B60"/>
    <w:rsid w:val="009B20E1"/>
    <w:rsid w:val="009B2404"/>
    <w:rsid w:val="009B355C"/>
    <w:rsid w:val="009B3EA3"/>
    <w:rsid w:val="009B5445"/>
    <w:rsid w:val="009B5C12"/>
    <w:rsid w:val="009B6AB0"/>
    <w:rsid w:val="009B6E4F"/>
    <w:rsid w:val="009B74C0"/>
    <w:rsid w:val="009B76ED"/>
    <w:rsid w:val="009B7C97"/>
    <w:rsid w:val="009C06F9"/>
    <w:rsid w:val="009C154D"/>
    <w:rsid w:val="009C1762"/>
    <w:rsid w:val="009C2367"/>
    <w:rsid w:val="009C272E"/>
    <w:rsid w:val="009C3E9C"/>
    <w:rsid w:val="009C5216"/>
    <w:rsid w:val="009C6192"/>
    <w:rsid w:val="009C65DF"/>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3F50"/>
    <w:rsid w:val="009E4569"/>
    <w:rsid w:val="009E4E85"/>
    <w:rsid w:val="009E50AF"/>
    <w:rsid w:val="009E5F38"/>
    <w:rsid w:val="009E63C7"/>
    <w:rsid w:val="009E6C85"/>
    <w:rsid w:val="009E6DE3"/>
    <w:rsid w:val="009F098C"/>
    <w:rsid w:val="009F09B8"/>
    <w:rsid w:val="009F0F48"/>
    <w:rsid w:val="009F15EA"/>
    <w:rsid w:val="009F1B69"/>
    <w:rsid w:val="009F2365"/>
    <w:rsid w:val="009F27F6"/>
    <w:rsid w:val="009F302A"/>
    <w:rsid w:val="009F36C6"/>
    <w:rsid w:val="009F5B9F"/>
    <w:rsid w:val="00A003BF"/>
    <w:rsid w:val="00A0243B"/>
    <w:rsid w:val="00A024CE"/>
    <w:rsid w:val="00A03548"/>
    <w:rsid w:val="00A04E2D"/>
    <w:rsid w:val="00A05516"/>
    <w:rsid w:val="00A05EC1"/>
    <w:rsid w:val="00A05EF9"/>
    <w:rsid w:val="00A10E5E"/>
    <w:rsid w:val="00A111FB"/>
    <w:rsid w:val="00A12752"/>
    <w:rsid w:val="00A12856"/>
    <w:rsid w:val="00A12E9E"/>
    <w:rsid w:val="00A13B10"/>
    <w:rsid w:val="00A13B22"/>
    <w:rsid w:val="00A15BDB"/>
    <w:rsid w:val="00A161F7"/>
    <w:rsid w:val="00A16AF6"/>
    <w:rsid w:val="00A170BC"/>
    <w:rsid w:val="00A17B7E"/>
    <w:rsid w:val="00A17F6B"/>
    <w:rsid w:val="00A2060E"/>
    <w:rsid w:val="00A20C5A"/>
    <w:rsid w:val="00A218AC"/>
    <w:rsid w:val="00A23B93"/>
    <w:rsid w:val="00A2408F"/>
    <w:rsid w:val="00A24968"/>
    <w:rsid w:val="00A2506B"/>
    <w:rsid w:val="00A25DA5"/>
    <w:rsid w:val="00A261B4"/>
    <w:rsid w:val="00A26E64"/>
    <w:rsid w:val="00A305B3"/>
    <w:rsid w:val="00A30640"/>
    <w:rsid w:val="00A30A35"/>
    <w:rsid w:val="00A311EA"/>
    <w:rsid w:val="00A31A34"/>
    <w:rsid w:val="00A323B3"/>
    <w:rsid w:val="00A32A75"/>
    <w:rsid w:val="00A32B44"/>
    <w:rsid w:val="00A33CA7"/>
    <w:rsid w:val="00A351AE"/>
    <w:rsid w:val="00A3551C"/>
    <w:rsid w:val="00A379C9"/>
    <w:rsid w:val="00A4002A"/>
    <w:rsid w:val="00A405EE"/>
    <w:rsid w:val="00A40A2E"/>
    <w:rsid w:val="00A40D25"/>
    <w:rsid w:val="00A410E7"/>
    <w:rsid w:val="00A41884"/>
    <w:rsid w:val="00A420E8"/>
    <w:rsid w:val="00A42963"/>
    <w:rsid w:val="00A4477E"/>
    <w:rsid w:val="00A4500B"/>
    <w:rsid w:val="00A4563F"/>
    <w:rsid w:val="00A4589B"/>
    <w:rsid w:val="00A459FF"/>
    <w:rsid w:val="00A4662D"/>
    <w:rsid w:val="00A47125"/>
    <w:rsid w:val="00A52082"/>
    <w:rsid w:val="00A5303E"/>
    <w:rsid w:val="00A531D3"/>
    <w:rsid w:val="00A53872"/>
    <w:rsid w:val="00A53AB8"/>
    <w:rsid w:val="00A54AEC"/>
    <w:rsid w:val="00A54EAD"/>
    <w:rsid w:val="00A55095"/>
    <w:rsid w:val="00A5625D"/>
    <w:rsid w:val="00A5669E"/>
    <w:rsid w:val="00A56A43"/>
    <w:rsid w:val="00A601D3"/>
    <w:rsid w:val="00A602B6"/>
    <w:rsid w:val="00A605A5"/>
    <w:rsid w:val="00A61728"/>
    <w:rsid w:val="00A63414"/>
    <w:rsid w:val="00A637D4"/>
    <w:rsid w:val="00A638E1"/>
    <w:rsid w:val="00A64203"/>
    <w:rsid w:val="00A65DC2"/>
    <w:rsid w:val="00A65F5F"/>
    <w:rsid w:val="00A66596"/>
    <w:rsid w:val="00A67F10"/>
    <w:rsid w:val="00A707C8"/>
    <w:rsid w:val="00A71A83"/>
    <w:rsid w:val="00A7437C"/>
    <w:rsid w:val="00A8053D"/>
    <w:rsid w:val="00A80E0D"/>
    <w:rsid w:val="00A81221"/>
    <w:rsid w:val="00A82443"/>
    <w:rsid w:val="00A82773"/>
    <w:rsid w:val="00A831D7"/>
    <w:rsid w:val="00A8340F"/>
    <w:rsid w:val="00A83EDC"/>
    <w:rsid w:val="00A840E6"/>
    <w:rsid w:val="00A85DA0"/>
    <w:rsid w:val="00A871D2"/>
    <w:rsid w:val="00A87BFE"/>
    <w:rsid w:val="00A90048"/>
    <w:rsid w:val="00A905B6"/>
    <w:rsid w:val="00A920D8"/>
    <w:rsid w:val="00A95C7B"/>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7386"/>
    <w:rsid w:val="00AB751E"/>
    <w:rsid w:val="00AC01C4"/>
    <w:rsid w:val="00AC0C13"/>
    <w:rsid w:val="00AC1CBA"/>
    <w:rsid w:val="00AC2071"/>
    <w:rsid w:val="00AC2F0A"/>
    <w:rsid w:val="00AC34FC"/>
    <w:rsid w:val="00AC3C74"/>
    <w:rsid w:val="00AC42E9"/>
    <w:rsid w:val="00AC463D"/>
    <w:rsid w:val="00AC47AB"/>
    <w:rsid w:val="00AC47F0"/>
    <w:rsid w:val="00AC6837"/>
    <w:rsid w:val="00AD0118"/>
    <w:rsid w:val="00AD017A"/>
    <w:rsid w:val="00AD19ED"/>
    <w:rsid w:val="00AD2CA6"/>
    <w:rsid w:val="00AD3433"/>
    <w:rsid w:val="00AD3F5E"/>
    <w:rsid w:val="00AD5E64"/>
    <w:rsid w:val="00AD60D7"/>
    <w:rsid w:val="00AD6B28"/>
    <w:rsid w:val="00AD73C8"/>
    <w:rsid w:val="00AD77CD"/>
    <w:rsid w:val="00AE007C"/>
    <w:rsid w:val="00AE0CFF"/>
    <w:rsid w:val="00AE10E1"/>
    <w:rsid w:val="00AE1136"/>
    <w:rsid w:val="00AE1892"/>
    <w:rsid w:val="00AE1FDC"/>
    <w:rsid w:val="00AE3FA6"/>
    <w:rsid w:val="00AE46A3"/>
    <w:rsid w:val="00AE4867"/>
    <w:rsid w:val="00AE619A"/>
    <w:rsid w:val="00AF0BDD"/>
    <w:rsid w:val="00AF17E1"/>
    <w:rsid w:val="00AF238A"/>
    <w:rsid w:val="00AF341B"/>
    <w:rsid w:val="00AF3639"/>
    <w:rsid w:val="00AF7B97"/>
    <w:rsid w:val="00B0021E"/>
    <w:rsid w:val="00B00F3D"/>
    <w:rsid w:val="00B0193A"/>
    <w:rsid w:val="00B01FAC"/>
    <w:rsid w:val="00B021D7"/>
    <w:rsid w:val="00B02535"/>
    <w:rsid w:val="00B03994"/>
    <w:rsid w:val="00B04260"/>
    <w:rsid w:val="00B05A07"/>
    <w:rsid w:val="00B05DCE"/>
    <w:rsid w:val="00B065AB"/>
    <w:rsid w:val="00B06924"/>
    <w:rsid w:val="00B06A21"/>
    <w:rsid w:val="00B0716D"/>
    <w:rsid w:val="00B078A2"/>
    <w:rsid w:val="00B07D72"/>
    <w:rsid w:val="00B1007E"/>
    <w:rsid w:val="00B10247"/>
    <w:rsid w:val="00B117EB"/>
    <w:rsid w:val="00B11B28"/>
    <w:rsid w:val="00B11FF6"/>
    <w:rsid w:val="00B13804"/>
    <w:rsid w:val="00B1413A"/>
    <w:rsid w:val="00B15B2D"/>
    <w:rsid w:val="00B15BDD"/>
    <w:rsid w:val="00B15C36"/>
    <w:rsid w:val="00B15DE7"/>
    <w:rsid w:val="00B16E5C"/>
    <w:rsid w:val="00B171BA"/>
    <w:rsid w:val="00B17656"/>
    <w:rsid w:val="00B20C5F"/>
    <w:rsid w:val="00B21800"/>
    <w:rsid w:val="00B218E5"/>
    <w:rsid w:val="00B219F0"/>
    <w:rsid w:val="00B229E2"/>
    <w:rsid w:val="00B238D3"/>
    <w:rsid w:val="00B24B84"/>
    <w:rsid w:val="00B24BB5"/>
    <w:rsid w:val="00B254A3"/>
    <w:rsid w:val="00B26F93"/>
    <w:rsid w:val="00B275EC"/>
    <w:rsid w:val="00B27B9D"/>
    <w:rsid w:val="00B307CB"/>
    <w:rsid w:val="00B30CEA"/>
    <w:rsid w:val="00B31655"/>
    <w:rsid w:val="00B3171A"/>
    <w:rsid w:val="00B31D29"/>
    <w:rsid w:val="00B31F23"/>
    <w:rsid w:val="00B328B6"/>
    <w:rsid w:val="00B34006"/>
    <w:rsid w:val="00B345DC"/>
    <w:rsid w:val="00B34BA9"/>
    <w:rsid w:val="00B35C97"/>
    <w:rsid w:val="00B37F78"/>
    <w:rsid w:val="00B40538"/>
    <w:rsid w:val="00B41520"/>
    <w:rsid w:val="00B418BF"/>
    <w:rsid w:val="00B43991"/>
    <w:rsid w:val="00B43DB2"/>
    <w:rsid w:val="00B44A4C"/>
    <w:rsid w:val="00B4718E"/>
    <w:rsid w:val="00B47783"/>
    <w:rsid w:val="00B50B1D"/>
    <w:rsid w:val="00B53199"/>
    <w:rsid w:val="00B54E09"/>
    <w:rsid w:val="00B55E44"/>
    <w:rsid w:val="00B561C5"/>
    <w:rsid w:val="00B562DA"/>
    <w:rsid w:val="00B571FD"/>
    <w:rsid w:val="00B605EA"/>
    <w:rsid w:val="00B60D36"/>
    <w:rsid w:val="00B62FB6"/>
    <w:rsid w:val="00B647B5"/>
    <w:rsid w:val="00B65815"/>
    <w:rsid w:val="00B65E66"/>
    <w:rsid w:val="00B67889"/>
    <w:rsid w:val="00B67D15"/>
    <w:rsid w:val="00B70D19"/>
    <w:rsid w:val="00B723D0"/>
    <w:rsid w:val="00B739C5"/>
    <w:rsid w:val="00B76BCF"/>
    <w:rsid w:val="00B76E58"/>
    <w:rsid w:val="00B80008"/>
    <w:rsid w:val="00B8174A"/>
    <w:rsid w:val="00B82609"/>
    <w:rsid w:val="00B82733"/>
    <w:rsid w:val="00B830A8"/>
    <w:rsid w:val="00B83382"/>
    <w:rsid w:val="00B83C21"/>
    <w:rsid w:val="00B841FB"/>
    <w:rsid w:val="00B84D6C"/>
    <w:rsid w:val="00B85BC7"/>
    <w:rsid w:val="00B903CF"/>
    <w:rsid w:val="00B90557"/>
    <w:rsid w:val="00B932CD"/>
    <w:rsid w:val="00B9332C"/>
    <w:rsid w:val="00B937D8"/>
    <w:rsid w:val="00B93C45"/>
    <w:rsid w:val="00B94BF2"/>
    <w:rsid w:val="00B94CBC"/>
    <w:rsid w:val="00B95ABE"/>
    <w:rsid w:val="00B95DE7"/>
    <w:rsid w:val="00B974EE"/>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A7D13"/>
    <w:rsid w:val="00BB0883"/>
    <w:rsid w:val="00BB1421"/>
    <w:rsid w:val="00BB20B6"/>
    <w:rsid w:val="00BB3E17"/>
    <w:rsid w:val="00BB4A62"/>
    <w:rsid w:val="00BB4C3B"/>
    <w:rsid w:val="00BB58AA"/>
    <w:rsid w:val="00BB5EC1"/>
    <w:rsid w:val="00BB64C9"/>
    <w:rsid w:val="00BB68A7"/>
    <w:rsid w:val="00BB70B1"/>
    <w:rsid w:val="00BB71A7"/>
    <w:rsid w:val="00BB7BD4"/>
    <w:rsid w:val="00BC1257"/>
    <w:rsid w:val="00BC1D08"/>
    <w:rsid w:val="00BC1F3E"/>
    <w:rsid w:val="00BC418A"/>
    <w:rsid w:val="00BC442B"/>
    <w:rsid w:val="00BC44C4"/>
    <w:rsid w:val="00BC4ACE"/>
    <w:rsid w:val="00BC4FC4"/>
    <w:rsid w:val="00BC59D3"/>
    <w:rsid w:val="00BC5C8C"/>
    <w:rsid w:val="00BC706D"/>
    <w:rsid w:val="00BD0DB6"/>
    <w:rsid w:val="00BD2C7D"/>
    <w:rsid w:val="00BD302A"/>
    <w:rsid w:val="00BD3C1C"/>
    <w:rsid w:val="00BD3EA9"/>
    <w:rsid w:val="00BD4290"/>
    <w:rsid w:val="00BD554F"/>
    <w:rsid w:val="00BD6562"/>
    <w:rsid w:val="00BD6BBE"/>
    <w:rsid w:val="00BD6C62"/>
    <w:rsid w:val="00BE1BAD"/>
    <w:rsid w:val="00BE2405"/>
    <w:rsid w:val="00BE2CA7"/>
    <w:rsid w:val="00BE2D3F"/>
    <w:rsid w:val="00BE61F2"/>
    <w:rsid w:val="00BF0850"/>
    <w:rsid w:val="00BF311F"/>
    <w:rsid w:val="00BF4340"/>
    <w:rsid w:val="00BF664E"/>
    <w:rsid w:val="00BF72B7"/>
    <w:rsid w:val="00BF75A2"/>
    <w:rsid w:val="00BF79B1"/>
    <w:rsid w:val="00BF7DB7"/>
    <w:rsid w:val="00C004F0"/>
    <w:rsid w:val="00C01522"/>
    <w:rsid w:val="00C0394C"/>
    <w:rsid w:val="00C03E0C"/>
    <w:rsid w:val="00C04945"/>
    <w:rsid w:val="00C04FC5"/>
    <w:rsid w:val="00C05683"/>
    <w:rsid w:val="00C063E5"/>
    <w:rsid w:val="00C068B5"/>
    <w:rsid w:val="00C06DE2"/>
    <w:rsid w:val="00C07024"/>
    <w:rsid w:val="00C07381"/>
    <w:rsid w:val="00C07C60"/>
    <w:rsid w:val="00C119A2"/>
    <w:rsid w:val="00C123C8"/>
    <w:rsid w:val="00C1358F"/>
    <w:rsid w:val="00C13AA3"/>
    <w:rsid w:val="00C144F7"/>
    <w:rsid w:val="00C1506D"/>
    <w:rsid w:val="00C1516A"/>
    <w:rsid w:val="00C160B2"/>
    <w:rsid w:val="00C16C0D"/>
    <w:rsid w:val="00C17152"/>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4257"/>
    <w:rsid w:val="00C35021"/>
    <w:rsid w:val="00C35471"/>
    <w:rsid w:val="00C35EDB"/>
    <w:rsid w:val="00C366FC"/>
    <w:rsid w:val="00C372FB"/>
    <w:rsid w:val="00C3738A"/>
    <w:rsid w:val="00C375C2"/>
    <w:rsid w:val="00C4007C"/>
    <w:rsid w:val="00C402E2"/>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9DB"/>
    <w:rsid w:val="00C571EA"/>
    <w:rsid w:val="00C57864"/>
    <w:rsid w:val="00C64BCB"/>
    <w:rsid w:val="00C64F44"/>
    <w:rsid w:val="00C65C16"/>
    <w:rsid w:val="00C65F0F"/>
    <w:rsid w:val="00C662C0"/>
    <w:rsid w:val="00C66573"/>
    <w:rsid w:val="00C6672A"/>
    <w:rsid w:val="00C67C3F"/>
    <w:rsid w:val="00C72903"/>
    <w:rsid w:val="00C734E4"/>
    <w:rsid w:val="00C73A89"/>
    <w:rsid w:val="00C74BAF"/>
    <w:rsid w:val="00C74E57"/>
    <w:rsid w:val="00C75338"/>
    <w:rsid w:val="00C7540D"/>
    <w:rsid w:val="00C75F2A"/>
    <w:rsid w:val="00C764B8"/>
    <w:rsid w:val="00C7694C"/>
    <w:rsid w:val="00C77DC0"/>
    <w:rsid w:val="00C80FAC"/>
    <w:rsid w:val="00C8257E"/>
    <w:rsid w:val="00C825BE"/>
    <w:rsid w:val="00C82B84"/>
    <w:rsid w:val="00C83CF9"/>
    <w:rsid w:val="00C84BC9"/>
    <w:rsid w:val="00C84EC5"/>
    <w:rsid w:val="00C8528C"/>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4342"/>
    <w:rsid w:val="00C94A9A"/>
    <w:rsid w:val="00C94B67"/>
    <w:rsid w:val="00C9566C"/>
    <w:rsid w:val="00C956D9"/>
    <w:rsid w:val="00C968B2"/>
    <w:rsid w:val="00C96A0E"/>
    <w:rsid w:val="00C96CC7"/>
    <w:rsid w:val="00CA27AE"/>
    <w:rsid w:val="00CA3018"/>
    <w:rsid w:val="00CA3F6F"/>
    <w:rsid w:val="00CA4B17"/>
    <w:rsid w:val="00CA560B"/>
    <w:rsid w:val="00CA5B5F"/>
    <w:rsid w:val="00CA6A84"/>
    <w:rsid w:val="00CA7549"/>
    <w:rsid w:val="00CA7960"/>
    <w:rsid w:val="00CB2C32"/>
    <w:rsid w:val="00CB2EA8"/>
    <w:rsid w:val="00CB564D"/>
    <w:rsid w:val="00CB60AF"/>
    <w:rsid w:val="00CB6359"/>
    <w:rsid w:val="00CB6539"/>
    <w:rsid w:val="00CB6D76"/>
    <w:rsid w:val="00CB787F"/>
    <w:rsid w:val="00CC0245"/>
    <w:rsid w:val="00CC0E04"/>
    <w:rsid w:val="00CC10F7"/>
    <w:rsid w:val="00CC2136"/>
    <w:rsid w:val="00CC3038"/>
    <w:rsid w:val="00CC55FB"/>
    <w:rsid w:val="00CC6D8F"/>
    <w:rsid w:val="00CC770F"/>
    <w:rsid w:val="00CC77C2"/>
    <w:rsid w:val="00CC7DFB"/>
    <w:rsid w:val="00CD0BFA"/>
    <w:rsid w:val="00CD1EBF"/>
    <w:rsid w:val="00CD23A1"/>
    <w:rsid w:val="00CD2DA9"/>
    <w:rsid w:val="00CD2F4C"/>
    <w:rsid w:val="00CD3897"/>
    <w:rsid w:val="00CD427F"/>
    <w:rsid w:val="00CD43AC"/>
    <w:rsid w:val="00CD43E7"/>
    <w:rsid w:val="00CD4698"/>
    <w:rsid w:val="00CD48EF"/>
    <w:rsid w:val="00CD5558"/>
    <w:rsid w:val="00CD5F26"/>
    <w:rsid w:val="00CD6319"/>
    <w:rsid w:val="00CD71DB"/>
    <w:rsid w:val="00CE04AB"/>
    <w:rsid w:val="00CE4269"/>
    <w:rsid w:val="00CE53FC"/>
    <w:rsid w:val="00CE5C5E"/>
    <w:rsid w:val="00CE76CE"/>
    <w:rsid w:val="00CF1375"/>
    <w:rsid w:val="00CF3A57"/>
    <w:rsid w:val="00CF4185"/>
    <w:rsid w:val="00CF5635"/>
    <w:rsid w:val="00CF5DFF"/>
    <w:rsid w:val="00CF6943"/>
    <w:rsid w:val="00CF71E6"/>
    <w:rsid w:val="00CF7B2B"/>
    <w:rsid w:val="00CF7D03"/>
    <w:rsid w:val="00D027C9"/>
    <w:rsid w:val="00D02D19"/>
    <w:rsid w:val="00D035BA"/>
    <w:rsid w:val="00D04597"/>
    <w:rsid w:val="00D060E5"/>
    <w:rsid w:val="00D06843"/>
    <w:rsid w:val="00D068B8"/>
    <w:rsid w:val="00D06A5F"/>
    <w:rsid w:val="00D07D2C"/>
    <w:rsid w:val="00D104D4"/>
    <w:rsid w:val="00D11C3E"/>
    <w:rsid w:val="00D11F86"/>
    <w:rsid w:val="00D1369D"/>
    <w:rsid w:val="00D13ECA"/>
    <w:rsid w:val="00D157A7"/>
    <w:rsid w:val="00D15D89"/>
    <w:rsid w:val="00D16FDE"/>
    <w:rsid w:val="00D1774F"/>
    <w:rsid w:val="00D2028D"/>
    <w:rsid w:val="00D21257"/>
    <w:rsid w:val="00D21F02"/>
    <w:rsid w:val="00D21F04"/>
    <w:rsid w:val="00D2206A"/>
    <w:rsid w:val="00D23063"/>
    <w:rsid w:val="00D2319B"/>
    <w:rsid w:val="00D24902"/>
    <w:rsid w:val="00D24DC9"/>
    <w:rsid w:val="00D274AB"/>
    <w:rsid w:val="00D27ADC"/>
    <w:rsid w:val="00D311E6"/>
    <w:rsid w:val="00D31668"/>
    <w:rsid w:val="00D3168F"/>
    <w:rsid w:val="00D31A28"/>
    <w:rsid w:val="00D34939"/>
    <w:rsid w:val="00D36633"/>
    <w:rsid w:val="00D36A67"/>
    <w:rsid w:val="00D40B86"/>
    <w:rsid w:val="00D40C5C"/>
    <w:rsid w:val="00D4126F"/>
    <w:rsid w:val="00D435AD"/>
    <w:rsid w:val="00D442CA"/>
    <w:rsid w:val="00D46156"/>
    <w:rsid w:val="00D46D14"/>
    <w:rsid w:val="00D46F7B"/>
    <w:rsid w:val="00D47205"/>
    <w:rsid w:val="00D47FE0"/>
    <w:rsid w:val="00D5037D"/>
    <w:rsid w:val="00D509C7"/>
    <w:rsid w:val="00D5105E"/>
    <w:rsid w:val="00D5277C"/>
    <w:rsid w:val="00D537FB"/>
    <w:rsid w:val="00D54A29"/>
    <w:rsid w:val="00D5505F"/>
    <w:rsid w:val="00D5595F"/>
    <w:rsid w:val="00D56227"/>
    <w:rsid w:val="00D56397"/>
    <w:rsid w:val="00D571BB"/>
    <w:rsid w:val="00D574E2"/>
    <w:rsid w:val="00D61BD4"/>
    <w:rsid w:val="00D61C25"/>
    <w:rsid w:val="00D6319D"/>
    <w:rsid w:val="00D63F37"/>
    <w:rsid w:val="00D6400A"/>
    <w:rsid w:val="00D64BAB"/>
    <w:rsid w:val="00D64CC7"/>
    <w:rsid w:val="00D667C9"/>
    <w:rsid w:val="00D66E04"/>
    <w:rsid w:val="00D670E8"/>
    <w:rsid w:val="00D67582"/>
    <w:rsid w:val="00D67911"/>
    <w:rsid w:val="00D71484"/>
    <w:rsid w:val="00D71F94"/>
    <w:rsid w:val="00D7277A"/>
    <w:rsid w:val="00D72A53"/>
    <w:rsid w:val="00D745F2"/>
    <w:rsid w:val="00D74F1F"/>
    <w:rsid w:val="00D75233"/>
    <w:rsid w:val="00D754DB"/>
    <w:rsid w:val="00D760A5"/>
    <w:rsid w:val="00D76B60"/>
    <w:rsid w:val="00D76F94"/>
    <w:rsid w:val="00D812D6"/>
    <w:rsid w:val="00D82707"/>
    <w:rsid w:val="00D82855"/>
    <w:rsid w:val="00D8350B"/>
    <w:rsid w:val="00D83FAA"/>
    <w:rsid w:val="00D843A8"/>
    <w:rsid w:val="00D8589C"/>
    <w:rsid w:val="00D8725E"/>
    <w:rsid w:val="00D87745"/>
    <w:rsid w:val="00D9086D"/>
    <w:rsid w:val="00D90BE6"/>
    <w:rsid w:val="00D91A59"/>
    <w:rsid w:val="00D93079"/>
    <w:rsid w:val="00D94996"/>
    <w:rsid w:val="00D94D1C"/>
    <w:rsid w:val="00D94E2D"/>
    <w:rsid w:val="00D9526A"/>
    <w:rsid w:val="00D95286"/>
    <w:rsid w:val="00D96108"/>
    <w:rsid w:val="00D97250"/>
    <w:rsid w:val="00DA1B75"/>
    <w:rsid w:val="00DA2768"/>
    <w:rsid w:val="00DA339E"/>
    <w:rsid w:val="00DA35E9"/>
    <w:rsid w:val="00DA7089"/>
    <w:rsid w:val="00DB1C8D"/>
    <w:rsid w:val="00DB2B75"/>
    <w:rsid w:val="00DB3B22"/>
    <w:rsid w:val="00DB49F9"/>
    <w:rsid w:val="00DB570D"/>
    <w:rsid w:val="00DB580D"/>
    <w:rsid w:val="00DB605D"/>
    <w:rsid w:val="00DB63C8"/>
    <w:rsid w:val="00DB6A3F"/>
    <w:rsid w:val="00DC085C"/>
    <w:rsid w:val="00DC17AE"/>
    <w:rsid w:val="00DC20F0"/>
    <w:rsid w:val="00DC221A"/>
    <w:rsid w:val="00DC260D"/>
    <w:rsid w:val="00DC2A66"/>
    <w:rsid w:val="00DC2D36"/>
    <w:rsid w:val="00DC3414"/>
    <w:rsid w:val="00DC3FAF"/>
    <w:rsid w:val="00DC457D"/>
    <w:rsid w:val="00DC7213"/>
    <w:rsid w:val="00DC7387"/>
    <w:rsid w:val="00DC7EB9"/>
    <w:rsid w:val="00DD1D9F"/>
    <w:rsid w:val="00DD263D"/>
    <w:rsid w:val="00DD3887"/>
    <w:rsid w:val="00DD4293"/>
    <w:rsid w:val="00DD77D5"/>
    <w:rsid w:val="00DD78E3"/>
    <w:rsid w:val="00DE14C8"/>
    <w:rsid w:val="00DE24A5"/>
    <w:rsid w:val="00DE27BF"/>
    <w:rsid w:val="00DE3FD6"/>
    <w:rsid w:val="00DE468B"/>
    <w:rsid w:val="00DE4B96"/>
    <w:rsid w:val="00DE58E3"/>
    <w:rsid w:val="00DE5E07"/>
    <w:rsid w:val="00DE5E11"/>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61B0"/>
    <w:rsid w:val="00DF760C"/>
    <w:rsid w:val="00DF7B28"/>
    <w:rsid w:val="00DF7C2D"/>
    <w:rsid w:val="00E0049A"/>
    <w:rsid w:val="00E008AF"/>
    <w:rsid w:val="00E014FA"/>
    <w:rsid w:val="00E01F3B"/>
    <w:rsid w:val="00E0298C"/>
    <w:rsid w:val="00E02F7D"/>
    <w:rsid w:val="00E060AD"/>
    <w:rsid w:val="00E0736D"/>
    <w:rsid w:val="00E10233"/>
    <w:rsid w:val="00E105BA"/>
    <w:rsid w:val="00E1121F"/>
    <w:rsid w:val="00E11D8F"/>
    <w:rsid w:val="00E12D5A"/>
    <w:rsid w:val="00E138E1"/>
    <w:rsid w:val="00E13FE9"/>
    <w:rsid w:val="00E16346"/>
    <w:rsid w:val="00E16565"/>
    <w:rsid w:val="00E1707A"/>
    <w:rsid w:val="00E17803"/>
    <w:rsid w:val="00E17A9F"/>
    <w:rsid w:val="00E22B31"/>
    <w:rsid w:val="00E235EF"/>
    <w:rsid w:val="00E23D51"/>
    <w:rsid w:val="00E243F1"/>
    <w:rsid w:val="00E245FF"/>
    <w:rsid w:val="00E24CD9"/>
    <w:rsid w:val="00E265CB"/>
    <w:rsid w:val="00E26EA9"/>
    <w:rsid w:val="00E30D57"/>
    <w:rsid w:val="00E3156C"/>
    <w:rsid w:val="00E3224D"/>
    <w:rsid w:val="00E329B5"/>
    <w:rsid w:val="00E32EA3"/>
    <w:rsid w:val="00E34893"/>
    <w:rsid w:val="00E36282"/>
    <w:rsid w:val="00E3643B"/>
    <w:rsid w:val="00E37E28"/>
    <w:rsid w:val="00E415D4"/>
    <w:rsid w:val="00E41903"/>
    <w:rsid w:val="00E42517"/>
    <w:rsid w:val="00E42747"/>
    <w:rsid w:val="00E427BD"/>
    <w:rsid w:val="00E42AFF"/>
    <w:rsid w:val="00E42B46"/>
    <w:rsid w:val="00E43273"/>
    <w:rsid w:val="00E4353B"/>
    <w:rsid w:val="00E44522"/>
    <w:rsid w:val="00E446F6"/>
    <w:rsid w:val="00E44C4B"/>
    <w:rsid w:val="00E45FE3"/>
    <w:rsid w:val="00E46115"/>
    <w:rsid w:val="00E46D29"/>
    <w:rsid w:val="00E47221"/>
    <w:rsid w:val="00E47E5D"/>
    <w:rsid w:val="00E50F53"/>
    <w:rsid w:val="00E51702"/>
    <w:rsid w:val="00E527EA"/>
    <w:rsid w:val="00E529C7"/>
    <w:rsid w:val="00E52CA6"/>
    <w:rsid w:val="00E53357"/>
    <w:rsid w:val="00E535C6"/>
    <w:rsid w:val="00E536B2"/>
    <w:rsid w:val="00E53FC4"/>
    <w:rsid w:val="00E55A6A"/>
    <w:rsid w:val="00E55EE6"/>
    <w:rsid w:val="00E563E0"/>
    <w:rsid w:val="00E57E5D"/>
    <w:rsid w:val="00E617AF"/>
    <w:rsid w:val="00E61C81"/>
    <w:rsid w:val="00E62B24"/>
    <w:rsid w:val="00E63B6A"/>
    <w:rsid w:val="00E63E95"/>
    <w:rsid w:val="00E66160"/>
    <w:rsid w:val="00E663A3"/>
    <w:rsid w:val="00E668EB"/>
    <w:rsid w:val="00E67399"/>
    <w:rsid w:val="00E706C3"/>
    <w:rsid w:val="00E71A3A"/>
    <w:rsid w:val="00E727AE"/>
    <w:rsid w:val="00E7341C"/>
    <w:rsid w:val="00E73A1D"/>
    <w:rsid w:val="00E74795"/>
    <w:rsid w:val="00E75734"/>
    <w:rsid w:val="00E75C56"/>
    <w:rsid w:val="00E76167"/>
    <w:rsid w:val="00E76AB0"/>
    <w:rsid w:val="00E7744B"/>
    <w:rsid w:val="00E77B25"/>
    <w:rsid w:val="00E80550"/>
    <w:rsid w:val="00E818F2"/>
    <w:rsid w:val="00E823D1"/>
    <w:rsid w:val="00E827D3"/>
    <w:rsid w:val="00E83679"/>
    <w:rsid w:val="00E8377F"/>
    <w:rsid w:val="00E83F44"/>
    <w:rsid w:val="00E85043"/>
    <w:rsid w:val="00E85122"/>
    <w:rsid w:val="00E85911"/>
    <w:rsid w:val="00E8647A"/>
    <w:rsid w:val="00E86B1C"/>
    <w:rsid w:val="00E906FA"/>
    <w:rsid w:val="00E90717"/>
    <w:rsid w:val="00E955C3"/>
    <w:rsid w:val="00E965C4"/>
    <w:rsid w:val="00E966BC"/>
    <w:rsid w:val="00E96928"/>
    <w:rsid w:val="00E97381"/>
    <w:rsid w:val="00E97FE3"/>
    <w:rsid w:val="00EA0483"/>
    <w:rsid w:val="00EA05B8"/>
    <w:rsid w:val="00EA0FE2"/>
    <w:rsid w:val="00EA1CE2"/>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890"/>
    <w:rsid w:val="00EB7CF8"/>
    <w:rsid w:val="00EC046B"/>
    <w:rsid w:val="00EC1997"/>
    <w:rsid w:val="00EC4079"/>
    <w:rsid w:val="00EC52E7"/>
    <w:rsid w:val="00EC59E2"/>
    <w:rsid w:val="00EC69DE"/>
    <w:rsid w:val="00ED09BF"/>
    <w:rsid w:val="00ED15BB"/>
    <w:rsid w:val="00ED1975"/>
    <w:rsid w:val="00ED2485"/>
    <w:rsid w:val="00ED3D3E"/>
    <w:rsid w:val="00ED4EBE"/>
    <w:rsid w:val="00ED6B2C"/>
    <w:rsid w:val="00ED6C0E"/>
    <w:rsid w:val="00ED6E96"/>
    <w:rsid w:val="00EE03A0"/>
    <w:rsid w:val="00EE135C"/>
    <w:rsid w:val="00EE1EE9"/>
    <w:rsid w:val="00EE23E9"/>
    <w:rsid w:val="00EE3934"/>
    <w:rsid w:val="00EE3B65"/>
    <w:rsid w:val="00EE3CF1"/>
    <w:rsid w:val="00EE4E23"/>
    <w:rsid w:val="00EE5C76"/>
    <w:rsid w:val="00EF09A9"/>
    <w:rsid w:val="00EF2BD0"/>
    <w:rsid w:val="00EF479A"/>
    <w:rsid w:val="00EF4F90"/>
    <w:rsid w:val="00EF5748"/>
    <w:rsid w:val="00EF6E26"/>
    <w:rsid w:val="00F01C2D"/>
    <w:rsid w:val="00F0247F"/>
    <w:rsid w:val="00F044BE"/>
    <w:rsid w:val="00F04CF5"/>
    <w:rsid w:val="00F061D8"/>
    <w:rsid w:val="00F06B67"/>
    <w:rsid w:val="00F06F27"/>
    <w:rsid w:val="00F06FE4"/>
    <w:rsid w:val="00F1022D"/>
    <w:rsid w:val="00F10299"/>
    <w:rsid w:val="00F11277"/>
    <w:rsid w:val="00F11696"/>
    <w:rsid w:val="00F11B56"/>
    <w:rsid w:val="00F131A5"/>
    <w:rsid w:val="00F13DE0"/>
    <w:rsid w:val="00F1433A"/>
    <w:rsid w:val="00F150F3"/>
    <w:rsid w:val="00F16886"/>
    <w:rsid w:val="00F21C60"/>
    <w:rsid w:val="00F23B39"/>
    <w:rsid w:val="00F259D5"/>
    <w:rsid w:val="00F25CAB"/>
    <w:rsid w:val="00F26E0E"/>
    <w:rsid w:val="00F27CCD"/>
    <w:rsid w:val="00F30223"/>
    <w:rsid w:val="00F30F86"/>
    <w:rsid w:val="00F31ABA"/>
    <w:rsid w:val="00F326A0"/>
    <w:rsid w:val="00F34FA5"/>
    <w:rsid w:val="00F3545A"/>
    <w:rsid w:val="00F36129"/>
    <w:rsid w:val="00F3683A"/>
    <w:rsid w:val="00F376E7"/>
    <w:rsid w:val="00F4064E"/>
    <w:rsid w:val="00F40B5E"/>
    <w:rsid w:val="00F415DC"/>
    <w:rsid w:val="00F4178F"/>
    <w:rsid w:val="00F41E37"/>
    <w:rsid w:val="00F424B3"/>
    <w:rsid w:val="00F42D61"/>
    <w:rsid w:val="00F44C3F"/>
    <w:rsid w:val="00F44FD3"/>
    <w:rsid w:val="00F478E5"/>
    <w:rsid w:val="00F5150B"/>
    <w:rsid w:val="00F51616"/>
    <w:rsid w:val="00F52299"/>
    <w:rsid w:val="00F539E5"/>
    <w:rsid w:val="00F57376"/>
    <w:rsid w:val="00F57CCD"/>
    <w:rsid w:val="00F6275F"/>
    <w:rsid w:val="00F63074"/>
    <w:rsid w:val="00F6385E"/>
    <w:rsid w:val="00F63FCA"/>
    <w:rsid w:val="00F64C78"/>
    <w:rsid w:val="00F701DC"/>
    <w:rsid w:val="00F70957"/>
    <w:rsid w:val="00F71CE5"/>
    <w:rsid w:val="00F73630"/>
    <w:rsid w:val="00F736A0"/>
    <w:rsid w:val="00F7374E"/>
    <w:rsid w:val="00F750B2"/>
    <w:rsid w:val="00F75588"/>
    <w:rsid w:val="00F758D1"/>
    <w:rsid w:val="00F75B47"/>
    <w:rsid w:val="00F76150"/>
    <w:rsid w:val="00F766A5"/>
    <w:rsid w:val="00F7793A"/>
    <w:rsid w:val="00F77BCE"/>
    <w:rsid w:val="00F800D4"/>
    <w:rsid w:val="00F8513F"/>
    <w:rsid w:val="00F85301"/>
    <w:rsid w:val="00F855ED"/>
    <w:rsid w:val="00F85A7D"/>
    <w:rsid w:val="00F869FA"/>
    <w:rsid w:val="00F8707F"/>
    <w:rsid w:val="00F872A9"/>
    <w:rsid w:val="00F87A5B"/>
    <w:rsid w:val="00F87A83"/>
    <w:rsid w:val="00F910D1"/>
    <w:rsid w:val="00F93945"/>
    <w:rsid w:val="00F93D84"/>
    <w:rsid w:val="00F95EF4"/>
    <w:rsid w:val="00F965AB"/>
    <w:rsid w:val="00FA005A"/>
    <w:rsid w:val="00FA0A33"/>
    <w:rsid w:val="00FA11DD"/>
    <w:rsid w:val="00FA15F9"/>
    <w:rsid w:val="00FA16A5"/>
    <w:rsid w:val="00FA23A9"/>
    <w:rsid w:val="00FA242F"/>
    <w:rsid w:val="00FA2850"/>
    <w:rsid w:val="00FA28B9"/>
    <w:rsid w:val="00FA3470"/>
    <w:rsid w:val="00FA533D"/>
    <w:rsid w:val="00FA67EE"/>
    <w:rsid w:val="00FB1450"/>
    <w:rsid w:val="00FB1B00"/>
    <w:rsid w:val="00FB1EB5"/>
    <w:rsid w:val="00FB2CC8"/>
    <w:rsid w:val="00FB387B"/>
    <w:rsid w:val="00FB3F52"/>
    <w:rsid w:val="00FB587B"/>
    <w:rsid w:val="00FB6834"/>
    <w:rsid w:val="00FB6A85"/>
    <w:rsid w:val="00FB6E04"/>
    <w:rsid w:val="00FB6E40"/>
    <w:rsid w:val="00FB7645"/>
    <w:rsid w:val="00FC1630"/>
    <w:rsid w:val="00FC1C96"/>
    <w:rsid w:val="00FC34B4"/>
    <w:rsid w:val="00FC4FFA"/>
    <w:rsid w:val="00FC78B7"/>
    <w:rsid w:val="00FD013A"/>
    <w:rsid w:val="00FD0C12"/>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32B3"/>
    <w:rsid w:val="00FE49A2"/>
    <w:rsid w:val="00FE53A6"/>
    <w:rsid w:val="00FE69F3"/>
    <w:rsid w:val="00FE6C1C"/>
    <w:rsid w:val="00FF1475"/>
    <w:rsid w:val="00FF14E4"/>
    <w:rsid w:val="00FF28F8"/>
    <w:rsid w:val="00FF4353"/>
    <w:rsid w:val="00FF461E"/>
    <w:rsid w:val="00FF4AE5"/>
    <w:rsid w:val="00FF4C1F"/>
    <w:rsid w:val="00FF4DD5"/>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71EA"/>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832489/000143774919008334/ex_141886.htm" TargetMode="External"/><Relationship Id="rId39" Type="http://schemas.openxmlformats.org/officeDocument/2006/relationships/hyperlink" Target="https://www.sec.gov/Archives/edgar/data/832489/000143774919014110/ex_150376.htm"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yperlink" Target="https://www.sec.gov/Archives/edgar/data/832489/000143774919014546/ex_151085.htm" TargetMode="Externa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yperlink" Target="https://www.sec.gov/Archives/edgar/data/832489/000143774919014110/ex_150375.htm" TargetMode="External"/><Relationship Id="rId38" Type="http://schemas.openxmlformats.org/officeDocument/2006/relationships/hyperlink" Target="https://www.sec.gov/Archives/edgar/data/832489/000143774919003336/ex_135848.htm" TargetMode="Externa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s://www.sec.gov/Archives/edgar/data/832489/000143774919002800/ex_135185.htm"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s://www.sec.gov/Archives/edgar/data/832489/000143774919014110/ex_150374.htm" TargetMode="External"/><Relationship Id="rId37" Type="http://schemas.openxmlformats.org/officeDocument/2006/relationships/hyperlink" Target="https://www.sec.gov/Archives/edgar/data/832489/000143774919003336/ex_135847.htm" TargetMode="External"/><Relationship Id="rId40" Type="http://schemas.openxmlformats.org/officeDocument/2006/relationships/hyperlink" Target="https://www.sec.gov/Archives/edgar/data/832489/000143774919014546/ex_151087.htm" TargetMode="Externa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s://www.sec.gov/Archives/edgar/data/832489/000143774919002800/ex_135184.htm" TargetMode="External"/><Relationship Id="rId36" Type="http://schemas.openxmlformats.org/officeDocument/2006/relationships/hyperlink" Target="https://www.sec.gov/Archives/edgar/data/832489/000143774919002800/ex_135186.htm"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www.sec.gov/Archives/edgar/data/832489/000143774919003336/ex_135845.htm"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yperlink" Target="https://www.sec.gov/Archives/edgar/data/832489/000143774919008334/ex_141889.htm" TargetMode="External"/><Relationship Id="rId30" Type="http://schemas.openxmlformats.org/officeDocument/2006/relationships/hyperlink" Target="https://www.sec.gov/Archives/edgar/data/832489/000143774919003336/ex_135846.htm" TargetMode="External"/><Relationship Id="rId35" Type="http://schemas.openxmlformats.org/officeDocument/2006/relationships/hyperlink" Target="https://www.sec.gov/Archives/edgar/data/832489/000143774919014546/ex_151086.htm" TargetMode="External"/><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D068-F2A9-4261-ABF4-E0909E9F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10992</Words>
  <Characters>63823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74666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4</cp:revision>
  <cp:lastPrinted>2019-11-06T22:38:00Z</cp:lastPrinted>
  <dcterms:created xsi:type="dcterms:W3CDTF">2019-11-06T22:34:00Z</dcterms:created>
  <dcterms:modified xsi:type="dcterms:W3CDTF">2019-11-06T22:38:00Z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