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8BC1" w14:textId="07FDFE4B" w:rsidR="00BD6BBE" w:rsidRPr="007E0AB8" w:rsidRDefault="00BD6BBE">
      <w:pPr>
        <w:pStyle w:val="Title"/>
        <w:rPr>
          <w:szCs w:val="24"/>
        </w:rPr>
      </w:pPr>
      <w:r w:rsidRPr="007E0AB8">
        <w:rPr>
          <w:szCs w:val="24"/>
        </w:rPr>
        <w:t>UNITED STATES</w:t>
      </w:r>
    </w:p>
    <w:p w14:paraId="0B224CAC" w14:textId="77777777" w:rsidR="00BD6BBE" w:rsidRPr="007E0AB8" w:rsidRDefault="00BD6BBE">
      <w:pPr>
        <w:pStyle w:val="Title"/>
        <w:rPr>
          <w:szCs w:val="24"/>
        </w:rPr>
      </w:pPr>
      <w:r w:rsidRPr="007E0AB8">
        <w:rPr>
          <w:szCs w:val="24"/>
        </w:rPr>
        <w:t>SECURITIES AND EXCHANGE COMMISSION</w:t>
      </w:r>
    </w:p>
    <w:p w14:paraId="3DE428FE" w14:textId="77777777" w:rsidR="00BD6BBE" w:rsidRPr="007E0AB8" w:rsidRDefault="00BD6BBE" w:rsidP="00361F10">
      <w:pPr>
        <w:pStyle w:val="Subtitle"/>
        <w:jc w:val="center"/>
        <w:rPr>
          <w:sz w:val="24"/>
          <w:szCs w:val="24"/>
        </w:rPr>
      </w:pPr>
      <w:r w:rsidRPr="007E0AB8">
        <w:rPr>
          <w:sz w:val="24"/>
          <w:szCs w:val="24"/>
        </w:rPr>
        <w:t>WASHINGTON,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255945">
        <w:rPr>
          <w:b/>
          <w:sz w:val="24"/>
        </w:rPr>
      </w:r>
      <w:r w:rsidR="00255945">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07429755" w:rsidR="00BD6BBE" w:rsidRPr="00F87A5B" w:rsidRDefault="00BD6BBE">
      <w:pPr>
        <w:tabs>
          <w:tab w:val="decimal" w:pos="9180"/>
        </w:tabs>
        <w:ind w:left="720" w:hanging="720"/>
        <w:rPr>
          <w:b/>
        </w:rPr>
      </w:pPr>
      <w:r w:rsidRPr="00F87A5B">
        <w:tab/>
        <w:t xml:space="preserve">For the quarterly period ended </w:t>
      </w:r>
      <w:r w:rsidR="00692D9E">
        <w:t>June</w:t>
      </w:r>
      <w:r w:rsidR="00460775">
        <w:t xml:space="preserve"> 3</w:t>
      </w:r>
      <w:r w:rsidR="00692D9E">
        <w:t>0</w:t>
      </w:r>
      <w:r w:rsidR="00482106">
        <w:t>,</w:t>
      </w:r>
      <w:r w:rsidR="00460775">
        <w:t xml:space="preserve"> 20</w:t>
      </w:r>
      <w:r w:rsidR="001F62EC">
        <w:t>20</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255945">
        <w:rPr>
          <w:b/>
          <w:sz w:val="24"/>
        </w:rPr>
      </w:r>
      <w:r w:rsidR="00255945">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77777777" w:rsidR="00BD6BBE" w:rsidRDefault="0024386A" w:rsidP="00F87A5B">
      <w:pPr>
        <w:jc w:val="center"/>
        <w:rPr>
          <w:b/>
          <w:szCs w:val="22"/>
        </w:rPr>
      </w:pPr>
      <w:r>
        <w:rPr>
          <w:b/>
          <w:szCs w:val="22"/>
        </w:rPr>
        <w:t>Commission file number 000-52091</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7777777" w:rsidR="00BD6BBE" w:rsidRDefault="00BD6BBE">
      <w:pPr>
        <w:jc w:val="center"/>
        <w:rPr>
          <w:szCs w:val="22"/>
        </w:rPr>
      </w:pPr>
      <w:r>
        <w:rPr>
          <w:szCs w:val="22"/>
        </w:rPr>
        <w:t>(Exact name of Registrant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77777777" w:rsidR="00BD6BBE" w:rsidRPr="00F87A5B" w:rsidRDefault="00BD6BBE">
      <w:pPr>
        <w:tabs>
          <w:tab w:val="center" w:pos="2160"/>
          <w:tab w:val="center" w:pos="8100"/>
        </w:tabs>
      </w:pPr>
      <w:r w:rsidRPr="00F87A5B">
        <w:tab/>
        <w:t xml:space="preserve">(State or </w:t>
      </w:r>
      <w:proofErr w:type="gramStart"/>
      <w:r w:rsidRPr="00F87A5B">
        <w:t>other</w:t>
      </w:r>
      <w:proofErr w:type="gramEnd"/>
      <w:r w:rsidRPr="00F87A5B">
        <w:t xml:space="preserve"> jurisdiction</w:t>
      </w:r>
      <w:r w:rsidRPr="00F87A5B">
        <w:tab/>
        <w:t>(I.R.S. Employer Identification No.)</w:t>
      </w:r>
    </w:p>
    <w:p w14:paraId="53EA54C8" w14:textId="77777777" w:rsidR="00BD6BBE" w:rsidRPr="00F87A5B" w:rsidRDefault="00BD6BBE">
      <w:pPr>
        <w:tabs>
          <w:tab w:val="center" w:pos="2160"/>
          <w:tab w:val="decimal" w:pos="9180"/>
        </w:tabs>
      </w:pPr>
      <w:r w:rsidRPr="00F87A5B">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F87A5B" w:rsidRDefault="00BD6BBE">
      <w:pPr>
        <w:tabs>
          <w:tab w:val="center" w:pos="2160"/>
          <w:tab w:val="center" w:pos="8100"/>
        </w:tabs>
      </w:pPr>
      <w:r w:rsidRPr="00F87A5B">
        <w:tab/>
        <w:t>(Address of principal executive offices)</w:t>
      </w:r>
      <w:r w:rsidRPr="00F87A5B">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Default="006816F3">
      <w:pPr>
        <w:pStyle w:val="Heading5"/>
        <w:tabs>
          <w:tab w:val="clear" w:pos="2160"/>
          <w:tab w:val="clear" w:pos="7280"/>
          <w:tab w:val="clear" w:pos="9360"/>
        </w:tabs>
        <w:jc w:val="center"/>
        <w:rPr>
          <w:sz w:val="22"/>
          <w:szCs w:val="22"/>
        </w:rPr>
      </w:pPr>
      <w:r>
        <w:rPr>
          <w:sz w:val="22"/>
          <w:szCs w:val="22"/>
        </w:rPr>
        <w:t>(</w:t>
      </w:r>
      <w:r w:rsidR="00BD6BBE">
        <w:rPr>
          <w:sz w:val="22"/>
          <w:szCs w:val="22"/>
        </w:rPr>
        <w:t>Registrant</w:t>
      </w:r>
      <w:r w:rsidR="00B44A4C">
        <w:rPr>
          <w:sz w:val="22"/>
          <w:szCs w:val="22"/>
        </w:rPr>
        <w:t>’</w:t>
      </w:r>
      <w:r w:rsidR="00BD6BBE">
        <w:rPr>
          <w:sz w:val="22"/>
          <w:szCs w:val="22"/>
        </w:rPr>
        <w:t>s telephone number, including area code</w:t>
      </w:r>
      <w:r>
        <w:rPr>
          <w:b/>
          <w:sz w:val="22"/>
          <w:szCs w:val="22"/>
        </w:rPr>
        <w:t>)</w:t>
      </w:r>
    </w:p>
    <w:p w14:paraId="0E1A3266" w14:textId="42EFD0B4" w:rsidR="00BD6BBE" w:rsidRDefault="00BD6BBE">
      <w:pPr>
        <w:tabs>
          <w:tab w:val="decimal" w:pos="9180"/>
        </w:tabs>
        <w:jc w:val="both"/>
        <w:rPr>
          <w:szCs w:val="22"/>
        </w:rPr>
      </w:pPr>
    </w:p>
    <w:p w14:paraId="3D53BC33" w14:textId="2DEB0B43" w:rsidR="001F62EC" w:rsidRPr="001F62EC" w:rsidRDefault="001F62EC" w:rsidP="001F62EC">
      <w:pPr>
        <w:tabs>
          <w:tab w:val="decimal" w:pos="9180"/>
        </w:tabs>
        <w:rPr>
          <w:szCs w:val="22"/>
        </w:rPr>
      </w:pPr>
      <w:r>
        <w:rPr>
          <w:szCs w:val="22"/>
        </w:rPr>
        <w:t>Securities registered pursuant to Section 12(b) of the Act:  None</w:t>
      </w:r>
    </w:p>
    <w:p w14:paraId="3A40F902" w14:textId="77777777" w:rsidR="001F62EC" w:rsidRDefault="001F62EC">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255945">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255945">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255945">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255945">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Indicate by check mark whether the registrant is a large accelerated filer, an accelerated filer, a non</w:t>
      </w:r>
      <w:r>
        <w:noBreakHyphen/>
        <w:t>accelerated filer, smaller reporting company, or an emerging growth company.  See the definitions of “large accelerated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r w:rsidRPr="0072585E">
        <w:rPr>
          <w:color w:val="000000"/>
        </w:rPr>
        <w:t>Large 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7A93B233"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11159C">
        <w:rPr>
          <w:rFonts w:ascii="Wingdings" w:hAnsi="Wingdings" w:cs="Wingdings"/>
          <w:color w:val="000000"/>
          <w:sz w:val="18"/>
          <w:szCs w:val="18"/>
        </w:rPr>
        <w:fldChar w:fldCharType="begin">
          <w:ffData>
            <w:name w:val="Check1"/>
            <w:enabled/>
            <w:calcOnExit w:val="0"/>
            <w:checkBox>
              <w:sizeAuto/>
              <w:default w:val="1"/>
            </w:checkBox>
          </w:ffData>
        </w:fldChar>
      </w:r>
      <w:r w:rsidR="0011159C">
        <w:rPr>
          <w:rFonts w:ascii="Wingdings" w:hAnsi="Wingdings" w:cs="Wingdings"/>
          <w:color w:val="000000"/>
          <w:sz w:val="18"/>
          <w:szCs w:val="18"/>
        </w:rPr>
        <w:instrText xml:space="preserve"> </w:instrText>
      </w:r>
      <w:bookmarkStart w:id="4" w:name="Check1"/>
      <w:r w:rsidR="0011159C">
        <w:rPr>
          <w:rFonts w:ascii="Wingdings" w:hAnsi="Wingdings" w:cs="Wingdings"/>
          <w:color w:val="000000"/>
          <w:sz w:val="18"/>
          <w:szCs w:val="18"/>
        </w:rPr>
        <w:instrText xml:space="preserve">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0011159C">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36360DA0"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fldChar w:fldCharType="begin">
          <w:ffData>
            <w:name w:val=""/>
            <w:enabled/>
            <w:calcOnExit w:val="0"/>
            <w:checkBox>
              <w:sizeAuto/>
              <w:default w:val="1"/>
            </w:checkBox>
          </w:ffData>
        </w:fldChar>
      </w:r>
      <w:r>
        <w:instrText xml:space="preserve"> FORMCHECKBOX </w:instrText>
      </w:r>
      <w:r w:rsidR="00255945">
        <w:fldChar w:fldCharType="separate"/>
      </w:r>
      <w: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255945">
        <w:rPr>
          <w:rFonts w:ascii="Wingdings" w:hAnsi="Wingdings" w:cs="Wingdings"/>
          <w:color w:val="000000"/>
          <w:sz w:val="18"/>
          <w:szCs w:val="18"/>
        </w:rPr>
      </w:r>
      <w:r w:rsidR="00255945">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231A5CCB" w:rsidR="0094630A" w:rsidRDefault="0094630A">
      <w:pPr>
        <w:tabs>
          <w:tab w:val="decimal" w:pos="9180"/>
        </w:tabs>
        <w:jc w:val="both"/>
      </w:pPr>
      <w:r w:rsidRPr="003D6A75">
        <w:t>As o</w:t>
      </w:r>
      <w:r w:rsidR="009B114A" w:rsidRPr="003D6A75">
        <w:t xml:space="preserve">f </w:t>
      </w:r>
      <w:r w:rsidR="00692D9E">
        <w:t>August</w:t>
      </w:r>
      <w:r w:rsidR="001F0568" w:rsidRPr="004A5874">
        <w:t xml:space="preserve"> </w:t>
      </w:r>
      <w:r w:rsidR="000750D2">
        <w:t>10</w:t>
      </w:r>
      <w:r w:rsidR="009B20E1" w:rsidRPr="004A5874">
        <w:t>,</w:t>
      </w:r>
      <w:r w:rsidR="00460775" w:rsidRPr="004A5874">
        <w:t xml:space="preserve"> 20</w:t>
      </w:r>
      <w:r w:rsidR="001F62EC" w:rsidRPr="004A5874">
        <w:t>2</w:t>
      </w:r>
      <w:r w:rsidR="001F62EC">
        <w:t>0</w:t>
      </w:r>
      <w:r w:rsidR="00F75588" w:rsidRPr="006F2532">
        <w:t>,</w:t>
      </w:r>
      <w:r w:rsidR="00B9332C" w:rsidRPr="003D6A75">
        <w:t xml:space="preserve"> </w:t>
      </w:r>
      <w:r w:rsidR="00FF69AE">
        <w:t>15,</w:t>
      </w:r>
      <w:r w:rsidR="00EC50DD">
        <w:t>436,913</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52389860" w14:textId="77777777" w:rsidR="00644156" w:rsidRPr="0058175D" w:rsidRDefault="00644156" w:rsidP="00277F5A">
      <w:pPr>
        <w:tabs>
          <w:tab w:val="center" w:pos="9900"/>
        </w:tabs>
        <w:rPr>
          <w:b/>
        </w:rPr>
      </w:pPr>
    </w:p>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27F99360" w:rsidR="00482106" w:rsidRPr="000371CC" w:rsidRDefault="00482106" w:rsidP="004E3374">
      <w:pPr>
        <w:tabs>
          <w:tab w:val="right" w:pos="10080"/>
        </w:tabs>
        <w:ind w:left="900"/>
      </w:pPr>
      <w:r>
        <w:t xml:space="preserve">Condensed </w:t>
      </w:r>
      <w:r w:rsidRPr="000371CC">
        <w:t xml:space="preserve">Consolidated Balance Sheets as of </w:t>
      </w:r>
      <w:r w:rsidR="00692D9E">
        <w:t>June</w:t>
      </w:r>
      <w:r w:rsidR="00460775">
        <w:t xml:space="preserve"> 3</w:t>
      </w:r>
      <w:r w:rsidR="00692D9E">
        <w:t>0</w:t>
      </w:r>
      <w:r w:rsidR="00B35C97">
        <w:t xml:space="preserve">, </w:t>
      </w:r>
      <w:r w:rsidR="00460775">
        <w:t>20</w:t>
      </w:r>
      <w:r w:rsidR="001F62EC">
        <w:t>20</w:t>
      </w:r>
      <w:r w:rsidR="00ED6B2C">
        <w:t xml:space="preserve"> (unaudited)</w:t>
      </w:r>
      <w:r w:rsidR="00D74F1F">
        <w:t xml:space="preserve"> </w:t>
      </w:r>
      <w:r w:rsidR="00460775">
        <w:t>and December 31, 201</w:t>
      </w:r>
      <w:r w:rsidR="001F62EC">
        <w:t>9</w:t>
      </w:r>
      <w:r w:rsidRPr="000371CC">
        <w:tab/>
        <w:t>1</w:t>
      </w:r>
    </w:p>
    <w:p w14:paraId="323AB257" w14:textId="3EB1EBEF"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692D9E">
        <w:t xml:space="preserve">and six-month </w:t>
      </w:r>
      <w:r w:rsidR="00483E00">
        <w:t xml:space="preserve">periods </w:t>
      </w:r>
      <w:r w:rsidR="001F0568">
        <w:t>e</w:t>
      </w:r>
      <w:r w:rsidR="00A12E9E">
        <w:t>nded</w:t>
      </w:r>
    </w:p>
    <w:p w14:paraId="10D88DBF" w14:textId="64AE02FC" w:rsidR="00482106" w:rsidRDefault="004E3374" w:rsidP="004E3374">
      <w:pPr>
        <w:tabs>
          <w:tab w:val="right" w:pos="10080"/>
        </w:tabs>
        <w:ind w:left="900"/>
      </w:pPr>
      <w:r>
        <w:t xml:space="preserve">   </w:t>
      </w:r>
      <w:r w:rsidR="00692D9E">
        <w:t>June</w:t>
      </w:r>
      <w:r w:rsidR="0063349C">
        <w:t xml:space="preserve"> </w:t>
      </w:r>
      <w:r w:rsidR="00460775">
        <w:t>3</w:t>
      </w:r>
      <w:r w:rsidR="00692D9E">
        <w:t>0</w:t>
      </w:r>
      <w:r w:rsidR="00460775">
        <w:t>, 20</w:t>
      </w:r>
      <w:r w:rsidR="001F62EC">
        <w:t>20</w:t>
      </w:r>
      <w:r w:rsidR="00731C61">
        <w:t xml:space="preserve"> </w:t>
      </w:r>
      <w:r w:rsidR="00460775">
        <w:t>and 201</w:t>
      </w:r>
      <w:r w:rsidR="001F62EC">
        <w:t>9</w:t>
      </w:r>
      <w:r w:rsidR="00CC10F7">
        <w:t xml:space="preserve"> (unaudited)</w:t>
      </w:r>
      <w:r w:rsidR="00482106" w:rsidRPr="000371CC">
        <w:tab/>
      </w:r>
      <w:r w:rsidR="009E5F38">
        <w:t>2</w:t>
      </w:r>
    </w:p>
    <w:p w14:paraId="60ACCB41" w14:textId="59B126A9" w:rsidR="00487CAB" w:rsidRDefault="00487CAB" w:rsidP="004E3374">
      <w:pPr>
        <w:tabs>
          <w:tab w:val="right" w:pos="10080"/>
        </w:tabs>
        <w:ind w:left="900"/>
      </w:pPr>
      <w:r>
        <w:t>Condensed Consolidated Statements of Changes in Stockholders’ Equity (Deficiency)</w:t>
      </w:r>
    </w:p>
    <w:p w14:paraId="14FC8BBF" w14:textId="4BD84EC1" w:rsidR="00487CAB" w:rsidRPr="000371CC" w:rsidRDefault="00487CAB" w:rsidP="004E3374">
      <w:pPr>
        <w:tabs>
          <w:tab w:val="right" w:pos="10080"/>
        </w:tabs>
        <w:ind w:left="900"/>
      </w:pPr>
      <w:r>
        <w:t xml:space="preserve">   for the </w:t>
      </w:r>
      <w:r w:rsidR="00692D9E">
        <w:t>three-month and six</w:t>
      </w:r>
      <w:r>
        <w:t xml:space="preserve">-month periods ended </w:t>
      </w:r>
      <w:r w:rsidR="00692D9E">
        <w:t>June</w:t>
      </w:r>
      <w:r>
        <w:t xml:space="preserve"> 3</w:t>
      </w:r>
      <w:r w:rsidR="00692D9E">
        <w:t>0</w:t>
      </w:r>
      <w:r>
        <w:t>, 20</w:t>
      </w:r>
      <w:r w:rsidR="001F62EC">
        <w:t>20</w:t>
      </w:r>
      <w:r>
        <w:t xml:space="preserve"> and 201</w:t>
      </w:r>
      <w:r w:rsidR="001F62EC">
        <w:t>9</w:t>
      </w:r>
      <w:r>
        <w:t xml:space="preserve"> (unaudited)</w:t>
      </w:r>
      <w:r>
        <w:tab/>
        <w:t>3</w:t>
      </w:r>
    </w:p>
    <w:p w14:paraId="5EC29F91" w14:textId="064C9A73" w:rsidR="004E3374" w:rsidRDefault="00482106" w:rsidP="004E3374">
      <w:pPr>
        <w:tabs>
          <w:tab w:val="right" w:pos="10080"/>
        </w:tabs>
        <w:ind w:left="900"/>
      </w:pPr>
      <w:r>
        <w:t xml:space="preserve">Condensed </w:t>
      </w:r>
      <w:r w:rsidRPr="000371CC">
        <w:t xml:space="preserve">Consolidated Statements of Cash Flows for the </w:t>
      </w:r>
      <w:r w:rsidR="00692D9E">
        <w:t>six</w:t>
      </w:r>
      <w:r w:rsidR="00CC2136">
        <w:t>-</w:t>
      </w:r>
      <w:r w:rsidR="00F758D1">
        <w:t xml:space="preserve">month </w:t>
      </w:r>
      <w:r w:rsidR="00483E00">
        <w:t xml:space="preserve">periods </w:t>
      </w:r>
      <w:r w:rsidR="00731D11">
        <w:t>ended</w:t>
      </w:r>
    </w:p>
    <w:p w14:paraId="6B706CF1" w14:textId="556C83FA" w:rsidR="00482106" w:rsidRPr="000371CC" w:rsidRDefault="004E3374" w:rsidP="004E3374">
      <w:pPr>
        <w:tabs>
          <w:tab w:val="right" w:pos="10080"/>
        </w:tabs>
        <w:ind w:left="900"/>
      </w:pPr>
      <w:r>
        <w:t xml:space="preserve">   </w:t>
      </w:r>
      <w:r w:rsidR="00692D9E">
        <w:t>June</w:t>
      </w:r>
      <w:r w:rsidR="0063349C">
        <w:t xml:space="preserve"> </w:t>
      </w:r>
      <w:r w:rsidR="00460775">
        <w:t>3</w:t>
      </w:r>
      <w:r w:rsidR="00692D9E">
        <w:t>0</w:t>
      </w:r>
      <w:r w:rsidR="00823D2D">
        <w:t xml:space="preserve">, </w:t>
      </w:r>
      <w:r w:rsidR="00460775">
        <w:t>20</w:t>
      </w:r>
      <w:r w:rsidR="001F62EC">
        <w:t>20</w:t>
      </w:r>
      <w:r>
        <w:t xml:space="preserve"> </w:t>
      </w:r>
      <w:r w:rsidR="00460775">
        <w:t>and 201</w:t>
      </w:r>
      <w:r w:rsidR="001F62EC">
        <w:t>9</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0B1FD97E"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487CAB">
        <w:t>1</w:t>
      </w:r>
      <w:r w:rsidR="00F46637">
        <w:t>1</w:t>
      </w:r>
    </w:p>
    <w:p w14:paraId="04727900" w14:textId="77777777" w:rsidR="00482106" w:rsidRDefault="00482106" w:rsidP="004E3374">
      <w:pPr>
        <w:tabs>
          <w:tab w:val="left" w:pos="900"/>
          <w:tab w:val="right" w:pos="10080"/>
        </w:tabs>
      </w:pPr>
    </w:p>
    <w:p w14:paraId="3698A973" w14:textId="4D7378F2"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175A7C">
        <w:t>1</w:t>
      </w:r>
      <w:r w:rsidR="00F46637">
        <w:t>6</w:t>
      </w:r>
    </w:p>
    <w:p w14:paraId="19A98050" w14:textId="77777777" w:rsidR="00482106" w:rsidRPr="000371CC" w:rsidRDefault="00482106" w:rsidP="002D1A5A">
      <w:pPr>
        <w:tabs>
          <w:tab w:val="left" w:pos="900"/>
          <w:tab w:val="right" w:pos="10080"/>
        </w:tabs>
      </w:pPr>
    </w:p>
    <w:p w14:paraId="16AC473F" w14:textId="5DE3DB08"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F46637">
        <w:t>6</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624B3C02"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F46637">
        <w:t>7</w:t>
      </w:r>
    </w:p>
    <w:p w14:paraId="073F6D6B" w14:textId="77777777" w:rsidR="00482106" w:rsidRPr="000371CC" w:rsidRDefault="00482106" w:rsidP="004E3374">
      <w:pPr>
        <w:tabs>
          <w:tab w:val="left" w:pos="900"/>
          <w:tab w:val="right" w:pos="10200"/>
        </w:tabs>
      </w:pPr>
    </w:p>
    <w:p w14:paraId="27555486" w14:textId="5EFCB592"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F46637">
        <w:t>7</w:t>
      </w:r>
    </w:p>
    <w:p w14:paraId="0F986A6E" w14:textId="77777777" w:rsidR="00482106" w:rsidRPr="000371CC" w:rsidRDefault="00482106" w:rsidP="004E3374">
      <w:pPr>
        <w:tabs>
          <w:tab w:val="left" w:pos="900"/>
          <w:tab w:val="right" w:pos="10080"/>
          <w:tab w:val="right" w:pos="10200"/>
        </w:tabs>
      </w:pPr>
    </w:p>
    <w:p w14:paraId="6537B7F4" w14:textId="516D21A6"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F46637">
        <w:t>7</w:t>
      </w:r>
    </w:p>
    <w:p w14:paraId="2598FC1C" w14:textId="77777777" w:rsidR="00482106" w:rsidRPr="000371CC" w:rsidRDefault="00482106" w:rsidP="004E3374">
      <w:pPr>
        <w:tabs>
          <w:tab w:val="left" w:pos="900"/>
          <w:tab w:val="right" w:pos="10080"/>
          <w:tab w:val="right" w:pos="10200"/>
        </w:tabs>
      </w:pPr>
    </w:p>
    <w:p w14:paraId="790C8A4C" w14:textId="30E792AF"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F46637">
        <w:t>7</w:t>
      </w:r>
    </w:p>
    <w:p w14:paraId="7122746D" w14:textId="77777777" w:rsidR="00BF7DB7" w:rsidRDefault="00BF7DB7" w:rsidP="004E3374">
      <w:pPr>
        <w:tabs>
          <w:tab w:val="left" w:pos="900"/>
          <w:tab w:val="right" w:pos="10080"/>
          <w:tab w:val="right" w:pos="10200"/>
        </w:tabs>
      </w:pPr>
    </w:p>
    <w:p w14:paraId="51D96C50" w14:textId="0CB9DFD8"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F46637">
        <w:t>7</w:t>
      </w:r>
    </w:p>
    <w:p w14:paraId="1D1D1680" w14:textId="77777777" w:rsidR="00482106" w:rsidRPr="000371CC" w:rsidRDefault="00482106" w:rsidP="004E3374">
      <w:pPr>
        <w:tabs>
          <w:tab w:val="left" w:pos="900"/>
          <w:tab w:val="right" w:pos="10080"/>
          <w:tab w:val="right" w:pos="10200"/>
        </w:tabs>
      </w:pPr>
    </w:p>
    <w:p w14:paraId="7FF4F361" w14:textId="4261A854"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F46637">
        <w:t>7</w:t>
      </w:r>
    </w:p>
    <w:p w14:paraId="7329C9FE" w14:textId="77777777" w:rsidR="00482106" w:rsidRPr="000371CC" w:rsidRDefault="00482106" w:rsidP="004E3374">
      <w:pPr>
        <w:tabs>
          <w:tab w:val="left" w:pos="900"/>
          <w:tab w:val="right" w:pos="10080"/>
          <w:tab w:val="right" w:pos="10200"/>
        </w:tabs>
      </w:pPr>
    </w:p>
    <w:p w14:paraId="25371BEC" w14:textId="4B05FD36"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F46637">
        <w:t>8</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248C45B6"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F46637">
        <w:t>9</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47B983CC" w:rsidR="001F62EC" w:rsidRPr="00356734" w:rsidRDefault="00692D9E" w:rsidP="001F62EC">
            <w:pPr>
              <w:jc w:val="center"/>
              <w:rPr>
                <w:snapToGrid w:val="0"/>
                <w:color w:val="000000"/>
              </w:rPr>
            </w:pPr>
            <w:r>
              <w:rPr>
                <w:snapToGrid w:val="0"/>
                <w:color w:val="000000"/>
              </w:rPr>
              <w:t>June</w:t>
            </w:r>
            <w:r w:rsidR="001F62EC">
              <w:rPr>
                <w:snapToGrid w:val="0"/>
                <w:color w:val="000000"/>
              </w:rPr>
              <w:t xml:space="preserve"> 30</w:t>
            </w:r>
            <w:r>
              <w:rPr>
                <w:snapToGrid w:val="0"/>
                <w:color w:val="000000"/>
              </w:rPr>
              <w:t>,</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7ECA34DD" w:rsidR="001F62EC" w:rsidRPr="00356734" w:rsidRDefault="001F62EC" w:rsidP="001F62EC">
            <w:pPr>
              <w:jc w:val="center"/>
              <w:rPr>
                <w:snapToGrid w:val="0"/>
                <w:color w:val="000000"/>
              </w:rPr>
            </w:pPr>
            <w:r>
              <w:rPr>
                <w:snapToGrid w:val="0"/>
                <w:color w:val="000000"/>
              </w:rPr>
              <w:t>2020</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3560BB8" w:rsidR="001F62EC" w:rsidRPr="00356734" w:rsidRDefault="001F62EC" w:rsidP="001F62EC">
            <w:pPr>
              <w:jc w:val="center"/>
              <w:rPr>
                <w:snapToGrid w:val="0"/>
                <w:color w:val="000000"/>
              </w:rPr>
            </w:pPr>
            <w:r w:rsidRPr="00356734">
              <w:rPr>
                <w:snapToGrid w:val="0"/>
                <w:color w:val="000000"/>
              </w:rPr>
              <w:t>20</w:t>
            </w:r>
            <w:r>
              <w:rPr>
                <w:snapToGrid w:val="0"/>
                <w:color w:val="000000"/>
              </w:rPr>
              <w:t>19</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43D6F430"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921D9">
              <w:rPr>
                <w:snapToGrid w:val="0"/>
                <w:color w:val="000000"/>
              </w:rPr>
              <w:t>710,682</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5B0A321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283,341</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4D3A80D4" w:rsidR="001F62EC" w:rsidRPr="00EB7BF0" w:rsidRDefault="003921D9" w:rsidP="001F62EC">
            <w:pPr>
              <w:tabs>
                <w:tab w:val="decimal" w:pos="1320"/>
              </w:tabs>
              <w:rPr>
                <w:snapToGrid w:val="0"/>
                <w:color w:val="000000"/>
              </w:rPr>
            </w:pPr>
            <w:r>
              <w:rPr>
                <w:snapToGrid w:val="0"/>
                <w:color w:val="000000"/>
              </w:rPr>
              <w:t>187,163</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3E07B421" w:rsidR="001F62EC" w:rsidRPr="00EB7BF0" w:rsidRDefault="001F62EC" w:rsidP="001F62EC">
            <w:pPr>
              <w:tabs>
                <w:tab w:val="decimal" w:pos="1500"/>
              </w:tabs>
              <w:rPr>
                <w:snapToGrid w:val="0"/>
                <w:color w:val="000000"/>
              </w:rPr>
            </w:pPr>
            <w:r>
              <w:rPr>
                <w:snapToGrid w:val="0"/>
                <w:color w:val="000000"/>
              </w:rPr>
              <w:t>68</w:t>
            </w:r>
            <w:r w:rsidR="00011002">
              <w:rPr>
                <w:snapToGrid w:val="0"/>
                <w:color w:val="000000"/>
              </w:rPr>
              <w:t>,603</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46FB3A30" w:rsidR="001F62EC" w:rsidRPr="00EB7BF0" w:rsidRDefault="003921D9" w:rsidP="001F62EC">
            <w:pPr>
              <w:tabs>
                <w:tab w:val="decimal" w:pos="1320"/>
              </w:tabs>
              <w:rPr>
                <w:snapToGrid w:val="0"/>
                <w:color w:val="000000"/>
              </w:rPr>
            </w:pPr>
            <w:r>
              <w:rPr>
                <w:snapToGrid w:val="0"/>
                <w:color w:val="000000"/>
              </w:rPr>
              <w:t>40,470</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2442BDEB" w:rsidR="001F62EC" w:rsidRPr="00EB7BF0" w:rsidRDefault="00011002" w:rsidP="001F62EC">
            <w:pPr>
              <w:tabs>
                <w:tab w:val="decimal" w:pos="1500"/>
              </w:tabs>
              <w:rPr>
                <w:snapToGrid w:val="0"/>
                <w:color w:val="000000"/>
              </w:rPr>
            </w:pPr>
            <w:r>
              <w:rPr>
                <w:snapToGrid w:val="0"/>
                <w:color w:val="000000"/>
              </w:rPr>
              <w:t>95,320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239B5E39" w:rsidR="001F62EC" w:rsidRPr="00E74795" w:rsidRDefault="003921D9" w:rsidP="001F62EC">
            <w:pPr>
              <w:tabs>
                <w:tab w:val="decimal" w:pos="1320"/>
              </w:tabs>
              <w:rPr>
                <w:snapToGrid w:val="0"/>
                <w:color w:val="000000"/>
              </w:rPr>
            </w:pPr>
            <w:r>
              <w:rPr>
                <w:snapToGrid w:val="0"/>
                <w:color w:val="000000"/>
              </w:rPr>
              <w:t>938,315</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4E9A1660" w:rsidR="001F62EC" w:rsidRPr="00E74795" w:rsidRDefault="00011002" w:rsidP="001F62EC">
            <w:pPr>
              <w:tabs>
                <w:tab w:val="decimal" w:pos="1500"/>
              </w:tabs>
              <w:rPr>
                <w:snapToGrid w:val="0"/>
                <w:color w:val="000000"/>
              </w:rPr>
            </w:pPr>
            <w:r>
              <w:rPr>
                <w:snapToGrid w:val="0"/>
                <w:color w:val="000000"/>
              </w:rPr>
              <w:t>447,264</w:t>
            </w:r>
          </w:p>
        </w:tc>
      </w:tr>
      <w:tr w:rsidR="001F62EC" w:rsidRPr="00EB7BF0" w14:paraId="71A35CD8" w14:textId="77777777" w:rsidTr="001F62EC">
        <w:trPr>
          <w:trHeight w:hRule="exact" w:val="230"/>
        </w:trPr>
        <w:tc>
          <w:tcPr>
            <w:tcW w:w="6120" w:type="dxa"/>
            <w:gridSpan w:val="3"/>
          </w:tcPr>
          <w:p w14:paraId="6E3EC1EB" w14:textId="77777777" w:rsidR="001F62EC" w:rsidRPr="00E74795" w:rsidRDefault="001F62EC" w:rsidP="001F62EC">
            <w:pPr>
              <w:rPr>
                <w:b/>
                <w:snapToGrid w:val="0"/>
                <w:color w:val="000000"/>
              </w:rPr>
            </w:pPr>
            <w:r w:rsidRPr="00374FE3">
              <w:rPr>
                <w:snapToGrid w:val="0"/>
                <w:color w:val="000000"/>
              </w:rPr>
              <w:t xml:space="preserve">Property and equipment, net (Note </w:t>
            </w:r>
            <w:r>
              <w:rPr>
                <w:snapToGrid w:val="0"/>
                <w:color w:val="000000"/>
              </w:rPr>
              <w:t>5</w:t>
            </w:r>
            <w:r w:rsidRPr="00374FE3">
              <w:rPr>
                <w:snapToGrid w:val="0"/>
                <w:color w:val="000000"/>
              </w:rPr>
              <w: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5EBAC93C" w:rsidR="001F62EC" w:rsidRPr="00E74795" w:rsidRDefault="003921D9" w:rsidP="001F62EC">
            <w:pPr>
              <w:tabs>
                <w:tab w:val="decimal" w:pos="1320"/>
              </w:tabs>
              <w:rPr>
                <w:snapToGrid w:val="0"/>
                <w:color w:val="000000"/>
              </w:rPr>
            </w:pPr>
            <w:r>
              <w:rPr>
                <w:snapToGrid w:val="0"/>
                <w:color w:val="000000"/>
              </w:rPr>
              <w:t>8,618</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08CDC87E"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0,606</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565569DE" w:rsidR="001F62EC" w:rsidRPr="00E74795" w:rsidRDefault="003921D9"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5097B4D8"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921D9">
              <w:rPr>
                <w:snapToGrid w:val="0"/>
                <w:color w:val="000000"/>
              </w:rPr>
              <w:t>957,943</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FEC7B54"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77777777" w:rsidR="001F62EC" w:rsidRPr="00E74795" w:rsidRDefault="001F62EC" w:rsidP="001F62EC">
            <w:pPr>
              <w:rPr>
                <w:snapToGrid w:val="0"/>
                <w:color w:val="000000"/>
              </w:rPr>
            </w:pPr>
            <w:r w:rsidRPr="00374FE3">
              <w:rPr>
                <w:snapToGrid w:val="0"/>
                <w:color w:val="000000"/>
              </w:rPr>
              <w:t>LIABILITIES AND STOCKHOLDERS’ EQUITY (DEFICIENCY)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361190BA"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921D9">
              <w:rPr>
                <w:snapToGrid w:val="0"/>
                <w:color w:val="000000"/>
              </w:rPr>
              <w:t>91,416</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461525F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011002">
              <w:rPr>
                <w:snapToGrid w:val="0"/>
                <w:color w:val="000000"/>
              </w:rPr>
              <w:t>152,653</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77777777" w:rsidR="001F62EC" w:rsidRPr="00E74795" w:rsidRDefault="001F62EC" w:rsidP="001F62EC">
            <w:pPr>
              <w:rPr>
                <w:snapToGrid w:val="0"/>
                <w:color w:val="000000"/>
              </w:rPr>
            </w:pPr>
            <w:r w:rsidRPr="00374FE3">
              <w:rPr>
                <w:snapToGrid w:val="0"/>
                <w:color w:val="000000"/>
              </w:rPr>
              <w:t xml:space="preserve">Accrued expenses (Note </w:t>
            </w:r>
            <w:r>
              <w:rPr>
                <w:snapToGrid w:val="0"/>
                <w:color w:val="000000"/>
              </w:rPr>
              <w:t>6</w:t>
            </w:r>
            <w:r w:rsidRPr="00374FE3">
              <w:rPr>
                <w:snapToGrid w:val="0"/>
                <w:color w:val="000000"/>
              </w:rPr>
              <w:t>)</w:t>
            </w:r>
          </w:p>
        </w:tc>
        <w:tc>
          <w:tcPr>
            <w:tcW w:w="90" w:type="dxa"/>
          </w:tcPr>
          <w:p w14:paraId="11C759E6" w14:textId="77777777" w:rsidR="001F62EC" w:rsidRPr="00E74795" w:rsidRDefault="001F62EC" w:rsidP="001F62EC">
            <w:pPr>
              <w:jc w:val="right"/>
              <w:rPr>
                <w:snapToGrid w:val="0"/>
                <w:color w:val="000000"/>
              </w:rPr>
            </w:pPr>
          </w:p>
        </w:tc>
        <w:tc>
          <w:tcPr>
            <w:tcW w:w="1710" w:type="dxa"/>
          </w:tcPr>
          <w:p w14:paraId="27D090AB" w14:textId="2FC4E673" w:rsidR="001F62EC" w:rsidRPr="00E74795" w:rsidRDefault="003921D9" w:rsidP="001F62EC">
            <w:pPr>
              <w:tabs>
                <w:tab w:val="decimal" w:pos="1320"/>
              </w:tabs>
              <w:rPr>
                <w:snapToGrid w:val="0"/>
                <w:color w:val="000000"/>
              </w:rPr>
            </w:pPr>
            <w:r>
              <w:rPr>
                <w:snapToGrid w:val="0"/>
                <w:color w:val="000000"/>
              </w:rPr>
              <w:t>2,0</w:t>
            </w:r>
            <w:r w:rsidR="00EC5343">
              <w:rPr>
                <w:snapToGrid w:val="0"/>
                <w:color w:val="000000"/>
              </w:rPr>
              <w:t>76,359</w:t>
            </w:r>
          </w:p>
        </w:tc>
        <w:tc>
          <w:tcPr>
            <w:tcW w:w="270" w:type="dxa"/>
          </w:tcPr>
          <w:p w14:paraId="074AA7DF" w14:textId="77777777" w:rsidR="001F62EC" w:rsidRPr="00E74795" w:rsidRDefault="001F62EC" w:rsidP="001F62EC">
            <w:pPr>
              <w:jc w:val="right"/>
              <w:rPr>
                <w:snapToGrid w:val="0"/>
                <w:color w:val="000000"/>
              </w:rPr>
            </w:pPr>
          </w:p>
        </w:tc>
        <w:tc>
          <w:tcPr>
            <w:tcW w:w="1890" w:type="dxa"/>
          </w:tcPr>
          <w:p w14:paraId="5616CEE2" w14:textId="5D1AF054"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851,040</w:t>
            </w:r>
          </w:p>
        </w:tc>
      </w:tr>
      <w:tr w:rsidR="005E38F4" w:rsidRPr="00EB7BF0" w14:paraId="74990402" w14:textId="77777777" w:rsidTr="001F62EC">
        <w:trPr>
          <w:trHeight w:hRule="exact" w:val="230"/>
        </w:trPr>
        <w:tc>
          <w:tcPr>
            <w:tcW w:w="305" w:type="dxa"/>
          </w:tcPr>
          <w:p w14:paraId="51E94F7D" w14:textId="77777777" w:rsidR="005E38F4" w:rsidRPr="00EB7BF0" w:rsidRDefault="005E38F4" w:rsidP="001F62EC">
            <w:pPr>
              <w:jc w:val="right"/>
              <w:rPr>
                <w:snapToGrid w:val="0"/>
                <w:color w:val="000000"/>
              </w:rPr>
            </w:pPr>
          </w:p>
        </w:tc>
        <w:tc>
          <w:tcPr>
            <w:tcW w:w="5815" w:type="dxa"/>
            <w:gridSpan w:val="2"/>
          </w:tcPr>
          <w:p w14:paraId="7E9B5270" w14:textId="3518C6DC" w:rsidR="005E38F4" w:rsidRPr="00374FE3" w:rsidRDefault="005E38F4" w:rsidP="001F62EC">
            <w:pPr>
              <w:rPr>
                <w:snapToGrid w:val="0"/>
                <w:color w:val="000000"/>
              </w:rPr>
            </w:pPr>
            <w:r>
              <w:rPr>
                <w:snapToGrid w:val="0"/>
                <w:color w:val="000000"/>
              </w:rPr>
              <w:t>Current portion of notes payable</w:t>
            </w:r>
          </w:p>
        </w:tc>
        <w:tc>
          <w:tcPr>
            <w:tcW w:w="90" w:type="dxa"/>
          </w:tcPr>
          <w:p w14:paraId="27B67F56" w14:textId="77777777" w:rsidR="005E38F4" w:rsidRPr="00E74795" w:rsidRDefault="005E38F4" w:rsidP="001F62EC">
            <w:pPr>
              <w:jc w:val="right"/>
              <w:rPr>
                <w:snapToGrid w:val="0"/>
                <w:color w:val="000000"/>
              </w:rPr>
            </w:pPr>
          </w:p>
        </w:tc>
        <w:tc>
          <w:tcPr>
            <w:tcW w:w="1710" w:type="dxa"/>
          </w:tcPr>
          <w:p w14:paraId="1F3FC868" w14:textId="6DDAE096" w:rsidR="005E38F4" w:rsidRDefault="005E38F4" w:rsidP="001F62EC">
            <w:pPr>
              <w:tabs>
                <w:tab w:val="decimal" w:pos="1320"/>
              </w:tabs>
              <w:rPr>
                <w:snapToGrid w:val="0"/>
                <w:color w:val="000000"/>
              </w:rPr>
            </w:pPr>
            <w:r>
              <w:rPr>
                <w:snapToGrid w:val="0"/>
                <w:color w:val="000000"/>
              </w:rPr>
              <w:t>182,379</w:t>
            </w:r>
          </w:p>
        </w:tc>
        <w:tc>
          <w:tcPr>
            <w:tcW w:w="270" w:type="dxa"/>
          </w:tcPr>
          <w:p w14:paraId="6CF8002A" w14:textId="77777777" w:rsidR="005E38F4" w:rsidRPr="00E74795" w:rsidRDefault="005E38F4" w:rsidP="001F62EC">
            <w:pPr>
              <w:jc w:val="right"/>
              <w:rPr>
                <w:snapToGrid w:val="0"/>
                <w:color w:val="000000"/>
              </w:rPr>
            </w:pPr>
          </w:p>
        </w:tc>
        <w:tc>
          <w:tcPr>
            <w:tcW w:w="1890" w:type="dxa"/>
          </w:tcPr>
          <w:p w14:paraId="012B48EB" w14:textId="4AF6923D" w:rsidR="005E38F4" w:rsidRDefault="005E38F4" w:rsidP="001F62EC">
            <w:pPr>
              <w:tabs>
                <w:tab w:val="decimal" w:pos="1500"/>
              </w:tabs>
              <w:rPr>
                <w:snapToGrid w:val="0"/>
                <w:color w:val="000000"/>
              </w:rPr>
            </w:pPr>
            <w:r>
              <w:rPr>
                <w:snapToGrid w:val="0"/>
                <w:color w:val="000000"/>
              </w:rPr>
              <w:t>12,500</w:t>
            </w:r>
          </w:p>
        </w:tc>
      </w:tr>
      <w:tr w:rsidR="001F62EC" w:rsidRPr="00EB7BF0" w14:paraId="55F6957B" w14:textId="77777777" w:rsidTr="001F62EC">
        <w:trPr>
          <w:trHeight w:hRule="exact" w:val="230"/>
        </w:trPr>
        <w:tc>
          <w:tcPr>
            <w:tcW w:w="305" w:type="dxa"/>
          </w:tcPr>
          <w:p w14:paraId="098AD126" w14:textId="77777777" w:rsidR="001F62EC" w:rsidRPr="00EB7BF0" w:rsidRDefault="001F62EC" w:rsidP="001F62EC">
            <w:pPr>
              <w:jc w:val="right"/>
              <w:rPr>
                <w:snapToGrid w:val="0"/>
                <w:color w:val="000000"/>
              </w:rPr>
            </w:pPr>
          </w:p>
        </w:tc>
        <w:tc>
          <w:tcPr>
            <w:tcW w:w="5815" w:type="dxa"/>
            <w:gridSpan w:val="2"/>
          </w:tcPr>
          <w:p w14:paraId="2D8661A4" w14:textId="0979E3E5" w:rsidR="001F62EC" w:rsidRPr="00E74795" w:rsidRDefault="001F62EC" w:rsidP="001F62EC">
            <w:pPr>
              <w:rPr>
                <w:snapToGrid w:val="0"/>
                <w:color w:val="000000"/>
              </w:rPr>
            </w:pPr>
            <w:r w:rsidRPr="00374FE3">
              <w:rPr>
                <w:snapToGrid w:val="0"/>
                <w:color w:val="000000"/>
              </w:rPr>
              <w:t>C</w:t>
            </w:r>
            <w:r w:rsidR="005E38F4">
              <w:rPr>
                <w:snapToGrid w:val="0"/>
                <w:color w:val="000000"/>
              </w:rPr>
              <w:t>onvertible debentures</w:t>
            </w:r>
          </w:p>
        </w:tc>
        <w:tc>
          <w:tcPr>
            <w:tcW w:w="90" w:type="dxa"/>
          </w:tcPr>
          <w:p w14:paraId="175CAB52" w14:textId="77777777" w:rsidR="001F62EC" w:rsidRPr="00E74795" w:rsidRDefault="001F62EC" w:rsidP="001F62EC">
            <w:pPr>
              <w:jc w:val="right"/>
              <w:rPr>
                <w:snapToGrid w:val="0"/>
                <w:color w:val="000000"/>
              </w:rPr>
            </w:pPr>
          </w:p>
        </w:tc>
        <w:tc>
          <w:tcPr>
            <w:tcW w:w="1710" w:type="dxa"/>
            <w:tcBorders>
              <w:bottom w:val="single" w:sz="4" w:space="0" w:color="auto"/>
            </w:tcBorders>
          </w:tcPr>
          <w:p w14:paraId="59251AFD" w14:textId="12AFE4CE" w:rsidR="001F62EC" w:rsidRPr="00E74795" w:rsidRDefault="005E38F4" w:rsidP="001F62EC">
            <w:pPr>
              <w:tabs>
                <w:tab w:val="decimal" w:pos="1320"/>
              </w:tabs>
              <w:rPr>
                <w:snapToGrid w:val="0"/>
                <w:color w:val="000000"/>
              </w:rPr>
            </w:pPr>
            <w:r>
              <w:rPr>
                <w:snapToGrid w:val="0"/>
                <w:color w:val="000000"/>
              </w:rPr>
              <w:t>4</w:t>
            </w:r>
            <w:r w:rsidR="00EC5343">
              <w:rPr>
                <w:snapToGrid w:val="0"/>
                <w:color w:val="000000"/>
              </w:rPr>
              <w:t>35,711</w:t>
            </w:r>
          </w:p>
        </w:tc>
        <w:tc>
          <w:tcPr>
            <w:tcW w:w="270" w:type="dxa"/>
          </w:tcPr>
          <w:p w14:paraId="7F895092" w14:textId="77777777" w:rsidR="001F62EC" w:rsidRPr="00E74795" w:rsidRDefault="001F62EC" w:rsidP="001F62EC">
            <w:pPr>
              <w:jc w:val="right"/>
              <w:rPr>
                <w:snapToGrid w:val="0"/>
                <w:color w:val="000000"/>
              </w:rPr>
            </w:pPr>
          </w:p>
        </w:tc>
        <w:tc>
          <w:tcPr>
            <w:tcW w:w="1890" w:type="dxa"/>
            <w:tcBorders>
              <w:bottom w:val="single" w:sz="4" w:space="0" w:color="auto"/>
            </w:tcBorders>
          </w:tcPr>
          <w:p w14:paraId="51E4EA1F" w14:textId="1F5D65EB" w:rsidR="001F62EC" w:rsidRPr="00E74795" w:rsidRDefault="005E38F4" w:rsidP="001F62EC">
            <w:pPr>
              <w:tabs>
                <w:tab w:val="decimal" w:pos="1195"/>
              </w:tabs>
              <w:jc w:val="center"/>
              <w:rPr>
                <w:snapToGrid w:val="0"/>
                <w:color w:val="000000"/>
              </w:rPr>
            </w:pPr>
            <w:r>
              <w:rPr>
                <w:snapToGrid w:val="0"/>
                <w:color w:val="000000"/>
              </w:rPr>
              <w:t>-</w:t>
            </w:r>
          </w:p>
        </w:tc>
      </w:tr>
      <w:tr w:rsidR="001F62EC" w:rsidRPr="00EB7BF0" w14:paraId="6DA53DFF" w14:textId="77777777" w:rsidTr="001F62EC">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6FA34AAD" w:rsidR="001F62EC" w:rsidRPr="00E74795" w:rsidRDefault="003921D9" w:rsidP="001F62EC">
            <w:pPr>
              <w:tabs>
                <w:tab w:val="decimal" w:pos="1320"/>
              </w:tabs>
              <w:rPr>
                <w:snapToGrid w:val="0"/>
                <w:color w:val="000000"/>
              </w:rPr>
            </w:pPr>
            <w:r>
              <w:rPr>
                <w:snapToGrid w:val="0"/>
                <w:color w:val="000000"/>
              </w:rPr>
              <w:t>2,7</w:t>
            </w:r>
            <w:r w:rsidR="00EC5343">
              <w:rPr>
                <w:snapToGrid w:val="0"/>
                <w:color w:val="000000"/>
              </w:rPr>
              <w:t>85,</w:t>
            </w:r>
            <w:r w:rsidR="00F46637">
              <w:rPr>
                <w:snapToGrid w:val="0"/>
                <w:color w:val="000000"/>
              </w:rPr>
              <w:t>8</w:t>
            </w:r>
            <w:r w:rsidR="001B5554">
              <w:rPr>
                <w:snapToGrid w:val="0"/>
                <w:color w:val="000000"/>
              </w:rPr>
              <w:t>65</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1394DB5F" w:rsidR="001F62EC" w:rsidRPr="00E74795" w:rsidRDefault="00011002" w:rsidP="001F62EC">
            <w:pPr>
              <w:tabs>
                <w:tab w:val="decimal" w:pos="1500"/>
              </w:tabs>
              <w:rPr>
                <w:snapToGrid w:val="0"/>
                <w:color w:val="000000"/>
              </w:rPr>
            </w:pPr>
            <w:r>
              <w:rPr>
                <w:snapToGrid w:val="0"/>
                <w:color w:val="000000"/>
              </w:rPr>
              <w:t>2,016,193</w:t>
            </w:r>
          </w:p>
        </w:tc>
      </w:tr>
      <w:tr w:rsidR="001F62EC" w:rsidRPr="00EB7BF0" w14:paraId="779FCC2C" w14:textId="77777777" w:rsidTr="001F62EC">
        <w:trPr>
          <w:trHeight w:hRule="exact" w:val="230"/>
        </w:trPr>
        <w:tc>
          <w:tcPr>
            <w:tcW w:w="6120" w:type="dxa"/>
            <w:gridSpan w:val="3"/>
          </w:tcPr>
          <w:p w14:paraId="77485CFD" w14:textId="22278979" w:rsidR="001F62EC" w:rsidRPr="00E74795" w:rsidRDefault="001F62EC" w:rsidP="001F62EC">
            <w:pPr>
              <w:rPr>
                <w:snapToGrid w:val="0"/>
                <w:color w:val="000000"/>
              </w:rPr>
            </w:pPr>
            <w:r w:rsidRPr="00374FE3">
              <w:rPr>
                <w:snapToGrid w:val="0"/>
                <w:color w:val="000000"/>
              </w:rPr>
              <w:t>Note payable, net of current portion</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067A3CA6" w:rsidR="001F62EC" w:rsidRPr="00E74795" w:rsidRDefault="003921D9" w:rsidP="001F62EC">
            <w:pPr>
              <w:tabs>
                <w:tab w:val="decimal" w:pos="1320"/>
              </w:tabs>
              <w:rPr>
                <w:snapToGrid w:val="0"/>
                <w:color w:val="000000"/>
              </w:rPr>
            </w:pPr>
            <w:r>
              <w:rPr>
                <w:snapToGrid w:val="0"/>
                <w:color w:val="000000"/>
              </w:rPr>
              <w:t>21,699</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005A461F" w:rsidR="001F62EC" w:rsidRPr="00E74795" w:rsidRDefault="00011002" w:rsidP="001F62EC">
            <w:pPr>
              <w:tabs>
                <w:tab w:val="decimal" w:pos="1500"/>
              </w:tabs>
              <w:rPr>
                <w:snapToGrid w:val="0"/>
                <w:color w:val="000000"/>
              </w:rPr>
            </w:pPr>
            <w:r>
              <w:rPr>
                <w:snapToGrid w:val="0"/>
                <w:color w:val="000000"/>
              </w:rPr>
              <w:t>27,243</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7B52BA57" w:rsidR="001F62EC" w:rsidRPr="00E74795" w:rsidRDefault="003921D9" w:rsidP="001F62EC">
            <w:pPr>
              <w:tabs>
                <w:tab w:val="decimal" w:pos="1320"/>
              </w:tabs>
              <w:rPr>
                <w:snapToGrid w:val="0"/>
                <w:color w:val="000000"/>
              </w:rPr>
            </w:pPr>
            <w:r>
              <w:rPr>
                <w:snapToGrid w:val="0"/>
                <w:color w:val="000000"/>
              </w:rPr>
              <w:t>2,</w:t>
            </w:r>
            <w:r w:rsidR="00F46637">
              <w:rPr>
                <w:snapToGrid w:val="0"/>
                <w:color w:val="000000"/>
              </w:rPr>
              <w:t>807,564</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238D8806" w:rsidR="001F62EC" w:rsidRPr="00E74795" w:rsidRDefault="00011002" w:rsidP="001F62EC">
            <w:pPr>
              <w:tabs>
                <w:tab w:val="decimal" w:pos="1500"/>
              </w:tabs>
              <w:rPr>
                <w:snapToGrid w:val="0"/>
                <w:color w:val="000000"/>
              </w:rPr>
            </w:pPr>
            <w:r>
              <w:rPr>
                <w:snapToGrid w:val="0"/>
                <w:color w:val="000000"/>
              </w:rPr>
              <w:t>2,043,436</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AC7CDC6" w:rsidR="001F62EC" w:rsidRPr="00E74795" w:rsidRDefault="001F62EC" w:rsidP="001F62EC">
            <w:pPr>
              <w:rPr>
                <w:snapToGrid w:val="0"/>
                <w:color w:val="000000"/>
              </w:rPr>
            </w:pPr>
            <w:r w:rsidRPr="00374FE3">
              <w:rPr>
                <w:snapToGrid w:val="0"/>
                <w:color w:val="000000"/>
              </w:rPr>
              <w:t xml:space="preserve">Commitments (Note </w:t>
            </w:r>
            <w:r w:rsidR="00F46637">
              <w:rPr>
                <w:snapToGrid w:val="0"/>
                <w:color w:val="000000"/>
              </w:rPr>
              <w:t>9</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7777777" w:rsidR="001F62EC" w:rsidRPr="00E74795" w:rsidRDefault="001F62EC" w:rsidP="001F62EC">
            <w:pPr>
              <w:rPr>
                <w:snapToGrid w:val="0"/>
                <w:color w:val="000000"/>
              </w:rPr>
            </w:pPr>
            <w:r w:rsidRPr="00374FE3">
              <w:rPr>
                <w:snapToGrid w:val="0"/>
                <w:color w:val="000000"/>
              </w:rPr>
              <w:t>Stockholders’ equity (deficiency):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3C69068D" w14:textId="77777777" w:rsidTr="001F62EC">
        <w:trPr>
          <w:trHeight w:hRule="exact" w:val="230"/>
        </w:trPr>
        <w:tc>
          <w:tcPr>
            <w:tcW w:w="305" w:type="dxa"/>
          </w:tcPr>
          <w:p w14:paraId="1DE23C1B" w14:textId="77777777" w:rsidR="001F62EC" w:rsidRPr="00EB7BF0" w:rsidRDefault="001F62EC" w:rsidP="001F62EC">
            <w:pPr>
              <w:jc w:val="right"/>
              <w:rPr>
                <w:snapToGrid w:val="0"/>
                <w:color w:val="000000"/>
              </w:rPr>
            </w:pPr>
          </w:p>
        </w:tc>
        <w:tc>
          <w:tcPr>
            <w:tcW w:w="5815" w:type="dxa"/>
            <w:gridSpan w:val="2"/>
          </w:tcPr>
          <w:p w14:paraId="0B2889B7" w14:textId="1314FFDF" w:rsidR="001F62EC" w:rsidRPr="00E74795" w:rsidRDefault="001F62EC" w:rsidP="001F62EC">
            <w:pPr>
              <w:tabs>
                <w:tab w:val="left" w:pos="203"/>
              </w:tabs>
              <w:rPr>
                <w:snapToGrid w:val="0"/>
                <w:color w:val="000000"/>
              </w:rPr>
            </w:pPr>
            <w:r>
              <w:rPr>
                <w:snapToGrid w:val="0"/>
                <w:color w:val="000000"/>
              </w:rPr>
              <w:t xml:space="preserve">Preferred Stock, $.01 par value (Note </w:t>
            </w:r>
            <w:r w:rsidR="005E38F4">
              <w:rPr>
                <w:snapToGrid w:val="0"/>
                <w:color w:val="000000"/>
              </w:rPr>
              <w:t>10</w:t>
            </w:r>
            <w:r>
              <w:rPr>
                <w:snapToGrid w:val="0"/>
                <w:color w:val="000000"/>
              </w:rPr>
              <w:t>):</w:t>
            </w:r>
          </w:p>
        </w:tc>
        <w:tc>
          <w:tcPr>
            <w:tcW w:w="90" w:type="dxa"/>
          </w:tcPr>
          <w:p w14:paraId="2D37E3E9" w14:textId="77777777" w:rsidR="001F62EC" w:rsidRPr="00E74795" w:rsidRDefault="001F62EC" w:rsidP="001F62EC">
            <w:pPr>
              <w:jc w:val="right"/>
              <w:rPr>
                <w:snapToGrid w:val="0"/>
                <w:color w:val="000000"/>
              </w:rPr>
            </w:pPr>
          </w:p>
        </w:tc>
        <w:tc>
          <w:tcPr>
            <w:tcW w:w="1710" w:type="dxa"/>
          </w:tcPr>
          <w:p w14:paraId="542F1E7C" w14:textId="77777777" w:rsidR="001F62EC" w:rsidRPr="00E74795" w:rsidRDefault="001F62EC" w:rsidP="001F62EC">
            <w:pPr>
              <w:tabs>
                <w:tab w:val="decimal" w:pos="1320"/>
              </w:tabs>
              <w:rPr>
                <w:snapToGrid w:val="0"/>
                <w:color w:val="000000"/>
              </w:rPr>
            </w:pPr>
          </w:p>
        </w:tc>
        <w:tc>
          <w:tcPr>
            <w:tcW w:w="270" w:type="dxa"/>
          </w:tcPr>
          <w:p w14:paraId="2EB167C5" w14:textId="77777777" w:rsidR="001F62EC" w:rsidRPr="00E74795" w:rsidRDefault="001F62EC" w:rsidP="001F62EC">
            <w:pPr>
              <w:jc w:val="right"/>
              <w:rPr>
                <w:snapToGrid w:val="0"/>
                <w:color w:val="000000"/>
              </w:rPr>
            </w:pPr>
          </w:p>
        </w:tc>
        <w:tc>
          <w:tcPr>
            <w:tcW w:w="1890" w:type="dxa"/>
          </w:tcPr>
          <w:p w14:paraId="66E6B98B" w14:textId="77777777" w:rsidR="001F62EC" w:rsidRPr="00E74795" w:rsidRDefault="001F62EC" w:rsidP="001F62EC">
            <w:pPr>
              <w:tabs>
                <w:tab w:val="decimal" w:pos="1500"/>
              </w:tabs>
              <w:rPr>
                <w:snapToGrid w:val="0"/>
                <w:color w:val="000000"/>
              </w:rPr>
            </w:pPr>
          </w:p>
        </w:tc>
      </w:tr>
      <w:tr w:rsidR="001F62EC" w:rsidRPr="00EB7BF0" w14:paraId="4FC57A7F" w14:textId="77777777" w:rsidTr="001F62EC">
        <w:trPr>
          <w:trHeight w:hRule="exact" w:val="230"/>
        </w:trPr>
        <w:tc>
          <w:tcPr>
            <w:tcW w:w="305" w:type="dxa"/>
          </w:tcPr>
          <w:p w14:paraId="242D2F22" w14:textId="77777777" w:rsidR="001F62EC" w:rsidRPr="00EB7BF0" w:rsidRDefault="001F62EC" w:rsidP="001F62EC">
            <w:pPr>
              <w:jc w:val="right"/>
              <w:rPr>
                <w:snapToGrid w:val="0"/>
                <w:color w:val="000000"/>
              </w:rPr>
            </w:pPr>
          </w:p>
        </w:tc>
        <w:tc>
          <w:tcPr>
            <w:tcW w:w="302" w:type="dxa"/>
          </w:tcPr>
          <w:p w14:paraId="7475F202" w14:textId="77777777" w:rsidR="001F62EC" w:rsidRPr="00EB7BF0" w:rsidRDefault="001F62EC" w:rsidP="001F62EC">
            <w:pPr>
              <w:jc w:val="right"/>
              <w:rPr>
                <w:snapToGrid w:val="0"/>
                <w:color w:val="000000"/>
              </w:rPr>
            </w:pPr>
          </w:p>
        </w:tc>
        <w:tc>
          <w:tcPr>
            <w:tcW w:w="5513" w:type="dxa"/>
          </w:tcPr>
          <w:p w14:paraId="6BD21B94" w14:textId="77777777" w:rsidR="001F62EC" w:rsidRPr="00374FE3" w:rsidRDefault="001F62EC" w:rsidP="001F62EC">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7678E97C" w14:textId="77777777" w:rsidR="001F62EC" w:rsidRPr="00E74795" w:rsidRDefault="001F62EC" w:rsidP="001F62EC">
            <w:pPr>
              <w:tabs>
                <w:tab w:val="left" w:pos="203"/>
              </w:tabs>
              <w:rPr>
                <w:snapToGrid w:val="0"/>
                <w:color w:val="000000"/>
              </w:rPr>
            </w:pPr>
          </w:p>
        </w:tc>
        <w:tc>
          <w:tcPr>
            <w:tcW w:w="90" w:type="dxa"/>
          </w:tcPr>
          <w:p w14:paraId="17A22978" w14:textId="77777777" w:rsidR="001F62EC" w:rsidRPr="00E74795" w:rsidRDefault="001F62EC" w:rsidP="001F62EC">
            <w:pPr>
              <w:jc w:val="right"/>
              <w:rPr>
                <w:snapToGrid w:val="0"/>
                <w:color w:val="000000"/>
              </w:rPr>
            </w:pPr>
          </w:p>
        </w:tc>
        <w:tc>
          <w:tcPr>
            <w:tcW w:w="1710" w:type="dxa"/>
          </w:tcPr>
          <w:p w14:paraId="431D97F7" w14:textId="77777777" w:rsidR="001F62EC" w:rsidRPr="00E74795" w:rsidRDefault="001F62EC" w:rsidP="001F62EC">
            <w:pPr>
              <w:tabs>
                <w:tab w:val="decimal" w:pos="1320"/>
              </w:tabs>
              <w:jc w:val="right"/>
              <w:rPr>
                <w:snapToGrid w:val="0"/>
                <w:color w:val="000000"/>
              </w:rPr>
            </w:pPr>
          </w:p>
        </w:tc>
        <w:tc>
          <w:tcPr>
            <w:tcW w:w="270" w:type="dxa"/>
          </w:tcPr>
          <w:p w14:paraId="615BC17C" w14:textId="77777777" w:rsidR="001F62EC" w:rsidRPr="00E74795" w:rsidRDefault="001F62EC" w:rsidP="001F62EC">
            <w:pPr>
              <w:jc w:val="right"/>
              <w:rPr>
                <w:snapToGrid w:val="0"/>
                <w:color w:val="000000"/>
              </w:rPr>
            </w:pPr>
          </w:p>
        </w:tc>
        <w:tc>
          <w:tcPr>
            <w:tcW w:w="1890" w:type="dxa"/>
          </w:tcPr>
          <w:p w14:paraId="181A9B53" w14:textId="77777777" w:rsidR="001F62EC" w:rsidRPr="00E74795" w:rsidRDefault="001F62EC" w:rsidP="001F62EC">
            <w:pPr>
              <w:tabs>
                <w:tab w:val="decimal" w:pos="1500"/>
              </w:tabs>
              <w:jc w:val="right"/>
              <w:rPr>
                <w:snapToGrid w:val="0"/>
                <w:color w:val="000000"/>
              </w:rPr>
            </w:pPr>
          </w:p>
        </w:tc>
      </w:tr>
      <w:tr w:rsidR="001F62EC" w:rsidRPr="00EB7BF0" w14:paraId="0902F474" w14:textId="77777777" w:rsidTr="001F62EC">
        <w:trPr>
          <w:trHeight w:hRule="exact" w:val="230"/>
        </w:trPr>
        <w:tc>
          <w:tcPr>
            <w:tcW w:w="305" w:type="dxa"/>
          </w:tcPr>
          <w:p w14:paraId="65F92E94" w14:textId="77777777" w:rsidR="001F62EC" w:rsidRPr="00EB7BF0" w:rsidRDefault="001F62EC" w:rsidP="001F62EC">
            <w:pPr>
              <w:jc w:val="right"/>
              <w:rPr>
                <w:snapToGrid w:val="0"/>
                <w:color w:val="000000"/>
              </w:rPr>
            </w:pPr>
          </w:p>
        </w:tc>
        <w:tc>
          <w:tcPr>
            <w:tcW w:w="302" w:type="dxa"/>
          </w:tcPr>
          <w:p w14:paraId="237CD8CE" w14:textId="77777777" w:rsidR="001F62EC" w:rsidRPr="00EB7BF0" w:rsidRDefault="001F62EC" w:rsidP="001F62EC">
            <w:pPr>
              <w:jc w:val="right"/>
              <w:rPr>
                <w:snapToGrid w:val="0"/>
                <w:color w:val="000000"/>
              </w:rPr>
            </w:pPr>
          </w:p>
        </w:tc>
        <w:tc>
          <w:tcPr>
            <w:tcW w:w="5513" w:type="dxa"/>
          </w:tcPr>
          <w:p w14:paraId="0796260A" w14:textId="50365DB3"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4F479E">
              <w:rPr>
                <w:snapToGrid w:val="0"/>
                <w:color w:val="000000"/>
              </w:rPr>
              <w:t>400</w:t>
            </w:r>
            <w:r w:rsidRPr="00374FE3">
              <w:rPr>
                <w:snapToGrid w:val="0"/>
                <w:color w:val="000000"/>
              </w:rPr>
              <w:t xml:space="preserve"> and </w:t>
            </w:r>
            <w:r w:rsidR="004F479E">
              <w:rPr>
                <w:snapToGrid w:val="0"/>
                <w:color w:val="000000"/>
              </w:rPr>
              <w:t>2,486</w:t>
            </w:r>
          </w:p>
        </w:tc>
        <w:tc>
          <w:tcPr>
            <w:tcW w:w="90" w:type="dxa"/>
          </w:tcPr>
          <w:p w14:paraId="263E00E3" w14:textId="77777777" w:rsidR="001F62EC" w:rsidRPr="00E74795" w:rsidRDefault="001F62EC" w:rsidP="001F62EC">
            <w:pPr>
              <w:jc w:val="right"/>
              <w:rPr>
                <w:snapToGrid w:val="0"/>
                <w:color w:val="000000"/>
              </w:rPr>
            </w:pPr>
          </w:p>
        </w:tc>
        <w:tc>
          <w:tcPr>
            <w:tcW w:w="1710" w:type="dxa"/>
          </w:tcPr>
          <w:p w14:paraId="33B4C13C" w14:textId="77777777" w:rsidR="001F62EC" w:rsidRPr="00E74795" w:rsidRDefault="001F62EC" w:rsidP="001F62EC">
            <w:pPr>
              <w:tabs>
                <w:tab w:val="decimal" w:pos="1320"/>
              </w:tabs>
              <w:jc w:val="right"/>
              <w:rPr>
                <w:snapToGrid w:val="0"/>
                <w:color w:val="000000"/>
              </w:rPr>
            </w:pPr>
          </w:p>
        </w:tc>
        <w:tc>
          <w:tcPr>
            <w:tcW w:w="270" w:type="dxa"/>
          </w:tcPr>
          <w:p w14:paraId="3865DA30" w14:textId="77777777" w:rsidR="001F62EC" w:rsidRPr="00E74795" w:rsidRDefault="001F62EC" w:rsidP="001F62EC">
            <w:pPr>
              <w:jc w:val="right"/>
              <w:rPr>
                <w:snapToGrid w:val="0"/>
                <w:color w:val="000000"/>
              </w:rPr>
            </w:pPr>
          </w:p>
        </w:tc>
        <w:tc>
          <w:tcPr>
            <w:tcW w:w="1890" w:type="dxa"/>
          </w:tcPr>
          <w:p w14:paraId="3670308A" w14:textId="77777777" w:rsidR="001F62EC" w:rsidRPr="00E74795" w:rsidRDefault="001F62EC" w:rsidP="001F62EC">
            <w:pPr>
              <w:tabs>
                <w:tab w:val="decimal" w:pos="1500"/>
              </w:tabs>
              <w:jc w:val="right"/>
              <w:rPr>
                <w:snapToGrid w:val="0"/>
                <w:color w:val="000000"/>
              </w:rPr>
            </w:pPr>
          </w:p>
        </w:tc>
      </w:tr>
      <w:tr w:rsidR="001F62EC" w:rsidRPr="00EB7BF0" w14:paraId="7DA59F85" w14:textId="77777777" w:rsidTr="001F62EC">
        <w:trPr>
          <w:trHeight w:hRule="exact" w:val="230"/>
        </w:trPr>
        <w:tc>
          <w:tcPr>
            <w:tcW w:w="305" w:type="dxa"/>
          </w:tcPr>
          <w:p w14:paraId="5168C335" w14:textId="77777777" w:rsidR="001F62EC" w:rsidRPr="00EB7BF0" w:rsidRDefault="001F62EC" w:rsidP="001F62EC">
            <w:pPr>
              <w:jc w:val="right"/>
              <w:rPr>
                <w:snapToGrid w:val="0"/>
                <w:color w:val="000000"/>
              </w:rPr>
            </w:pPr>
          </w:p>
        </w:tc>
        <w:tc>
          <w:tcPr>
            <w:tcW w:w="302" w:type="dxa"/>
          </w:tcPr>
          <w:p w14:paraId="3B15A384" w14:textId="77777777" w:rsidR="001F62EC" w:rsidRPr="00EB7BF0" w:rsidRDefault="001F62EC" w:rsidP="001F62EC">
            <w:pPr>
              <w:jc w:val="right"/>
              <w:rPr>
                <w:snapToGrid w:val="0"/>
                <w:color w:val="000000"/>
              </w:rPr>
            </w:pPr>
          </w:p>
        </w:tc>
        <w:tc>
          <w:tcPr>
            <w:tcW w:w="5513" w:type="dxa"/>
          </w:tcPr>
          <w:p w14:paraId="482EE1EF" w14:textId="2D2EB148" w:rsidR="001F62EC" w:rsidRPr="00E74795" w:rsidRDefault="001F62EC" w:rsidP="001F62EC">
            <w:pPr>
              <w:tabs>
                <w:tab w:val="left" w:pos="203"/>
              </w:tabs>
              <w:rPr>
                <w:snapToGrid w:val="0"/>
                <w:color w:val="000000"/>
              </w:rPr>
            </w:pPr>
            <w:r w:rsidRPr="00374FE3">
              <w:rPr>
                <w:snapToGrid w:val="0"/>
                <w:color w:val="000000"/>
              </w:rPr>
              <w:tab/>
            </w:r>
            <w:r w:rsidR="00692D9E">
              <w:rPr>
                <w:snapToGrid w:val="0"/>
                <w:color w:val="000000"/>
              </w:rPr>
              <w:t>June</w:t>
            </w:r>
            <w:r w:rsidRPr="00374FE3">
              <w:rPr>
                <w:snapToGrid w:val="0"/>
                <w:color w:val="000000"/>
              </w:rPr>
              <w:t xml:space="preserve"> 3</w:t>
            </w:r>
            <w:r w:rsidR="00692D9E">
              <w:rPr>
                <w:snapToGrid w:val="0"/>
                <w:color w:val="000000"/>
              </w:rPr>
              <w:t>0</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99E65A4" w14:textId="77777777" w:rsidR="001F62EC" w:rsidRPr="00E74795" w:rsidRDefault="001F62EC" w:rsidP="001F62EC">
            <w:pPr>
              <w:jc w:val="right"/>
              <w:rPr>
                <w:snapToGrid w:val="0"/>
                <w:color w:val="000000"/>
              </w:rPr>
            </w:pPr>
          </w:p>
        </w:tc>
        <w:tc>
          <w:tcPr>
            <w:tcW w:w="1710" w:type="dxa"/>
          </w:tcPr>
          <w:p w14:paraId="5CAE19EC" w14:textId="07FE55FA" w:rsidR="001F62EC" w:rsidRPr="00E74795" w:rsidRDefault="00E53694" w:rsidP="001F62EC">
            <w:pPr>
              <w:tabs>
                <w:tab w:val="decimal" w:pos="1320"/>
              </w:tabs>
              <w:rPr>
                <w:snapToGrid w:val="0"/>
                <w:color w:val="000000"/>
              </w:rPr>
            </w:pPr>
            <w:r>
              <w:rPr>
                <w:snapToGrid w:val="0"/>
                <w:color w:val="000000"/>
              </w:rPr>
              <w:t>376,095</w:t>
            </w:r>
          </w:p>
        </w:tc>
        <w:tc>
          <w:tcPr>
            <w:tcW w:w="270" w:type="dxa"/>
          </w:tcPr>
          <w:p w14:paraId="1E25484E" w14:textId="77777777" w:rsidR="001F62EC" w:rsidRPr="00E74795" w:rsidRDefault="001F62EC" w:rsidP="001F62EC">
            <w:pPr>
              <w:jc w:val="right"/>
              <w:rPr>
                <w:snapToGrid w:val="0"/>
                <w:color w:val="000000"/>
              </w:rPr>
            </w:pPr>
          </w:p>
        </w:tc>
        <w:tc>
          <w:tcPr>
            <w:tcW w:w="1890" w:type="dxa"/>
          </w:tcPr>
          <w:p w14:paraId="17539C73" w14:textId="6B62A54D" w:rsidR="001F62EC" w:rsidRPr="00E74795" w:rsidRDefault="001F62EC" w:rsidP="001F62EC">
            <w:pPr>
              <w:tabs>
                <w:tab w:val="decimal" w:pos="1500"/>
              </w:tabs>
              <w:rPr>
                <w:snapToGrid w:val="0"/>
                <w:color w:val="000000"/>
              </w:rPr>
            </w:pPr>
            <w:r>
              <w:rPr>
                <w:snapToGrid w:val="0"/>
                <w:color w:val="000000"/>
              </w:rPr>
              <w:t>1,9</w:t>
            </w:r>
            <w:r w:rsidR="00011002">
              <w:rPr>
                <w:snapToGrid w:val="0"/>
                <w:color w:val="000000"/>
              </w:rPr>
              <w:t>32,433</w:t>
            </w: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5D7FE5F2"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3921D9">
              <w:rPr>
                <w:snapToGrid w:val="0"/>
                <w:color w:val="000000"/>
              </w:rPr>
              <w:t>13,834,075</w:t>
            </w:r>
            <w:r w:rsidRPr="00374FE3">
              <w:rPr>
                <w:snapToGrid w:val="0"/>
                <w:color w:val="000000"/>
              </w:rPr>
              <w:t xml:space="preserve"> and </w:t>
            </w:r>
            <w:r w:rsidR="004F479E">
              <w:rPr>
                <w:snapToGrid w:val="0"/>
                <w:color w:val="000000"/>
              </w:rPr>
              <w:t>299,835</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4B4CECFC" w:rsidR="001F62EC" w:rsidRPr="00E74795" w:rsidRDefault="001F62EC" w:rsidP="001F62EC">
            <w:pPr>
              <w:tabs>
                <w:tab w:val="left" w:pos="203"/>
              </w:tabs>
              <w:rPr>
                <w:snapToGrid w:val="0"/>
                <w:color w:val="000000"/>
              </w:rPr>
            </w:pPr>
            <w:r w:rsidRPr="00374FE3">
              <w:rPr>
                <w:snapToGrid w:val="0"/>
                <w:color w:val="000000"/>
              </w:rPr>
              <w:tab/>
            </w:r>
            <w:r w:rsidR="00692D9E">
              <w:rPr>
                <w:snapToGrid w:val="0"/>
                <w:color w:val="000000"/>
              </w:rPr>
              <w:t>June</w:t>
            </w:r>
            <w:r w:rsidRPr="00374FE3">
              <w:rPr>
                <w:snapToGrid w:val="0"/>
                <w:color w:val="000000"/>
              </w:rPr>
              <w:t xml:space="preserve"> 3</w:t>
            </w:r>
            <w:r w:rsidR="00692D9E">
              <w:rPr>
                <w:snapToGrid w:val="0"/>
                <w:color w:val="000000"/>
              </w:rPr>
              <w:t>0</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21D83351" w:rsidR="001F62EC" w:rsidRPr="00E74795" w:rsidRDefault="003921D9" w:rsidP="001F62EC">
            <w:pPr>
              <w:tabs>
                <w:tab w:val="decimal" w:pos="1320"/>
              </w:tabs>
              <w:rPr>
                <w:snapToGrid w:val="0"/>
                <w:color w:val="000000"/>
              </w:rPr>
            </w:pPr>
            <w:r>
              <w:rPr>
                <w:snapToGrid w:val="0"/>
                <w:color w:val="000000"/>
              </w:rPr>
              <w:t>13,834</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62A7CAB7" w:rsidR="001F62EC" w:rsidRPr="00E74795" w:rsidRDefault="00011002" w:rsidP="001F62EC">
            <w:pPr>
              <w:tabs>
                <w:tab w:val="decimal" w:pos="1500"/>
              </w:tabs>
              <w:rPr>
                <w:snapToGrid w:val="0"/>
                <w:color w:val="000000"/>
              </w:rPr>
            </w:pPr>
            <w:r>
              <w:rPr>
                <w:snapToGrid w:val="0"/>
                <w:color w:val="000000"/>
              </w:rPr>
              <w:t>300</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7A1E41D0" w:rsidR="001F62EC" w:rsidRPr="00E74795" w:rsidRDefault="003921D9" w:rsidP="001F62EC">
            <w:pPr>
              <w:tabs>
                <w:tab w:val="decimal" w:pos="1320"/>
              </w:tabs>
              <w:rPr>
                <w:snapToGrid w:val="0"/>
                <w:color w:val="000000"/>
              </w:rPr>
            </w:pPr>
            <w:r>
              <w:rPr>
                <w:snapToGrid w:val="0"/>
                <w:color w:val="000000"/>
              </w:rPr>
              <w:t>41,6</w:t>
            </w:r>
            <w:r w:rsidR="00EC5343">
              <w:rPr>
                <w:snapToGrid w:val="0"/>
                <w:color w:val="000000"/>
              </w:rPr>
              <w:t>58,861</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0BDD1615" w:rsidR="001F62EC" w:rsidRPr="00E74795" w:rsidRDefault="00011002" w:rsidP="001F62EC">
            <w:pPr>
              <w:tabs>
                <w:tab w:val="decimal" w:pos="1500"/>
              </w:tabs>
              <w:rPr>
                <w:snapToGrid w:val="0"/>
                <w:color w:val="000000"/>
              </w:rPr>
            </w:pPr>
            <w:r>
              <w:rPr>
                <w:snapToGrid w:val="0"/>
                <w:color w:val="000000"/>
              </w:rPr>
              <w:t>39,340,224</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5E2E2EF2" w:rsidR="001F62EC" w:rsidRPr="00E74795" w:rsidRDefault="003921D9" w:rsidP="001F62EC">
            <w:pPr>
              <w:tabs>
                <w:tab w:val="decimal" w:pos="1320"/>
              </w:tabs>
              <w:rPr>
                <w:snapToGrid w:val="0"/>
                <w:color w:val="000000"/>
              </w:rPr>
            </w:pPr>
            <w:r>
              <w:rPr>
                <w:snapToGrid w:val="0"/>
                <w:color w:val="000000"/>
              </w:rPr>
              <w:t>(43,</w:t>
            </w:r>
            <w:r w:rsidR="00EC5343">
              <w:rPr>
                <w:snapToGrid w:val="0"/>
                <w:color w:val="000000"/>
              </w:rPr>
              <w:t>8</w:t>
            </w:r>
            <w:r w:rsidR="00F46637">
              <w:rPr>
                <w:snapToGrid w:val="0"/>
                <w:color w:val="000000"/>
              </w:rPr>
              <w:t>9</w:t>
            </w:r>
            <w:r w:rsidR="00EC5343">
              <w:rPr>
                <w:snapToGrid w:val="0"/>
                <w:color w:val="000000"/>
              </w:rPr>
              <w:t>8,411</w:t>
            </w:r>
            <w:r>
              <w:rPr>
                <w:snapToGrid w:val="0"/>
                <w:color w:val="000000"/>
              </w:rPr>
              <w:t>)</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21BAA30" w:rsidR="001F62EC" w:rsidRPr="00E74795" w:rsidRDefault="001F62EC" w:rsidP="001F62EC">
            <w:pPr>
              <w:tabs>
                <w:tab w:val="decimal" w:pos="1500"/>
              </w:tabs>
              <w:rPr>
                <w:snapToGrid w:val="0"/>
                <w:color w:val="000000"/>
              </w:rPr>
            </w:pPr>
            <w:r w:rsidRPr="00E74795">
              <w:rPr>
                <w:snapToGrid w:val="0"/>
                <w:color w:val="000000"/>
              </w:rPr>
              <w:t>(</w:t>
            </w:r>
            <w:r>
              <w:rPr>
                <w:snapToGrid w:val="0"/>
                <w:color w:val="000000"/>
              </w:rPr>
              <w:t>4</w:t>
            </w:r>
            <w:r w:rsidR="00011002">
              <w:rPr>
                <w:snapToGrid w:val="0"/>
                <w:color w:val="000000"/>
              </w:rPr>
              <w:t>2,847,513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77777777" w:rsidR="001F62EC" w:rsidRPr="00E74795" w:rsidRDefault="001F62EC" w:rsidP="001F62EC">
            <w:pPr>
              <w:rPr>
                <w:snapToGrid w:val="0"/>
                <w:color w:val="000000"/>
              </w:rPr>
            </w:pPr>
            <w:r w:rsidRPr="00374FE3">
              <w:rPr>
                <w:snapToGrid w:val="0"/>
                <w:color w:val="000000"/>
              </w:rPr>
              <w:t>Total stockholders’ equity (deficiency)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2485E814" w:rsidR="001F62EC" w:rsidRPr="00E74795" w:rsidRDefault="003921D9" w:rsidP="001F62EC">
            <w:pPr>
              <w:tabs>
                <w:tab w:val="decimal" w:pos="1320"/>
              </w:tabs>
              <w:rPr>
                <w:snapToGrid w:val="0"/>
                <w:color w:val="000000"/>
              </w:rPr>
            </w:pPr>
            <w:r>
              <w:rPr>
                <w:snapToGrid w:val="0"/>
                <w:color w:val="000000"/>
              </w:rPr>
              <w:t>(1,</w:t>
            </w:r>
            <w:r w:rsidR="00EC5343">
              <w:rPr>
                <w:snapToGrid w:val="0"/>
                <w:color w:val="000000"/>
              </w:rPr>
              <w:t>849,621</w:t>
            </w:r>
            <w:r>
              <w:rPr>
                <w:snapToGrid w:val="0"/>
                <w:color w:val="000000"/>
              </w:rPr>
              <w:t>)</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6D9A7BD2" w:rsidR="001F62EC" w:rsidRPr="00E74795" w:rsidRDefault="001F62EC" w:rsidP="001F62EC">
            <w:pPr>
              <w:tabs>
                <w:tab w:val="decimal" w:pos="1500"/>
              </w:tabs>
              <w:rPr>
                <w:snapToGrid w:val="0"/>
                <w:color w:val="000000"/>
              </w:rPr>
            </w:pPr>
            <w:r w:rsidRPr="00374FE3">
              <w:rPr>
                <w:snapToGrid w:val="0"/>
                <w:color w:val="000000"/>
              </w:rPr>
              <w:t>(</w:t>
            </w:r>
            <w:r>
              <w:rPr>
                <w:snapToGrid w:val="0"/>
                <w:color w:val="000000"/>
              </w:rPr>
              <w:t>1,</w:t>
            </w:r>
            <w:r w:rsidR="00011002">
              <w:rPr>
                <w:snapToGrid w:val="0"/>
                <w:color w:val="000000"/>
              </w:rPr>
              <w:t>574,556</w:t>
            </w:r>
            <w:r w:rsidRPr="00374FE3">
              <w:rPr>
                <w:snapToGrid w:val="0"/>
                <w:color w:val="000000"/>
              </w:rPr>
              <w:t>)</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77777777" w:rsidR="001F62EC" w:rsidRPr="00E74795" w:rsidRDefault="001F62EC" w:rsidP="001F62EC">
            <w:pPr>
              <w:rPr>
                <w:snapToGrid w:val="0"/>
                <w:color w:val="000000"/>
              </w:rPr>
            </w:pPr>
            <w:r w:rsidRPr="00374FE3">
              <w:rPr>
                <w:snapToGrid w:val="0"/>
                <w:color w:val="000000"/>
              </w:rPr>
              <w:t>Total liabilities and stockholders’ equity (deficiency)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26B747E9"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3921D9">
              <w:rPr>
                <w:snapToGrid w:val="0"/>
                <w:color w:val="000000"/>
              </w:rPr>
              <w:t>957,943</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08160F28"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8DAF28C" w14:textId="77777777" w:rsidR="00692D9E" w:rsidRDefault="00692D9E" w:rsidP="00315051">
      <w:pPr>
        <w:tabs>
          <w:tab w:val="left" w:pos="1080"/>
          <w:tab w:val="left" w:pos="1260"/>
          <w:tab w:val="left" w:pos="2340"/>
          <w:tab w:val="right" w:pos="9180"/>
        </w:tabs>
        <w:ind w:right="54"/>
        <w:jc w:val="center"/>
        <w:rPr>
          <w:snapToGrid w:val="0"/>
          <w:color w:val="000000"/>
        </w:rPr>
      </w:pPr>
    </w:p>
    <w:p w14:paraId="604DF39D" w14:textId="52F33F94"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25EB5C84"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GEOVAX LABS, INC.</w:t>
      </w:r>
    </w:p>
    <w:p w14:paraId="51490480"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CONDENSED CONSOLIDATED STATEMENTS OF OPERATIONS</w:t>
      </w:r>
    </w:p>
    <w:p w14:paraId="793E8674" w14:textId="77777777" w:rsidR="00692D9E" w:rsidRPr="00BA4187" w:rsidRDefault="00692D9E" w:rsidP="00692D9E">
      <w:pPr>
        <w:tabs>
          <w:tab w:val="left" w:pos="1080"/>
          <w:tab w:val="left" w:pos="1260"/>
          <w:tab w:val="left" w:pos="2340"/>
          <w:tab w:val="right" w:pos="9180"/>
        </w:tabs>
        <w:ind w:right="-360"/>
        <w:jc w:val="center"/>
        <w:rPr>
          <w:b/>
        </w:rPr>
      </w:pPr>
      <w:r w:rsidRPr="00BA4187">
        <w:rPr>
          <w:b/>
        </w:rPr>
        <w:t>(Unaudited)</w:t>
      </w:r>
    </w:p>
    <w:p w14:paraId="6EB8F5D1" w14:textId="77777777" w:rsidR="00692D9E" w:rsidRDefault="00692D9E" w:rsidP="00692D9E">
      <w:pPr>
        <w:tabs>
          <w:tab w:val="left" w:pos="1080"/>
          <w:tab w:val="left" w:pos="1260"/>
          <w:tab w:val="left" w:pos="2340"/>
          <w:tab w:val="right" w:pos="9180"/>
        </w:tabs>
        <w:ind w:right="-360"/>
      </w:pPr>
    </w:p>
    <w:p w14:paraId="48BB3F7F" w14:textId="77777777" w:rsidR="00692D9E" w:rsidRDefault="00692D9E" w:rsidP="00692D9E">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692D9E" w:rsidRPr="000D3DC5" w14:paraId="7B736211" w14:textId="77777777" w:rsidTr="00692D9E">
        <w:tc>
          <w:tcPr>
            <w:tcW w:w="378" w:type="dxa"/>
          </w:tcPr>
          <w:p w14:paraId="527FCC9E" w14:textId="77777777" w:rsidR="00692D9E" w:rsidRPr="000D3DC5" w:rsidRDefault="00692D9E" w:rsidP="00692D9E">
            <w:pPr>
              <w:ind w:right="-360"/>
            </w:pPr>
          </w:p>
        </w:tc>
        <w:tc>
          <w:tcPr>
            <w:tcW w:w="450" w:type="dxa"/>
          </w:tcPr>
          <w:p w14:paraId="0BD9AF4E" w14:textId="77777777" w:rsidR="00692D9E" w:rsidRPr="000D3DC5" w:rsidRDefault="00692D9E" w:rsidP="00692D9E">
            <w:pPr>
              <w:ind w:right="-360"/>
            </w:pPr>
          </w:p>
        </w:tc>
        <w:tc>
          <w:tcPr>
            <w:tcW w:w="450" w:type="dxa"/>
          </w:tcPr>
          <w:p w14:paraId="3926F803" w14:textId="77777777" w:rsidR="00692D9E" w:rsidRPr="000D3DC5" w:rsidRDefault="00692D9E" w:rsidP="00692D9E">
            <w:pPr>
              <w:ind w:right="-360"/>
            </w:pPr>
          </w:p>
        </w:tc>
        <w:tc>
          <w:tcPr>
            <w:tcW w:w="2160" w:type="dxa"/>
          </w:tcPr>
          <w:p w14:paraId="2705592B" w14:textId="77777777" w:rsidR="00692D9E" w:rsidRPr="000D3DC5" w:rsidRDefault="00692D9E" w:rsidP="00692D9E">
            <w:pPr>
              <w:tabs>
                <w:tab w:val="right" w:pos="9180"/>
              </w:tabs>
              <w:ind w:right="-360"/>
            </w:pPr>
          </w:p>
        </w:tc>
        <w:tc>
          <w:tcPr>
            <w:tcW w:w="3240" w:type="dxa"/>
            <w:gridSpan w:val="3"/>
            <w:tcBorders>
              <w:bottom w:val="single" w:sz="4" w:space="0" w:color="auto"/>
            </w:tcBorders>
          </w:tcPr>
          <w:p w14:paraId="133A8471" w14:textId="77777777" w:rsidR="00692D9E" w:rsidRDefault="00692D9E" w:rsidP="00692D9E">
            <w:pPr>
              <w:tabs>
                <w:tab w:val="right" w:pos="9180"/>
              </w:tabs>
              <w:ind w:right="-46"/>
              <w:jc w:val="center"/>
            </w:pPr>
            <w:r>
              <w:t>Three Months Ended June 30,</w:t>
            </w:r>
          </w:p>
        </w:tc>
        <w:tc>
          <w:tcPr>
            <w:tcW w:w="450" w:type="dxa"/>
          </w:tcPr>
          <w:p w14:paraId="46F790E8" w14:textId="77777777" w:rsidR="00692D9E" w:rsidRPr="000D3DC5" w:rsidRDefault="00692D9E" w:rsidP="00692D9E">
            <w:pPr>
              <w:tabs>
                <w:tab w:val="right" w:pos="9180"/>
              </w:tabs>
              <w:ind w:right="-360"/>
              <w:jc w:val="center"/>
            </w:pPr>
          </w:p>
        </w:tc>
        <w:tc>
          <w:tcPr>
            <w:tcW w:w="3240" w:type="dxa"/>
            <w:gridSpan w:val="3"/>
            <w:tcBorders>
              <w:bottom w:val="single" w:sz="4" w:space="0" w:color="auto"/>
            </w:tcBorders>
          </w:tcPr>
          <w:p w14:paraId="227EF46B" w14:textId="77777777" w:rsidR="00692D9E" w:rsidRDefault="00692D9E" w:rsidP="00692D9E">
            <w:pPr>
              <w:tabs>
                <w:tab w:val="right" w:pos="9180"/>
              </w:tabs>
              <w:ind w:right="-18"/>
              <w:jc w:val="center"/>
            </w:pPr>
            <w:r>
              <w:t>Six Months Ended June 30,</w:t>
            </w:r>
          </w:p>
        </w:tc>
      </w:tr>
      <w:tr w:rsidR="00692D9E" w:rsidRPr="000D3DC5" w14:paraId="3CF266E2" w14:textId="77777777" w:rsidTr="00692D9E">
        <w:tc>
          <w:tcPr>
            <w:tcW w:w="378" w:type="dxa"/>
          </w:tcPr>
          <w:p w14:paraId="14862508" w14:textId="77777777" w:rsidR="00692D9E" w:rsidRPr="000D3DC5" w:rsidRDefault="00692D9E" w:rsidP="00692D9E">
            <w:pPr>
              <w:ind w:right="-360"/>
            </w:pPr>
          </w:p>
        </w:tc>
        <w:tc>
          <w:tcPr>
            <w:tcW w:w="450" w:type="dxa"/>
          </w:tcPr>
          <w:p w14:paraId="79476B4F" w14:textId="77777777" w:rsidR="00692D9E" w:rsidRPr="000D3DC5" w:rsidRDefault="00692D9E" w:rsidP="00692D9E">
            <w:pPr>
              <w:ind w:right="-360"/>
            </w:pPr>
          </w:p>
        </w:tc>
        <w:tc>
          <w:tcPr>
            <w:tcW w:w="450" w:type="dxa"/>
          </w:tcPr>
          <w:p w14:paraId="43ECB9DF" w14:textId="77777777" w:rsidR="00692D9E" w:rsidRPr="000D3DC5" w:rsidRDefault="00692D9E" w:rsidP="00692D9E">
            <w:pPr>
              <w:ind w:right="-360"/>
            </w:pPr>
          </w:p>
        </w:tc>
        <w:tc>
          <w:tcPr>
            <w:tcW w:w="2160" w:type="dxa"/>
          </w:tcPr>
          <w:p w14:paraId="6BA389BC" w14:textId="77777777" w:rsidR="00692D9E" w:rsidRPr="000D3DC5" w:rsidRDefault="00692D9E" w:rsidP="00692D9E">
            <w:pPr>
              <w:tabs>
                <w:tab w:val="right" w:pos="9180"/>
              </w:tabs>
              <w:ind w:right="-360"/>
            </w:pPr>
          </w:p>
        </w:tc>
        <w:tc>
          <w:tcPr>
            <w:tcW w:w="1530" w:type="dxa"/>
            <w:tcBorders>
              <w:top w:val="single" w:sz="4" w:space="0" w:color="auto"/>
              <w:bottom w:val="single" w:sz="4" w:space="0" w:color="auto"/>
            </w:tcBorders>
          </w:tcPr>
          <w:p w14:paraId="7BE7D672" w14:textId="6AF10E30" w:rsidR="00692D9E" w:rsidRPr="000D3DC5" w:rsidRDefault="00692D9E" w:rsidP="00692D9E">
            <w:pPr>
              <w:tabs>
                <w:tab w:val="right" w:pos="9180"/>
              </w:tabs>
              <w:ind w:right="-18"/>
              <w:jc w:val="center"/>
            </w:pPr>
            <w:r>
              <w:t>2020</w:t>
            </w:r>
          </w:p>
        </w:tc>
        <w:tc>
          <w:tcPr>
            <w:tcW w:w="270" w:type="dxa"/>
            <w:tcBorders>
              <w:top w:val="single" w:sz="4" w:space="0" w:color="auto"/>
            </w:tcBorders>
          </w:tcPr>
          <w:p w14:paraId="081ADC03" w14:textId="77777777" w:rsidR="00692D9E" w:rsidRPr="000D3DC5" w:rsidRDefault="00692D9E" w:rsidP="00692D9E">
            <w:pPr>
              <w:tabs>
                <w:tab w:val="right" w:pos="9180"/>
              </w:tabs>
              <w:ind w:right="-360"/>
              <w:jc w:val="center"/>
            </w:pPr>
          </w:p>
        </w:tc>
        <w:tc>
          <w:tcPr>
            <w:tcW w:w="1440" w:type="dxa"/>
            <w:tcBorders>
              <w:top w:val="single" w:sz="4" w:space="0" w:color="auto"/>
              <w:bottom w:val="single" w:sz="4" w:space="0" w:color="auto"/>
            </w:tcBorders>
          </w:tcPr>
          <w:p w14:paraId="097717AA" w14:textId="4C59D71A" w:rsidR="00692D9E" w:rsidRPr="000D3DC5" w:rsidRDefault="00692D9E" w:rsidP="00692D9E">
            <w:pPr>
              <w:tabs>
                <w:tab w:val="right" w:pos="9180"/>
              </w:tabs>
              <w:ind w:right="-46"/>
              <w:jc w:val="center"/>
            </w:pPr>
            <w:r>
              <w:t>2019</w:t>
            </w:r>
          </w:p>
        </w:tc>
        <w:tc>
          <w:tcPr>
            <w:tcW w:w="450" w:type="dxa"/>
          </w:tcPr>
          <w:p w14:paraId="38D38D8E" w14:textId="77777777" w:rsidR="00692D9E" w:rsidRPr="000D3DC5" w:rsidRDefault="00692D9E" w:rsidP="00692D9E">
            <w:pPr>
              <w:tabs>
                <w:tab w:val="right" w:pos="9180"/>
              </w:tabs>
              <w:ind w:right="-360"/>
              <w:jc w:val="center"/>
            </w:pPr>
          </w:p>
        </w:tc>
        <w:tc>
          <w:tcPr>
            <w:tcW w:w="1440" w:type="dxa"/>
            <w:tcBorders>
              <w:bottom w:val="single" w:sz="4" w:space="0" w:color="auto"/>
            </w:tcBorders>
          </w:tcPr>
          <w:p w14:paraId="26EA4E4A" w14:textId="6098C3D4" w:rsidR="00692D9E" w:rsidRPr="000D3DC5" w:rsidRDefault="00692D9E" w:rsidP="00692D9E">
            <w:pPr>
              <w:tabs>
                <w:tab w:val="right" w:pos="9180"/>
              </w:tabs>
              <w:ind w:right="-18"/>
              <w:jc w:val="center"/>
            </w:pPr>
            <w:r>
              <w:t>2020</w:t>
            </w:r>
          </w:p>
        </w:tc>
        <w:tc>
          <w:tcPr>
            <w:tcW w:w="270" w:type="dxa"/>
          </w:tcPr>
          <w:p w14:paraId="05CA2E39" w14:textId="77777777" w:rsidR="00692D9E" w:rsidRPr="000D3DC5" w:rsidRDefault="00692D9E" w:rsidP="00692D9E">
            <w:pPr>
              <w:tabs>
                <w:tab w:val="right" w:pos="9180"/>
              </w:tabs>
              <w:ind w:right="-360"/>
              <w:jc w:val="center"/>
            </w:pPr>
          </w:p>
        </w:tc>
        <w:tc>
          <w:tcPr>
            <w:tcW w:w="1530" w:type="dxa"/>
            <w:tcBorders>
              <w:bottom w:val="single" w:sz="4" w:space="0" w:color="auto"/>
            </w:tcBorders>
          </w:tcPr>
          <w:p w14:paraId="385C032B" w14:textId="59AF0F78" w:rsidR="00692D9E" w:rsidRPr="000D3DC5" w:rsidRDefault="00692D9E" w:rsidP="00692D9E">
            <w:pPr>
              <w:tabs>
                <w:tab w:val="right" w:pos="9180"/>
              </w:tabs>
              <w:ind w:right="-18"/>
              <w:jc w:val="center"/>
            </w:pPr>
            <w:r>
              <w:t>2019</w:t>
            </w:r>
          </w:p>
        </w:tc>
      </w:tr>
      <w:tr w:rsidR="00692D9E" w:rsidRPr="000D3DC5" w14:paraId="78289857" w14:textId="77777777" w:rsidTr="00692D9E">
        <w:tc>
          <w:tcPr>
            <w:tcW w:w="3438" w:type="dxa"/>
            <w:gridSpan w:val="4"/>
          </w:tcPr>
          <w:p w14:paraId="3A61B2E9" w14:textId="77777777" w:rsidR="00692D9E" w:rsidRPr="000D3DC5" w:rsidRDefault="00692D9E" w:rsidP="00692D9E">
            <w:pPr>
              <w:tabs>
                <w:tab w:val="right" w:pos="9180"/>
              </w:tabs>
              <w:ind w:right="-360"/>
            </w:pPr>
            <w:r w:rsidRPr="000D3DC5">
              <w:t>Grant</w:t>
            </w:r>
            <w:r>
              <w:t xml:space="preserve"> and collaboration</w:t>
            </w:r>
            <w:r w:rsidRPr="000D3DC5">
              <w:t xml:space="preserve"> revenue</w:t>
            </w:r>
          </w:p>
        </w:tc>
        <w:tc>
          <w:tcPr>
            <w:tcW w:w="1530" w:type="dxa"/>
          </w:tcPr>
          <w:p w14:paraId="51196112" w14:textId="421A1726" w:rsidR="00692D9E" w:rsidRPr="000D3DC5" w:rsidRDefault="00692D9E" w:rsidP="00692D9E">
            <w:pPr>
              <w:tabs>
                <w:tab w:val="decimal" w:pos="1152"/>
                <w:tab w:val="right" w:pos="9180"/>
              </w:tabs>
              <w:ind w:right="-18"/>
            </w:pPr>
            <w:r>
              <w:t>$</w:t>
            </w:r>
            <w:r>
              <w:tab/>
            </w:r>
            <w:r w:rsidR="003921D9">
              <w:t>440,602</w:t>
            </w:r>
          </w:p>
        </w:tc>
        <w:tc>
          <w:tcPr>
            <w:tcW w:w="270" w:type="dxa"/>
          </w:tcPr>
          <w:p w14:paraId="55ADD3DE" w14:textId="77777777" w:rsidR="00692D9E" w:rsidRPr="000D3DC5" w:rsidRDefault="00692D9E" w:rsidP="00692D9E">
            <w:pPr>
              <w:tabs>
                <w:tab w:val="right" w:pos="9180"/>
              </w:tabs>
              <w:ind w:right="-360"/>
            </w:pPr>
          </w:p>
        </w:tc>
        <w:tc>
          <w:tcPr>
            <w:tcW w:w="1440" w:type="dxa"/>
          </w:tcPr>
          <w:p w14:paraId="08A5CDCF" w14:textId="18821315" w:rsidR="00692D9E" w:rsidRPr="000D3DC5" w:rsidRDefault="00692D9E" w:rsidP="00692D9E">
            <w:pPr>
              <w:tabs>
                <w:tab w:val="decimal" w:pos="1062"/>
                <w:tab w:val="right" w:pos="9180"/>
              </w:tabs>
              <w:ind w:right="-46"/>
            </w:pPr>
            <w:r>
              <w:t>$</w:t>
            </w:r>
            <w:r>
              <w:tab/>
              <w:t>209,941</w:t>
            </w:r>
          </w:p>
        </w:tc>
        <w:tc>
          <w:tcPr>
            <w:tcW w:w="450" w:type="dxa"/>
          </w:tcPr>
          <w:p w14:paraId="5BD52FBA" w14:textId="77777777" w:rsidR="00692D9E" w:rsidRPr="000D3DC5" w:rsidRDefault="00692D9E" w:rsidP="00692D9E">
            <w:pPr>
              <w:tabs>
                <w:tab w:val="right" w:pos="9180"/>
              </w:tabs>
              <w:ind w:right="-360"/>
            </w:pPr>
          </w:p>
        </w:tc>
        <w:tc>
          <w:tcPr>
            <w:tcW w:w="1440" w:type="dxa"/>
          </w:tcPr>
          <w:p w14:paraId="1C94CEE2" w14:textId="5E412AFA" w:rsidR="00692D9E" w:rsidRPr="000D3DC5" w:rsidRDefault="00692D9E" w:rsidP="00692D9E">
            <w:pPr>
              <w:tabs>
                <w:tab w:val="decimal" w:pos="1062"/>
                <w:tab w:val="right" w:pos="9180"/>
              </w:tabs>
              <w:ind w:right="-18"/>
            </w:pPr>
            <w:r w:rsidRPr="000D3DC5">
              <w:t>$</w:t>
            </w:r>
            <w:r w:rsidRPr="000D3DC5">
              <w:tab/>
            </w:r>
            <w:r w:rsidR="003921D9">
              <w:t>1,156,579</w:t>
            </w:r>
          </w:p>
        </w:tc>
        <w:tc>
          <w:tcPr>
            <w:tcW w:w="270" w:type="dxa"/>
          </w:tcPr>
          <w:p w14:paraId="13D1858D" w14:textId="77777777" w:rsidR="00692D9E" w:rsidRPr="000D3DC5" w:rsidRDefault="00692D9E" w:rsidP="00692D9E">
            <w:pPr>
              <w:tabs>
                <w:tab w:val="right" w:pos="9180"/>
              </w:tabs>
              <w:ind w:right="-360"/>
            </w:pPr>
          </w:p>
        </w:tc>
        <w:tc>
          <w:tcPr>
            <w:tcW w:w="1530" w:type="dxa"/>
          </w:tcPr>
          <w:p w14:paraId="67FD36B4" w14:textId="757026CA" w:rsidR="00692D9E" w:rsidRPr="000D3DC5" w:rsidRDefault="00692D9E" w:rsidP="00692D9E">
            <w:pPr>
              <w:tabs>
                <w:tab w:val="decimal" w:pos="1152"/>
                <w:tab w:val="right" w:pos="9180"/>
              </w:tabs>
              <w:ind w:right="-18"/>
            </w:pPr>
            <w:r w:rsidRPr="000D3DC5">
              <w:t>$</w:t>
            </w:r>
            <w:r w:rsidRPr="000D3DC5">
              <w:tab/>
            </w:r>
            <w:r>
              <w:t>574,173</w:t>
            </w:r>
          </w:p>
        </w:tc>
      </w:tr>
      <w:tr w:rsidR="00692D9E" w:rsidRPr="000D3DC5" w14:paraId="4AB287DD" w14:textId="77777777" w:rsidTr="00692D9E">
        <w:tc>
          <w:tcPr>
            <w:tcW w:w="378" w:type="dxa"/>
          </w:tcPr>
          <w:p w14:paraId="48693299" w14:textId="77777777" w:rsidR="00692D9E" w:rsidRPr="000D3DC5" w:rsidRDefault="00692D9E" w:rsidP="00692D9E">
            <w:pPr>
              <w:ind w:right="-360"/>
            </w:pPr>
          </w:p>
        </w:tc>
        <w:tc>
          <w:tcPr>
            <w:tcW w:w="450" w:type="dxa"/>
          </w:tcPr>
          <w:p w14:paraId="06C6EE21" w14:textId="77777777" w:rsidR="00692D9E" w:rsidRPr="000D3DC5" w:rsidRDefault="00692D9E" w:rsidP="00692D9E">
            <w:pPr>
              <w:ind w:right="-360"/>
            </w:pPr>
          </w:p>
        </w:tc>
        <w:tc>
          <w:tcPr>
            <w:tcW w:w="450" w:type="dxa"/>
          </w:tcPr>
          <w:p w14:paraId="18AA1399" w14:textId="77777777" w:rsidR="00692D9E" w:rsidRPr="000D3DC5" w:rsidRDefault="00692D9E" w:rsidP="00692D9E">
            <w:pPr>
              <w:ind w:right="-360"/>
            </w:pPr>
          </w:p>
        </w:tc>
        <w:tc>
          <w:tcPr>
            <w:tcW w:w="2160" w:type="dxa"/>
          </w:tcPr>
          <w:p w14:paraId="4FBEA37B" w14:textId="77777777" w:rsidR="00692D9E" w:rsidRPr="000D3DC5" w:rsidRDefault="00692D9E" w:rsidP="00692D9E">
            <w:pPr>
              <w:tabs>
                <w:tab w:val="right" w:pos="9180"/>
              </w:tabs>
              <w:ind w:right="-360"/>
            </w:pPr>
          </w:p>
        </w:tc>
        <w:tc>
          <w:tcPr>
            <w:tcW w:w="1530" w:type="dxa"/>
          </w:tcPr>
          <w:p w14:paraId="5F9289C9" w14:textId="77777777" w:rsidR="00692D9E" w:rsidRPr="000D3DC5" w:rsidRDefault="00692D9E" w:rsidP="00692D9E">
            <w:pPr>
              <w:tabs>
                <w:tab w:val="right" w:pos="9180"/>
              </w:tabs>
              <w:ind w:right="-18"/>
            </w:pPr>
          </w:p>
        </w:tc>
        <w:tc>
          <w:tcPr>
            <w:tcW w:w="270" w:type="dxa"/>
          </w:tcPr>
          <w:p w14:paraId="13BCD7A3" w14:textId="77777777" w:rsidR="00692D9E" w:rsidRPr="000D3DC5" w:rsidRDefault="00692D9E" w:rsidP="00692D9E">
            <w:pPr>
              <w:tabs>
                <w:tab w:val="right" w:pos="9180"/>
              </w:tabs>
              <w:ind w:right="-360"/>
            </w:pPr>
          </w:p>
        </w:tc>
        <w:tc>
          <w:tcPr>
            <w:tcW w:w="1440" w:type="dxa"/>
          </w:tcPr>
          <w:p w14:paraId="4EA9461B" w14:textId="77777777" w:rsidR="00692D9E" w:rsidRPr="000D3DC5" w:rsidRDefault="00692D9E" w:rsidP="00692D9E">
            <w:pPr>
              <w:tabs>
                <w:tab w:val="right" w:pos="9180"/>
              </w:tabs>
              <w:ind w:right="-46"/>
            </w:pPr>
          </w:p>
        </w:tc>
        <w:tc>
          <w:tcPr>
            <w:tcW w:w="450" w:type="dxa"/>
          </w:tcPr>
          <w:p w14:paraId="4EF354FF" w14:textId="77777777" w:rsidR="00692D9E" w:rsidRPr="000D3DC5" w:rsidRDefault="00692D9E" w:rsidP="00692D9E">
            <w:pPr>
              <w:tabs>
                <w:tab w:val="right" w:pos="9180"/>
              </w:tabs>
              <w:ind w:right="-360"/>
            </w:pPr>
          </w:p>
        </w:tc>
        <w:tc>
          <w:tcPr>
            <w:tcW w:w="1440" w:type="dxa"/>
          </w:tcPr>
          <w:p w14:paraId="681096A6" w14:textId="77777777" w:rsidR="00692D9E" w:rsidRPr="000D3DC5" w:rsidRDefault="00692D9E" w:rsidP="00692D9E">
            <w:pPr>
              <w:tabs>
                <w:tab w:val="right" w:pos="9180"/>
              </w:tabs>
              <w:ind w:right="-18"/>
            </w:pPr>
          </w:p>
        </w:tc>
        <w:tc>
          <w:tcPr>
            <w:tcW w:w="270" w:type="dxa"/>
          </w:tcPr>
          <w:p w14:paraId="5F703A3D" w14:textId="77777777" w:rsidR="00692D9E" w:rsidRPr="000D3DC5" w:rsidRDefault="00692D9E" w:rsidP="00692D9E">
            <w:pPr>
              <w:tabs>
                <w:tab w:val="right" w:pos="9180"/>
              </w:tabs>
              <w:ind w:right="-360"/>
            </w:pPr>
          </w:p>
        </w:tc>
        <w:tc>
          <w:tcPr>
            <w:tcW w:w="1530" w:type="dxa"/>
          </w:tcPr>
          <w:p w14:paraId="6F77317D" w14:textId="77777777" w:rsidR="00692D9E" w:rsidRPr="000D3DC5" w:rsidRDefault="00692D9E" w:rsidP="00692D9E">
            <w:pPr>
              <w:tabs>
                <w:tab w:val="right" w:pos="9180"/>
              </w:tabs>
              <w:ind w:right="-18"/>
            </w:pPr>
          </w:p>
        </w:tc>
      </w:tr>
      <w:tr w:rsidR="00692D9E" w:rsidRPr="000D3DC5" w14:paraId="6C146D49" w14:textId="77777777" w:rsidTr="00692D9E">
        <w:tc>
          <w:tcPr>
            <w:tcW w:w="3438" w:type="dxa"/>
            <w:gridSpan w:val="4"/>
          </w:tcPr>
          <w:p w14:paraId="3E130213" w14:textId="77777777" w:rsidR="00692D9E" w:rsidRPr="000D3DC5" w:rsidRDefault="00692D9E" w:rsidP="00692D9E">
            <w:pPr>
              <w:tabs>
                <w:tab w:val="right" w:pos="9180"/>
              </w:tabs>
              <w:ind w:right="-360"/>
            </w:pPr>
            <w:r w:rsidRPr="000D3DC5">
              <w:t>Operating expenses:</w:t>
            </w:r>
          </w:p>
        </w:tc>
        <w:tc>
          <w:tcPr>
            <w:tcW w:w="1530" w:type="dxa"/>
          </w:tcPr>
          <w:p w14:paraId="7A43761B" w14:textId="77777777" w:rsidR="00692D9E" w:rsidRPr="000D3DC5" w:rsidRDefault="00692D9E" w:rsidP="00692D9E">
            <w:pPr>
              <w:tabs>
                <w:tab w:val="right" w:pos="9180"/>
              </w:tabs>
              <w:ind w:right="-18"/>
            </w:pPr>
          </w:p>
        </w:tc>
        <w:tc>
          <w:tcPr>
            <w:tcW w:w="270" w:type="dxa"/>
          </w:tcPr>
          <w:p w14:paraId="0916D689" w14:textId="77777777" w:rsidR="00692D9E" w:rsidRPr="000D3DC5" w:rsidRDefault="00692D9E" w:rsidP="00692D9E">
            <w:pPr>
              <w:tabs>
                <w:tab w:val="right" w:pos="9180"/>
              </w:tabs>
              <w:ind w:right="-360"/>
            </w:pPr>
          </w:p>
        </w:tc>
        <w:tc>
          <w:tcPr>
            <w:tcW w:w="1440" w:type="dxa"/>
          </w:tcPr>
          <w:p w14:paraId="4C30E876" w14:textId="77777777" w:rsidR="00692D9E" w:rsidRPr="000D3DC5" w:rsidRDefault="00692D9E" w:rsidP="00692D9E">
            <w:pPr>
              <w:tabs>
                <w:tab w:val="right" w:pos="9180"/>
              </w:tabs>
              <w:ind w:right="-46"/>
            </w:pPr>
          </w:p>
        </w:tc>
        <w:tc>
          <w:tcPr>
            <w:tcW w:w="450" w:type="dxa"/>
          </w:tcPr>
          <w:p w14:paraId="0B52D488" w14:textId="77777777" w:rsidR="00692D9E" w:rsidRPr="000D3DC5" w:rsidRDefault="00692D9E" w:rsidP="00692D9E">
            <w:pPr>
              <w:tabs>
                <w:tab w:val="right" w:pos="9180"/>
              </w:tabs>
              <w:ind w:right="-360"/>
            </w:pPr>
          </w:p>
        </w:tc>
        <w:tc>
          <w:tcPr>
            <w:tcW w:w="1440" w:type="dxa"/>
          </w:tcPr>
          <w:p w14:paraId="03B01AD6" w14:textId="77777777" w:rsidR="00692D9E" w:rsidRPr="000D3DC5" w:rsidRDefault="00692D9E" w:rsidP="00692D9E">
            <w:pPr>
              <w:tabs>
                <w:tab w:val="right" w:pos="9180"/>
              </w:tabs>
              <w:ind w:right="-18"/>
            </w:pPr>
          </w:p>
        </w:tc>
        <w:tc>
          <w:tcPr>
            <w:tcW w:w="270" w:type="dxa"/>
          </w:tcPr>
          <w:p w14:paraId="1602246A" w14:textId="77777777" w:rsidR="00692D9E" w:rsidRPr="000D3DC5" w:rsidRDefault="00692D9E" w:rsidP="00692D9E">
            <w:pPr>
              <w:tabs>
                <w:tab w:val="right" w:pos="9180"/>
              </w:tabs>
              <w:ind w:right="-360"/>
            </w:pPr>
          </w:p>
        </w:tc>
        <w:tc>
          <w:tcPr>
            <w:tcW w:w="1530" w:type="dxa"/>
          </w:tcPr>
          <w:p w14:paraId="6B3BB179" w14:textId="77777777" w:rsidR="00692D9E" w:rsidRPr="000D3DC5" w:rsidRDefault="00692D9E" w:rsidP="00692D9E">
            <w:pPr>
              <w:tabs>
                <w:tab w:val="right" w:pos="9180"/>
              </w:tabs>
              <w:ind w:right="-18"/>
            </w:pPr>
          </w:p>
        </w:tc>
      </w:tr>
      <w:tr w:rsidR="00692D9E" w:rsidRPr="000D3DC5" w14:paraId="3A57DE3B" w14:textId="77777777" w:rsidTr="00692D9E">
        <w:tc>
          <w:tcPr>
            <w:tcW w:w="378" w:type="dxa"/>
          </w:tcPr>
          <w:p w14:paraId="66B16CF3" w14:textId="77777777" w:rsidR="00692D9E" w:rsidRPr="000D3DC5" w:rsidRDefault="00692D9E" w:rsidP="00692D9E">
            <w:pPr>
              <w:ind w:right="-360"/>
            </w:pPr>
          </w:p>
        </w:tc>
        <w:tc>
          <w:tcPr>
            <w:tcW w:w="3060" w:type="dxa"/>
            <w:gridSpan w:val="3"/>
          </w:tcPr>
          <w:p w14:paraId="3FAD819E" w14:textId="77777777" w:rsidR="00692D9E" w:rsidRPr="000D3DC5" w:rsidRDefault="00692D9E" w:rsidP="00692D9E">
            <w:pPr>
              <w:tabs>
                <w:tab w:val="right" w:pos="9180"/>
              </w:tabs>
              <w:ind w:right="-360"/>
            </w:pPr>
            <w:r w:rsidRPr="000D3DC5">
              <w:t>Research and development</w:t>
            </w:r>
          </w:p>
        </w:tc>
        <w:tc>
          <w:tcPr>
            <w:tcW w:w="1530" w:type="dxa"/>
          </w:tcPr>
          <w:p w14:paraId="7E524DFB" w14:textId="6F9ACC93" w:rsidR="00692D9E" w:rsidRPr="000D3DC5" w:rsidRDefault="00692D9E" w:rsidP="00692D9E">
            <w:pPr>
              <w:tabs>
                <w:tab w:val="decimal" w:pos="1152"/>
                <w:tab w:val="right" w:pos="9180"/>
              </w:tabs>
              <w:ind w:right="-18"/>
            </w:pPr>
            <w:r w:rsidRPr="000D3DC5">
              <w:tab/>
            </w:r>
            <w:r w:rsidR="003921D9">
              <w:t>461,421</w:t>
            </w:r>
          </w:p>
        </w:tc>
        <w:tc>
          <w:tcPr>
            <w:tcW w:w="270" w:type="dxa"/>
          </w:tcPr>
          <w:p w14:paraId="3686903E" w14:textId="77777777" w:rsidR="00692D9E" w:rsidRPr="000D3DC5" w:rsidRDefault="00692D9E" w:rsidP="00692D9E">
            <w:pPr>
              <w:tabs>
                <w:tab w:val="right" w:pos="9180"/>
              </w:tabs>
              <w:ind w:right="-360"/>
            </w:pPr>
          </w:p>
        </w:tc>
        <w:tc>
          <w:tcPr>
            <w:tcW w:w="1440" w:type="dxa"/>
          </w:tcPr>
          <w:p w14:paraId="63587051" w14:textId="1FA9C167" w:rsidR="00692D9E" w:rsidRPr="000D3DC5" w:rsidRDefault="00692D9E" w:rsidP="00692D9E">
            <w:pPr>
              <w:tabs>
                <w:tab w:val="decimal" w:pos="1062"/>
                <w:tab w:val="right" w:pos="9180"/>
              </w:tabs>
              <w:ind w:right="-46"/>
            </w:pPr>
            <w:r>
              <w:tab/>
              <w:t>451,227</w:t>
            </w:r>
          </w:p>
        </w:tc>
        <w:tc>
          <w:tcPr>
            <w:tcW w:w="450" w:type="dxa"/>
          </w:tcPr>
          <w:p w14:paraId="52D9AC71" w14:textId="77777777" w:rsidR="00692D9E" w:rsidRPr="000D3DC5" w:rsidRDefault="00692D9E" w:rsidP="00692D9E">
            <w:pPr>
              <w:tabs>
                <w:tab w:val="right" w:pos="9180"/>
              </w:tabs>
              <w:ind w:right="-360"/>
            </w:pPr>
          </w:p>
        </w:tc>
        <w:tc>
          <w:tcPr>
            <w:tcW w:w="1440" w:type="dxa"/>
          </w:tcPr>
          <w:p w14:paraId="03B93CCD" w14:textId="1ADB3205" w:rsidR="00692D9E" w:rsidRPr="000D3DC5" w:rsidRDefault="00692D9E" w:rsidP="00692D9E">
            <w:pPr>
              <w:tabs>
                <w:tab w:val="decimal" w:pos="1062"/>
                <w:tab w:val="right" w:pos="9180"/>
              </w:tabs>
              <w:ind w:right="-18"/>
            </w:pPr>
            <w:r>
              <w:tab/>
            </w:r>
            <w:r w:rsidR="003921D9">
              <w:t>1,270,357</w:t>
            </w:r>
          </w:p>
        </w:tc>
        <w:tc>
          <w:tcPr>
            <w:tcW w:w="270" w:type="dxa"/>
          </w:tcPr>
          <w:p w14:paraId="745E3E77" w14:textId="77777777" w:rsidR="00692D9E" w:rsidRPr="000D3DC5" w:rsidRDefault="00692D9E" w:rsidP="00692D9E">
            <w:pPr>
              <w:tabs>
                <w:tab w:val="right" w:pos="9180"/>
              </w:tabs>
              <w:ind w:right="-360"/>
            </w:pPr>
          </w:p>
        </w:tc>
        <w:tc>
          <w:tcPr>
            <w:tcW w:w="1530" w:type="dxa"/>
          </w:tcPr>
          <w:p w14:paraId="5E8F4BB2" w14:textId="19A99C55" w:rsidR="00692D9E" w:rsidRPr="000D3DC5" w:rsidRDefault="00692D9E" w:rsidP="00692D9E">
            <w:pPr>
              <w:tabs>
                <w:tab w:val="decimal" w:pos="1152"/>
                <w:tab w:val="right" w:pos="9180"/>
              </w:tabs>
              <w:ind w:right="-18"/>
            </w:pPr>
            <w:r>
              <w:tab/>
              <w:t>1,006,945</w:t>
            </w:r>
          </w:p>
        </w:tc>
      </w:tr>
      <w:tr w:rsidR="00692D9E" w:rsidRPr="000D3DC5" w14:paraId="1511DC08" w14:textId="77777777" w:rsidTr="00692D9E">
        <w:tc>
          <w:tcPr>
            <w:tcW w:w="378" w:type="dxa"/>
          </w:tcPr>
          <w:p w14:paraId="57F54CDB" w14:textId="77777777" w:rsidR="00692D9E" w:rsidRPr="000D3DC5" w:rsidRDefault="00692D9E" w:rsidP="00692D9E">
            <w:pPr>
              <w:ind w:right="-360"/>
            </w:pPr>
          </w:p>
        </w:tc>
        <w:tc>
          <w:tcPr>
            <w:tcW w:w="3060" w:type="dxa"/>
            <w:gridSpan w:val="3"/>
          </w:tcPr>
          <w:p w14:paraId="78925C13" w14:textId="77777777" w:rsidR="00692D9E" w:rsidRPr="000D3DC5" w:rsidRDefault="00692D9E" w:rsidP="00692D9E">
            <w:pPr>
              <w:tabs>
                <w:tab w:val="right" w:pos="9180"/>
              </w:tabs>
              <w:ind w:right="-360"/>
            </w:pPr>
            <w:r w:rsidRPr="000D3DC5">
              <w:t>General and administrative</w:t>
            </w:r>
          </w:p>
        </w:tc>
        <w:tc>
          <w:tcPr>
            <w:tcW w:w="1530" w:type="dxa"/>
          </w:tcPr>
          <w:p w14:paraId="21E34209" w14:textId="3BCC97E3" w:rsidR="00692D9E" w:rsidRPr="000D3DC5" w:rsidRDefault="00692D9E" w:rsidP="00692D9E">
            <w:pPr>
              <w:tabs>
                <w:tab w:val="decimal" w:pos="1152"/>
                <w:tab w:val="right" w:pos="9180"/>
              </w:tabs>
              <w:ind w:right="-18"/>
            </w:pPr>
            <w:r w:rsidRPr="000D3DC5">
              <w:tab/>
            </w:r>
            <w:r w:rsidR="003921D9">
              <w:t>4</w:t>
            </w:r>
            <w:r w:rsidR="00EC5343">
              <w:t>27,292</w:t>
            </w:r>
          </w:p>
        </w:tc>
        <w:tc>
          <w:tcPr>
            <w:tcW w:w="270" w:type="dxa"/>
          </w:tcPr>
          <w:p w14:paraId="266913EF" w14:textId="77777777" w:rsidR="00692D9E" w:rsidRPr="000D3DC5" w:rsidRDefault="00692D9E" w:rsidP="00692D9E">
            <w:pPr>
              <w:tabs>
                <w:tab w:val="right" w:pos="9180"/>
              </w:tabs>
              <w:ind w:right="-360"/>
            </w:pPr>
          </w:p>
        </w:tc>
        <w:tc>
          <w:tcPr>
            <w:tcW w:w="1440" w:type="dxa"/>
          </w:tcPr>
          <w:p w14:paraId="282E884D" w14:textId="2E57F7C1" w:rsidR="00692D9E" w:rsidRPr="000D3DC5" w:rsidRDefault="00692D9E" w:rsidP="00692D9E">
            <w:pPr>
              <w:tabs>
                <w:tab w:val="decimal" w:pos="1062"/>
                <w:tab w:val="right" w:pos="9180"/>
              </w:tabs>
              <w:ind w:right="-46"/>
            </w:pPr>
            <w:r>
              <w:tab/>
              <w:t>412,650</w:t>
            </w:r>
          </w:p>
        </w:tc>
        <w:tc>
          <w:tcPr>
            <w:tcW w:w="450" w:type="dxa"/>
          </w:tcPr>
          <w:p w14:paraId="1C2FA899" w14:textId="77777777" w:rsidR="00692D9E" w:rsidRPr="000D3DC5" w:rsidRDefault="00692D9E" w:rsidP="00692D9E">
            <w:pPr>
              <w:tabs>
                <w:tab w:val="right" w:pos="9180"/>
              </w:tabs>
              <w:ind w:right="-360"/>
            </w:pPr>
          </w:p>
        </w:tc>
        <w:tc>
          <w:tcPr>
            <w:tcW w:w="1440" w:type="dxa"/>
          </w:tcPr>
          <w:p w14:paraId="6B63B904" w14:textId="5767E65F" w:rsidR="00692D9E" w:rsidRPr="000D3DC5" w:rsidRDefault="00692D9E" w:rsidP="00692D9E">
            <w:pPr>
              <w:tabs>
                <w:tab w:val="decimal" w:pos="1062"/>
                <w:tab w:val="right" w:pos="9180"/>
              </w:tabs>
              <w:ind w:right="-18"/>
            </w:pPr>
            <w:r w:rsidRPr="000D3DC5">
              <w:tab/>
            </w:r>
            <w:r w:rsidR="00EC5343">
              <w:t>929,637</w:t>
            </w:r>
          </w:p>
        </w:tc>
        <w:tc>
          <w:tcPr>
            <w:tcW w:w="270" w:type="dxa"/>
          </w:tcPr>
          <w:p w14:paraId="6BBDBA93" w14:textId="77777777" w:rsidR="00692D9E" w:rsidRPr="000D3DC5" w:rsidRDefault="00692D9E" w:rsidP="00692D9E">
            <w:pPr>
              <w:tabs>
                <w:tab w:val="right" w:pos="9180"/>
              </w:tabs>
              <w:ind w:right="-360"/>
            </w:pPr>
          </w:p>
        </w:tc>
        <w:tc>
          <w:tcPr>
            <w:tcW w:w="1530" w:type="dxa"/>
          </w:tcPr>
          <w:p w14:paraId="68AB776F" w14:textId="60FF3439" w:rsidR="00692D9E" w:rsidRPr="000D3DC5" w:rsidRDefault="00692D9E" w:rsidP="00692D9E">
            <w:pPr>
              <w:tabs>
                <w:tab w:val="decimal" w:pos="1152"/>
                <w:tab w:val="right" w:pos="9180"/>
              </w:tabs>
              <w:ind w:right="-18"/>
            </w:pPr>
            <w:r>
              <w:tab/>
              <w:t>922,714</w:t>
            </w:r>
          </w:p>
        </w:tc>
      </w:tr>
      <w:tr w:rsidR="00692D9E" w:rsidRPr="000D3DC5" w14:paraId="7F40AE15" w14:textId="77777777" w:rsidTr="00692D9E">
        <w:tc>
          <w:tcPr>
            <w:tcW w:w="3438" w:type="dxa"/>
            <w:gridSpan w:val="4"/>
          </w:tcPr>
          <w:p w14:paraId="6932D84D" w14:textId="77777777" w:rsidR="00692D9E" w:rsidRPr="000D3DC5" w:rsidRDefault="00692D9E" w:rsidP="00692D9E">
            <w:pPr>
              <w:tabs>
                <w:tab w:val="right" w:pos="9180"/>
              </w:tabs>
              <w:ind w:right="-360"/>
            </w:pPr>
            <w:r>
              <w:t>Total operating expenses</w:t>
            </w:r>
          </w:p>
        </w:tc>
        <w:tc>
          <w:tcPr>
            <w:tcW w:w="1530" w:type="dxa"/>
            <w:tcBorders>
              <w:top w:val="single" w:sz="4" w:space="0" w:color="auto"/>
              <w:bottom w:val="single" w:sz="4" w:space="0" w:color="auto"/>
            </w:tcBorders>
          </w:tcPr>
          <w:p w14:paraId="5EA0E10E" w14:textId="58934257" w:rsidR="00692D9E" w:rsidRPr="000D3DC5" w:rsidRDefault="00692D9E" w:rsidP="00692D9E">
            <w:pPr>
              <w:tabs>
                <w:tab w:val="decimal" w:pos="1152"/>
                <w:tab w:val="right" w:pos="9180"/>
              </w:tabs>
              <w:ind w:right="-18"/>
            </w:pPr>
            <w:r w:rsidRPr="000D3DC5">
              <w:tab/>
            </w:r>
            <w:r w:rsidR="003921D9">
              <w:t>8</w:t>
            </w:r>
            <w:r w:rsidR="00EC5343">
              <w:t>88,713</w:t>
            </w:r>
          </w:p>
        </w:tc>
        <w:tc>
          <w:tcPr>
            <w:tcW w:w="270" w:type="dxa"/>
          </w:tcPr>
          <w:p w14:paraId="5CE6C32E" w14:textId="77777777" w:rsidR="00692D9E" w:rsidRPr="000D3DC5" w:rsidRDefault="00692D9E" w:rsidP="00692D9E">
            <w:pPr>
              <w:tabs>
                <w:tab w:val="right" w:pos="9180"/>
              </w:tabs>
              <w:ind w:right="-360"/>
            </w:pPr>
          </w:p>
        </w:tc>
        <w:tc>
          <w:tcPr>
            <w:tcW w:w="1440" w:type="dxa"/>
            <w:tcBorders>
              <w:top w:val="single" w:sz="4" w:space="0" w:color="auto"/>
              <w:bottom w:val="single" w:sz="4" w:space="0" w:color="auto"/>
            </w:tcBorders>
          </w:tcPr>
          <w:p w14:paraId="1BDAA789" w14:textId="1895BEA0" w:rsidR="00692D9E" w:rsidRPr="000D3DC5" w:rsidRDefault="00692D9E" w:rsidP="00692D9E">
            <w:pPr>
              <w:tabs>
                <w:tab w:val="decimal" w:pos="1062"/>
                <w:tab w:val="right" w:pos="9180"/>
              </w:tabs>
              <w:ind w:right="-46"/>
            </w:pPr>
            <w:r>
              <w:tab/>
              <w:t>863,877</w:t>
            </w:r>
          </w:p>
        </w:tc>
        <w:tc>
          <w:tcPr>
            <w:tcW w:w="450" w:type="dxa"/>
          </w:tcPr>
          <w:p w14:paraId="2E59F4DC" w14:textId="77777777" w:rsidR="00692D9E" w:rsidRPr="000D3DC5" w:rsidRDefault="00692D9E" w:rsidP="00692D9E">
            <w:pPr>
              <w:tabs>
                <w:tab w:val="right" w:pos="9180"/>
              </w:tabs>
              <w:ind w:right="-360"/>
            </w:pPr>
          </w:p>
        </w:tc>
        <w:tc>
          <w:tcPr>
            <w:tcW w:w="1440" w:type="dxa"/>
            <w:tcBorders>
              <w:top w:val="single" w:sz="4" w:space="0" w:color="auto"/>
              <w:bottom w:val="single" w:sz="4" w:space="0" w:color="auto"/>
            </w:tcBorders>
          </w:tcPr>
          <w:p w14:paraId="4C135757" w14:textId="5089F1BE" w:rsidR="00692D9E" w:rsidRPr="000D3DC5" w:rsidRDefault="00692D9E" w:rsidP="00692D9E">
            <w:pPr>
              <w:tabs>
                <w:tab w:val="decimal" w:pos="1062"/>
                <w:tab w:val="right" w:pos="9180"/>
              </w:tabs>
              <w:ind w:right="-18"/>
            </w:pPr>
            <w:r w:rsidRPr="000D3DC5">
              <w:tab/>
            </w:r>
            <w:r w:rsidR="003921D9">
              <w:t>2,</w:t>
            </w:r>
            <w:r w:rsidR="00EC5343">
              <w:t>199,994</w:t>
            </w:r>
          </w:p>
        </w:tc>
        <w:tc>
          <w:tcPr>
            <w:tcW w:w="270" w:type="dxa"/>
          </w:tcPr>
          <w:p w14:paraId="1D0A8005" w14:textId="77777777" w:rsidR="00692D9E" w:rsidRPr="000D3DC5" w:rsidRDefault="00692D9E" w:rsidP="00692D9E">
            <w:pPr>
              <w:tabs>
                <w:tab w:val="right" w:pos="9180"/>
              </w:tabs>
              <w:ind w:right="-360"/>
            </w:pPr>
          </w:p>
        </w:tc>
        <w:tc>
          <w:tcPr>
            <w:tcW w:w="1530" w:type="dxa"/>
            <w:tcBorders>
              <w:top w:val="single" w:sz="4" w:space="0" w:color="auto"/>
              <w:bottom w:val="single" w:sz="4" w:space="0" w:color="auto"/>
            </w:tcBorders>
          </w:tcPr>
          <w:p w14:paraId="36DE0A5F" w14:textId="49DA4FD2" w:rsidR="00692D9E" w:rsidRPr="000D3DC5" w:rsidRDefault="00692D9E" w:rsidP="00692D9E">
            <w:pPr>
              <w:tabs>
                <w:tab w:val="decimal" w:pos="1152"/>
                <w:tab w:val="right" w:pos="9180"/>
              </w:tabs>
              <w:ind w:right="-18"/>
            </w:pPr>
            <w:r>
              <w:tab/>
              <w:t>1,929,659</w:t>
            </w:r>
          </w:p>
        </w:tc>
      </w:tr>
      <w:tr w:rsidR="00692D9E" w:rsidRPr="000D3DC5" w14:paraId="22CD5BC2" w14:textId="77777777" w:rsidTr="00692D9E">
        <w:tc>
          <w:tcPr>
            <w:tcW w:w="378" w:type="dxa"/>
          </w:tcPr>
          <w:p w14:paraId="6F635815" w14:textId="77777777" w:rsidR="00692D9E" w:rsidRPr="000D3DC5" w:rsidRDefault="00692D9E" w:rsidP="00692D9E">
            <w:pPr>
              <w:ind w:right="-360"/>
            </w:pPr>
          </w:p>
        </w:tc>
        <w:tc>
          <w:tcPr>
            <w:tcW w:w="450" w:type="dxa"/>
          </w:tcPr>
          <w:p w14:paraId="51371297" w14:textId="77777777" w:rsidR="00692D9E" w:rsidRPr="000D3DC5" w:rsidRDefault="00692D9E" w:rsidP="00692D9E">
            <w:pPr>
              <w:ind w:right="-360"/>
            </w:pPr>
          </w:p>
        </w:tc>
        <w:tc>
          <w:tcPr>
            <w:tcW w:w="450" w:type="dxa"/>
          </w:tcPr>
          <w:p w14:paraId="48D11986" w14:textId="77777777" w:rsidR="00692D9E" w:rsidRPr="000D3DC5" w:rsidRDefault="00692D9E" w:rsidP="00692D9E">
            <w:pPr>
              <w:ind w:right="-360"/>
            </w:pPr>
          </w:p>
        </w:tc>
        <w:tc>
          <w:tcPr>
            <w:tcW w:w="2160" w:type="dxa"/>
          </w:tcPr>
          <w:p w14:paraId="18CD0E63" w14:textId="77777777" w:rsidR="00692D9E" w:rsidRPr="000D3DC5" w:rsidRDefault="00692D9E" w:rsidP="00692D9E">
            <w:pPr>
              <w:tabs>
                <w:tab w:val="right" w:pos="9180"/>
              </w:tabs>
              <w:ind w:right="-360"/>
            </w:pPr>
          </w:p>
        </w:tc>
        <w:tc>
          <w:tcPr>
            <w:tcW w:w="1530" w:type="dxa"/>
            <w:tcBorders>
              <w:top w:val="single" w:sz="4" w:space="0" w:color="auto"/>
            </w:tcBorders>
          </w:tcPr>
          <w:p w14:paraId="0DADA43D" w14:textId="77777777" w:rsidR="00692D9E" w:rsidRPr="000D3DC5" w:rsidRDefault="00692D9E" w:rsidP="00692D9E">
            <w:pPr>
              <w:tabs>
                <w:tab w:val="right" w:pos="9180"/>
              </w:tabs>
              <w:ind w:right="-18"/>
            </w:pPr>
          </w:p>
        </w:tc>
        <w:tc>
          <w:tcPr>
            <w:tcW w:w="270" w:type="dxa"/>
          </w:tcPr>
          <w:p w14:paraId="59827B72" w14:textId="77777777" w:rsidR="00692D9E" w:rsidRPr="000D3DC5" w:rsidRDefault="00692D9E" w:rsidP="00692D9E">
            <w:pPr>
              <w:tabs>
                <w:tab w:val="right" w:pos="9180"/>
              </w:tabs>
              <w:ind w:right="-360"/>
            </w:pPr>
          </w:p>
        </w:tc>
        <w:tc>
          <w:tcPr>
            <w:tcW w:w="1440" w:type="dxa"/>
            <w:tcBorders>
              <w:top w:val="single" w:sz="4" w:space="0" w:color="auto"/>
            </w:tcBorders>
          </w:tcPr>
          <w:p w14:paraId="7DC6A298" w14:textId="77777777" w:rsidR="00692D9E" w:rsidRPr="000D3DC5" w:rsidRDefault="00692D9E" w:rsidP="00692D9E">
            <w:pPr>
              <w:tabs>
                <w:tab w:val="right" w:pos="9180"/>
              </w:tabs>
              <w:ind w:right="-46"/>
            </w:pPr>
          </w:p>
        </w:tc>
        <w:tc>
          <w:tcPr>
            <w:tcW w:w="450" w:type="dxa"/>
          </w:tcPr>
          <w:p w14:paraId="4858ADC9" w14:textId="77777777" w:rsidR="00692D9E" w:rsidRPr="000D3DC5" w:rsidRDefault="00692D9E" w:rsidP="00692D9E">
            <w:pPr>
              <w:tabs>
                <w:tab w:val="right" w:pos="9180"/>
              </w:tabs>
              <w:ind w:right="-360"/>
            </w:pPr>
          </w:p>
        </w:tc>
        <w:tc>
          <w:tcPr>
            <w:tcW w:w="1440" w:type="dxa"/>
            <w:tcBorders>
              <w:top w:val="single" w:sz="4" w:space="0" w:color="auto"/>
            </w:tcBorders>
          </w:tcPr>
          <w:p w14:paraId="0D0FC892" w14:textId="77777777" w:rsidR="00692D9E" w:rsidRPr="000D3DC5" w:rsidRDefault="00692D9E" w:rsidP="00692D9E">
            <w:pPr>
              <w:tabs>
                <w:tab w:val="right" w:pos="9180"/>
              </w:tabs>
              <w:ind w:right="-18"/>
            </w:pPr>
          </w:p>
        </w:tc>
        <w:tc>
          <w:tcPr>
            <w:tcW w:w="270" w:type="dxa"/>
          </w:tcPr>
          <w:p w14:paraId="318E46A2" w14:textId="77777777" w:rsidR="00692D9E" w:rsidRPr="000D3DC5" w:rsidRDefault="00692D9E" w:rsidP="00692D9E">
            <w:pPr>
              <w:tabs>
                <w:tab w:val="right" w:pos="9180"/>
              </w:tabs>
              <w:ind w:right="-360"/>
            </w:pPr>
          </w:p>
        </w:tc>
        <w:tc>
          <w:tcPr>
            <w:tcW w:w="1530" w:type="dxa"/>
            <w:tcBorders>
              <w:top w:val="single" w:sz="4" w:space="0" w:color="auto"/>
            </w:tcBorders>
          </w:tcPr>
          <w:p w14:paraId="3A38742B" w14:textId="77777777" w:rsidR="00692D9E" w:rsidRPr="000D3DC5" w:rsidRDefault="00692D9E" w:rsidP="00692D9E">
            <w:pPr>
              <w:tabs>
                <w:tab w:val="right" w:pos="9180"/>
              </w:tabs>
              <w:ind w:right="-18"/>
            </w:pPr>
          </w:p>
        </w:tc>
      </w:tr>
      <w:tr w:rsidR="00692D9E" w:rsidRPr="000D3DC5" w14:paraId="51A451F5" w14:textId="77777777" w:rsidTr="00692D9E">
        <w:tc>
          <w:tcPr>
            <w:tcW w:w="3438" w:type="dxa"/>
            <w:gridSpan w:val="4"/>
          </w:tcPr>
          <w:p w14:paraId="3B45D58D" w14:textId="77777777" w:rsidR="00692D9E" w:rsidRPr="000D3DC5" w:rsidRDefault="00692D9E" w:rsidP="00692D9E">
            <w:pPr>
              <w:tabs>
                <w:tab w:val="right" w:pos="9180"/>
              </w:tabs>
              <w:ind w:right="-360"/>
            </w:pPr>
            <w:r>
              <w:t>L</w:t>
            </w:r>
            <w:r w:rsidRPr="000D3DC5">
              <w:t>oss from operations</w:t>
            </w:r>
          </w:p>
        </w:tc>
        <w:tc>
          <w:tcPr>
            <w:tcW w:w="1530" w:type="dxa"/>
          </w:tcPr>
          <w:p w14:paraId="011E6548" w14:textId="030D0AA6" w:rsidR="00692D9E" w:rsidRPr="000D3DC5" w:rsidRDefault="00692D9E" w:rsidP="00692D9E">
            <w:pPr>
              <w:tabs>
                <w:tab w:val="decimal" w:pos="1152"/>
                <w:tab w:val="right" w:pos="9180"/>
              </w:tabs>
              <w:ind w:right="-18"/>
            </w:pPr>
            <w:r>
              <w:tab/>
            </w:r>
            <w:r w:rsidR="003921D9">
              <w:t>(4</w:t>
            </w:r>
            <w:r w:rsidR="00EC5343">
              <w:t>48</w:t>
            </w:r>
            <w:r w:rsidR="003921D9">
              <w:t>,111)</w:t>
            </w:r>
          </w:p>
        </w:tc>
        <w:tc>
          <w:tcPr>
            <w:tcW w:w="270" w:type="dxa"/>
          </w:tcPr>
          <w:p w14:paraId="06203395" w14:textId="77777777" w:rsidR="00692D9E" w:rsidRPr="000D3DC5" w:rsidRDefault="00692D9E" w:rsidP="00692D9E">
            <w:pPr>
              <w:tabs>
                <w:tab w:val="right" w:pos="9180"/>
              </w:tabs>
              <w:ind w:right="-360"/>
            </w:pPr>
          </w:p>
        </w:tc>
        <w:tc>
          <w:tcPr>
            <w:tcW w:w="1440" w:type="dxa"/>
          </w:tcPr>
          <w:p w14:paraId="1C6785FE" w14:textId="650B2066" w:rsidR="00692D9E" w:rsidRPr="000D3DC5" w:rsidRDefault="00692D9E" w:rsidP="00692D9E">
            <w:pPr>
              <w:tabs>
                <w:tab w:val="decimal" w:pos="1062"/>
                <w:tab w:val="right" w:pos="9180"/>
              </w:tabs>
              <w:ind w:right="-46"/>
            </w:pPr>
            <w:r>
              <w:tab/>
              <w:t>(653,936)</w:t>
            </w:r>
          </w:p>
        </w:tc>
        <w:tc>
          <w:tcPr>
            <w:tcW w:w="450" w:type="dxa"/>
          </w:tcPr>
          <w:p w14:paraId="4A8C1C59" w14:textId="77777777" w:rsidR="00692D9E" w:rsidRPr="000D3DC5" w:rsidRDefault="00692D9E" w:rsidP="00692D9E">
            <w:pPr>
              <w:tabs>
                <w:tab w:val="right" w:pos="9180"/>
              </w:tabs>
              <w:ind w:right="-360"/>
            </w:pPr>
          </w:p>
        </w:tc>
        <w:tc>
          <w:tcPr>
            <w:tcW w:w="1440" w:type="dxa"/>
          </w:tcPr>
          <w:p w14:paraId="7C287049" w14:textId="21C889FB" w:rsidR="00692D9E" w:rsidRPr="000D3DC5" w:rsidRDefault="00692D9E" w:rsidP="00692D9E">
            <w:pPr>
              <w:tabs>
                <w:tab w:val="decimal" w:pos="1044"/>
                <w:tab w:val="right" w:pos="9180"/>
              </w:tabs>
              <w:ind w:right="-18"/>
            </w:pPr>
            <w:r w:rsidRPr="000D3DC5">
              <w:tab/>
            </w:r>
            <w:r w:rsidR="003921D9">
              <w:t>(1,0</w:t>
            </w:r>
            <w:r w:rsidR="00EC5343">
              <w:t>43,415</w:t>
            </w:r>
            <w:r w:rsidR="003921D9">
              <w:t>)</w:t>
            </w:r>
          </w:p>
        </w:tc>
        <w:tc>
          <w:tcPr>
            <w:tcW w:w="270" w:type="dxa"/>
          </w:tcPr>
          <w:p w14:paraId="3668A2E5" w14:textId="77777777" w:rsidR="00692D9E" w:rsidRPr="000D3DC5" w:rsidRDefault="00692D9E" w:rsidP="00692D9E">
            <w:pPr>
              <w:tabs>
                <w:tab w:val="right" w:pos="9180"/>
              </w:tabs>
              <w:ind w:right="-360"/>
            </w:pPr>
          </w:p>
        </w:tc>
        <w:tc>
          <w:tcPr>
            <w:tcW w:w="1530" w:type="dxa"/>
          </w:tcPr>
          <w:p w14:paraId="673E0720" w14:textId="2B6510D1" w:rsidR="00692D9E" w:rsidRPr="000D3DC5" w:rsidRDefault="00692D9E" w:rsidP="00692D9E">
            <w:pPr>
              <w:tabs>
                <w:tab w:val="decimal" w:pos="1152"/>
                <w:tab w:val="right" w:pos="9180"/>
              </w:tabs>
              <w:ind w:right="-18"/>
            </w:pPr>
            <w:r>
              <w:tab/>
              <w:t>(1,355,486)</w:t>
            </w:r>
          </w:p>
        </w:tc>
      </w:tr>
      <w:tr w:rsidR="00692D9E" w:rsidRPr="000D3DC5" w14:paraId="0EB5DFE5" w14:textId="77777777" w:rsidTr="00692D9E">
        <w:tc>
          <w:tcPr>
            <w:tcW w:w="378" w:type="dxa"/>
          </w:tcPr>
          <w:p w14:paraId="27E8FD18" w14:textId="77777777" w:rsidR="00692D9E" w:rsidRPr="000D3DC5" w:rsidRDefault="00692D9E" w:rsidP="00692D9E">
            <w:pPr>
              <w:ind w:right="-360"/>
            </w:pPr>
          </w:p>
        </w:tc>
        <w:tc>
          <w:tcPr>
            <w:tcW w:w="450" w:type="dxa"/>
          </w:tcPr>
          <w:p w14:paraId="30425A6F" w14:textId="77777777" w:rsidR="00692D9E" w:rsidRPr="000D3DC5" w:rsidRDefault="00692D9E" w:rsidP="00692D9E">
            <w:pPr>
              <w:ind w:right="-360"/>
            </w:pPr>
          </w:p>
        </w:tc>
        <w:tc>
          <w:tcPr>
            <w:tcW w:w="450" w:type="dxa"/>
          </w:tcPr>
          <w:p w14:paraId="7C94308F" w14:textId="77777777" w:rsidR="00692D9E" w:rsidRPr="000D3DC5" w:rsidRDefault="00692D9E" w:rsidP="00692D9E">
            <w:pPr>
              <w:ind w:right="-360"/>
            </w:pPr>
          </w:p>
        </w:tc>
        <w:tc>
          <w:tcPr>
            <w:tcW w:w="2160" w:type="dxa"/>
          </w:tcPr>
          <w:p w14:paraId="5C17CECA" w14:textId="77777777" w:rsidR="00692D9E" w:rsidRPr="000D3DC5" w:rsidRDefault="00692D9E" w:rsidP="00692D9E">
            <w:pPr>
              <w:tabs>
                <w:tab w:val="right" w:pos="9180"/>
              </w:tabs>
              <w:ind w:right="-360"/>
            </w:pPr>
          </w:p>
        </w:tc>
        <w:tc>
          <w:tcPr>
            <w:tcW w:w="1530" w:type="dxa"/>
          </w:tcPr>
          <w:p w14:paraId="18650A81" w14:textId="77777777" w:rsidR="00692D9E" w:rsidRPr="000D3DC5" w:rsidRDefault="00692D9E" w:rsidP="00692D9E">
            <w:pPr>
              <w:tabs>
                <w:tab w:val="right" w:pos="9180"/>
              </w:tabs>
              <w:ind w:right="-18"/>
            </w:pPr>
          </w:p>
        </w:tc>
        <w:tc>
          <w:tcPr>
            <w:tcW w:w="270" w:type="dxa"/>
          </w:tcPr>
          <w:p w14:paraId="7750B8A6" w14:textId="77777777" w:rsidR="00692D9E" w:rsidRPr="000D3DC5" w:rsidRDefault="00692D9E" w:rsidP="00692D9E">
            <w:pPr>
              <w:tabs>
                <w:tab w:val="right" w:pos="9180"/>
              </w:tabs>
              <w:ind w:right="-360"/>
            </w:pPr>
          </w:p>
        </w:tc>
        <w:tc>
          <w:tcPr>
            <w:tcW w:w="1440" w:type="dxa"/>
          </w:tcPr>
          <w:p w14:paraId="6EC8A493" w14:textId="77777777" w:rsidR="00692D9E" w:rsidRPr="000D3DC5" w:rsidRDefault="00692D9E" w:rsidP="00692D9E">
            <w:pPr>
              <w:tabs>
                <w:tab w:val="right" w:pos="9180"/>
              </w:tabs>
              <w:ind w:right="-46"/>
            </w:pPr>
          </w:p>
        </w:tc>
        <w:tc>
          <w:tcPr>
            <w:tcW w:w="450" w:type="dxa"/>
          </w:tcPr>
          <w:p w14:paraId="225E8760" w14:textId="77777777" w:rsidR="00692D9E" w:rsidRPr="000D3DC5" w:rsidRDefault="00692D9E" w:rsidP="00692D9E">
            <w:pPr>
              <w:tabs>
                <w:tab w:val="right" w:pos="9180"/>
              </w:tabs>
              <w:ind w:right="-360"/>
            </w:pPr>
          </w:p>
        </w:tc>
        <w:tc>
          <w:tcPr>
            <w:tcW w:w="1440" w:type="dxa"/>
          </w:tcPr>
          <w:p w14:paraId="1F7C3DFA" w14:textId="77777777" w:rsidR="00692D9E" w:rsidRPr="000D3DC5" w:rsidRDefault="00692D9E" w:rsidP="00692D9E">
            <w:pPr>
              <w:tabs>
                <w:tab w:val="right" w:pos="9180"/>
              </w:tabs>
              <w:ind w:right="-18"/>
            </w:pPr>
          </w:p>
        </w:tc>
        <w:tc>
          <w:tcPr>
            <w:tcW w:w="270" w:type="dxa"/>
          </w:tcPr>
          <w:p w14:paraId="7C6259F6" w14:textId="77777777" w:rsidR="00692D9E" w:rsidRPr="000D3DC5" w:rsidRDefault="00692D9E" w:rsidP="00692D9E">
            <w:pPr>
              <w:tabs>
                <w:tab w:val="right" w:pos="9180"/>
              </w:tabs>
              <w:ind w:right="-360"/>
            </w:pPr>
          </w:p>
        </w:tc>
        <w:tc>
          <w:tcPr>
            <w:tcW w:w="1530" w:type="dxa"/>
          </w:tcPr>
          <w:p w14:paraId="642230C5" w14:textId="77777777" w:rsidR="00692D9E" w:rsidRPr="000D3DC5" w:rsidRDefault="00692D9E" w:rsidP="00692D9E">
            <w:pPr>
              <w:tabs>
                <w:tab w:val="right" w:pos="9180"/>
              </w:tabs>
              <w:ind w:right="-18"/>
            </w:pPr>
          </w:p>
        </w:tc>
      </w:tr>
      <w:tr w:rsidR="00692D9E" w:rsidRPr="000D3DC5" w14:paraId="3B7AD334" w14:textId="77777777" w:rsidTr="00692D9E">
        <w:tc>
          <w:tcPr>
            <w:tcW w:w="3438" w:type="dxa"/>
            <w:gridSpan w:val="4"/>
          </w:tcPr>
          <w:p w14:paraId="725AFE00" w14:textId="77777777" w:rsidR="00692D9E" w:rsidRPr="000D3DC5" w:rsidRDefault="00692D9E" w:rsidP="00692D9E">
            <w:pPr>
              <w:tabs>
                <w:tab w:val="right" w:pos="9180"/>
              </w:tabs>
              <w:ind w:right="-360"/>
            </w:pPr>
            <w:r>
              <w:t>Other income (expense):</w:t>
            </w:r>
          </w:p>
        </w:tc>
        <w:tc>
          <w:tcPr>
            <w:tcW w:w="1530" w:type="dxa"/>
          </w:tcPr>
          <w:p w14:paraId="27CF2D7A" w14:textId="77777777" w:rsidR="00692D9E" w:rsidRPr="000D3DC5" w:rsidRDefault="00692D9E" w:rsidP="00692D9E">
            <w:pPr>
              <w:tabs>
                <w:tab w:val="decimal" w:pos="1062"/>
                <w:tab w:val="right" w:pos="9180"/>
              </w:tabs>
              <w:ind w:right="-18"/>
            </w:pPr>
          </w:p>
        </w:tc>
        <w:tc>
          <w:tcPr>
            <w:tcW w:w="270" w:type="dxa"/>
          </w:tcPr>
          <w:p w14:paraId="52107550" w14:textId="77777777" w:rsidR="00692D9E" w:rsidRPr="000D3DC5" w:rsidRDefault="00692D9E" w:rsidP="00692D9E">
            <w:pPr>
              <w:tabs>
                <w:tab w:val="right" w:pos="9180"/>
              </w:tabs>
              <w:ind w:right="-360"/>
            </w:pPr>
          </w:p>
        </w:tc>
        <w:tc>
          <w:tcPr>
            <w:tcW w:w="1440" w:type="dxa"/>
          </w:tcPr>
          <w:p w14:paraId="5C716FA7" w14:textId="77777777" w:rsidR="00692D9E" w:rsidRPr="000D3DC5" w:rsidRDefault="00692D9E" w:rsidP="00692D9E">
            <w:pPr>
              <w:tabs>
                <w:tab w:val="decimal" w:pos="864"/>
                <w:tab w:val="right" w:pos="9180"/>
              </w:tabs>
              <w:ind w:right="-46"/>
            </w:pPr>
          </w:p>
        </w:tc>
        <w:tc>
          <w:tcPr>
            <w:tcW w:w="450" w:type="dxa"/>
          </w:tcPr>
          <w:p w14:paraId="06D54199" w14:textId="77777777" w:rsidR="00692D9E" w:rsidRPr="000D3DC5" w:rsidRDefault="00692D9E" w:rsidP="00692D9E">
            <w:pPr>
              <w:tabs>
                <w:tab w:val="right" w:pos="9180"/>
              </w:tabs>
              <w:ind w:right="-360"/>
            </w:pPr>
          </w:p>
        </w:tc>
        <w:tc>
          <w:tcPr>
            <w:tcW w:w="1440" w:type="dxa"/>
          </w:tcPr>
          <w:p w14:paraId="3E423B96" w14:textId="77777777" w:rsidR="00692D9E" w:rsidRPr="000D3DC5" w:rsidRDefault="00692D9E" w:rsidP="00692D9E">
            <w:pPr>
              <w:tabs>
                <w:tab w:val="decimal" w:pos="864"/>
                <w:tab w:val="right" w:pos="9180"/>
              </w:tabs>
              <w:ind w:right="-18"/>
            </w:pPr>
          </w:p>
        </w:tc>
        <w:tc>
          <w:tcPr>
            <w:tcW w:w="270" w:type="dxa"/>
          </w:tcPr>
          <w:p w14:paraId="0DF4BB64" w14:textId="77777777" w:rsidR="00692D9E" w:rsidRPr="000D3DC5" w:rsidRDefault="00692D9E" w:rsidP="00692D9E">
            <w:pPr>
              <w:tabs>
                <w:tab w:val="right" w:pos="9180"/>
              </w:tabs>
              <w:ind w:right="-360"/>
            </w:pPr>
          </w:p>
        </w:tc>
        <w:tc>
          <w:tcPr>
            <w:tcW w:w="1530" w:type="dxa"/>
          </w:tcPr>
          <w:p w14:paraId="00C5B343" w14:textId="77777777" w:rsidR="00692D9E" w:rsidRPr="000D3DC5" w:rsidRDefault="00692D9E" w:rsidP="00692D9E">
            <w:pPr>
              <w:tabs>
                <w:tab w:val="decimal" w:pos="864"/>
                <w:tab w:val="right" w:pos="9180"/>
              </w:tabs>
              <w:ind w:right="-18"/>
            </w:pPr>
          </w:p>
        </w:tc>
      </w:tr>
      <w:tr w:rsidR="00692D9E" w:rsidRPr="000D3DC5" w14:paraId="1A0FD9A8" w14:textId="77777777" w:rsidTr="00692D9E">
        <w:tc>
          <w:tcPr>
            <w:tcW w:w="378" w:type="dxa"/>
          </w:tcPr>
          <w:p w14:paraId="72053EC4" w14:textId="77777777" w:rsidR="00692D9E" w:rsidRPr="000D3DC5" w:rsidRDefault="00692D9E" w:rsidP="00692D9E">
            <w:pPr>
              <w:ind w:right="-360"/>
            </w:pPr>
          </w:p>
        </w:tc>
        <w:tc>
          <w:tcPr>
            <w:tcW w:w="3060" w:type="dxa"/>
            <w:gridSpan w:val="3"/>
          </w:tcPr>
          <w:p w14:paraId="4E45D871" w14:textId="77777777" w:rsidR="00692D9E" w:rsidRPr="000D3DC5" w:rsidRDefault="00692D9E" w:rsidP="00692D9E">
            <w:pPr>
              <w:tabs>
                <w:tab w:val="right" w:pos="9180"/>
              </w:tabs>
              <w:ind w:right="-360"/>
            </w:pPr>
            <w:r w:rsidRPr="000D3DC5">
              <w:t>Interest income</w:t>
            </w:r>
          </w:p>
        </w:tc>
        <w:tc>
          <w:tcPr>
            <w:tcW w:w="1530" w:type="dxa"/>
          </w:tcPr>
          <w:p w14:paraId="688D4EF9" w14:textId="23630743" w:rsidR="00692D9E" w:rsidRPr="000D3DC5" w:rsidRDefault="00692D9E" w:rsidP="00692D9E">
            <w:pPr>
              <w:tabs>
                <w:tab w:val="decimal" w:pos="1152"/>
                <w:tab w:val="right" w:pos="9180"/>
              </w:tabs>
              <w:ind w:right="-18"/>
            </w:pPr>
            <w:r w:rsidRPr="000D3DC5">
              <w:tab/>
            </w:r>
            <w:r w:rsidR="003921D9">
              <w:t>60</w:t>
            </w:r>
          </w:p>
        </w:tc>
        <w:tc>
          <w:tcPr>
            <w:tcW w:w="270" w:type="dxa"/>
          </w:tcPr>
          <w:p w14:paraId="101BA431" w14:textId="77777777" w:rsidR="00692D9E" w:rsidRPr="000D3DC5" w:rsidRDefault="00692D9E" w:rsidP="00692D9E">
            <w:pPr>
              <w:tabs>
                <w:tab w:val="right" w:pos="9180"/>
              </w:tabs>
              <w:ind w:right="-360"/>
            </w:pPr>
          </w:p>
        </w:tc>
        <w:tc>
          <w:tcPr>
            <w:tcW w:w="1440" w:type="dxa"/>
          </w:tcPr>
          <w:p w14:paraId="0F769756" w14:textId="3E42A508" w:rsidR="00692D9E" w:rsidRPr="000D3DC5" w:rsidRDefault="00692D9E" w:rsidP="00692D9E">
            <w:pPr>
              <w:tabs>
                <w:tab w:val="decimal" w:pos="1062"/>
                <w:tab w:val="right" w:pos="9180"/>
              </w:tabs>
              <w:ind w:right="-46"/>
            </w:pPr>
            <w:r w:rsidRPr="000D3DC5">
              <w:tab/>
            </w:r>
            <w:r>
              <w:t>881</w:t>
            </w:r>
          </w:p>
        </w:tc>
        <w:tc>
          <w:tcPr>
            <w:tcW w:w="450" w:type="dxa"/>
          </w:tcPr>
          <w:p w14:paraId="5398862C" w14:textId="77777777" w:rsidR="00692D9E" w:rsidRPr="000D3DC5" w:rsidRDefault="00692D9E" w:rsidP="00692D9E">
            <w:pPr>
              <w:tabs>
                <w:tab w:val="right" w:pos="9180"/>
              </w:tabs>
              <w:ind w:right="-360"/>
            </w:pPr>
          </w:p>
        </w:tc>
        <w:tc>
          <w:tcPr>
            <w:tcW w:w="1440" w:type="dxa"/>
          </w:tcPr>
          <w:p w14:paraId="1D602E36" w14:textId="5C580378" w:rsidR="00692D9E" w:rsidRPr="000D3DC5" w:rsidRDefault="00692D9E" w:rsidP="00692D9E">
            <w:pPr>
              <w:tabs>
                <w:tab w:val="decimal" w:pos="1062"/>
                <w:tab w:val="right" w:pos="9180"/>
              </w:tabs>
              <w:ind w:right="-18"/>
            </w:pPr>
            <w:r w:rsidRPr="000D3DC5">
              <w:tab/>
            </w:r>
            <w:r w:rsidR="003921D9">
              <w:t>812</w:t>
            </w:r>
          </w:p>
        </w:tc>
        <w:tc>
          <w:tcPr>
            <w:tcW w:w="270" w:type="dxa"/>
          </w:tcPr>
          <w:p w14:paraId="0DD99A7F" w14:textId="77777777" w:rsidR="00692D9E" w:rsidRPr="000D3DC5" w:rsidRDefault="00692D9E" w:rsidP="00692D9E">
            <w:pPr>
              <w:tabs>
                <w:tab w:val="right" w:pos="9180"/>
              </w:tabs>
              <w:ind w:right="-360"/>
            </w:pPr>
          </w:p>
        </w:tc>
        <w:tc>
          <w:tcPr>
            <w:tcW w:w="1530" w:type="dxa"/>
          </w:tcPr>
          <w:p w14:paraId="7008BB8C" w14:textId="52DA684F" w:rsidR="00692D9E" w:rsidRPr="000D3DC5" w:rsidRDefault="00692D9E" w:rsidP="00692D9E">
            <w:pPr>
              <w:tabs>
                <w:tab w:val="decimal" w:pos="1152"/>
                <w:tab w:val="right" w:pos="9180"/>
              </w:tabs>
              <w:ind w:right="-18"/>
            </w:pPr>
            <w:r w:rsidRPr="000D3DC5">
              <w:tab/>
            </w:r>
            <w:r>
              <w:t>2,105</w:t>
            </w:r>
          </w:p>
        </w:tc>
      </w:tr>
      <w:tr w:rsidR="00692D9E" w:rsidRPr="000D3DC5" w14:paraId="25AA8845" w14:textId="77777777" w:rsidTr="00692D9E">
        <w:tc>
          <w:tcPr>
            <w:tcW w:w="378" w:type="dxa"/>
          </w:tcPr>
          <w:p w14:paraId="6D1DB5CE" w14:textId="77777777" w:rsidR="00692D9E" w:rsidRPr="000D3DC5" w:rsidRDefault="00692D9E" w:rsidP="00692D9E">
            <w:pPr>
              <w:ind w:right="-360"/>
            </w:pPr>
          </w:p>
        </w:tc>
        <w:tc>
          <w:tcPr>
            <w:tcW w:w="3060" w:type="dxa"/>
            <w:gridSpan w:val="3"/>
          </w:tcPr>
          <w:p w14:paraId="27D48D62" w14:textId="77777777" w:rsidR="00692D9E" w:rsidRPr="000D3DC5" w:rsidRDefault="00692D9E" w:rsidP="00692D9E">
            <w:pPr>
              <w:tabs>
                <w:tab w:val="right" w:pos="9180"/>
              </w:tabs>
              <w:ind w:right="-360"/>
            </w:pPr>
            <w:r>
              <w:t>Interest expense</w:t>
            </w:r>
          </w:p>
        </w:tc>
        <w:tc>
          <w:tcPr>
            <w:tcW w:w="1530" w:type="dxa"/>
          </w:tcPr>
          <w:p w14:paraId="2040B1A9" w14:textId="7E74A539" w:rsidR="00692D9E" w:rsidRPr="000D3DC5" w:rsidRDefault="00692D9E" w:rsidP="00692D9E">
            <w:pPr>
              <w:tabs>
                <w:tab w:val="decimal" w:pos="1152"/>
                <w:tab w:val="right" w:pos="9180"/>
              </w:tabs>
              <w:ind w:right="-18"/>
            </w:pPr>
            <w:r>
              <w:tab/>
            </w:r>
            <w:r w:rsidR="003921D9">
              <w:t>(</w:t>
            </w:r>
            <w:r w:rsidR="00EC5343">
              <w:t>7,153</w:t>
            </w:r>
            <w:r w:rsidR="003921D9">
              <w:t>)</w:t>
            </w:r>
          </w:p>
        </w:tc>
        <w:tc>
          <w:tcPr>
            <w:tcW w:w="270" w:type="dxa"/>
          </w:tcPr>
          <w:p w14:paraId="6CEC57B0" w14:textId="77777777" w:rsidR="00692D9E" w:rsidRPr="000D3DC5" w:rsidRDefault="00692D9E" w:rsidP="00692D9E">
            <w:pPr>
              <w:tabs>
                <w:tab w:val="right" w:pos="9180"/>
              </w:tabs>
              <w:ind w:right="-360"/>
            </w:pPr>
          </w:p>
        </w:tc>
        <w:tc>
          <w:tcPr>
            <w:tcW w:w="1440" w:type="dxa"/>
          </w:tcPr>
          <w:p w14:paraId="41ECFD17" w14:textId="4FB7504D" w:rsidR="00692D9E" w:rsidRPr="000D3DC5" w:rsidRDefault="00692D9E" w:rsidP="00692D9E">
            <w:pPr>
              <w:tabs>
                <w:tab w:val="decimal" w:pos="1062"/>
                <w:tab w:val="right" w:pos="9180"/>
              </w:tabs>
              <w:ind w:right="-46"/>
            </w:pPr>
            <w:r>
              <w:tab/>
              <w:t>(1,093)</w:t>
            </w:r>
          </w:p>
        </w:tc>
        <w:tc>
          <w:tcPr>
            <w:tcW w:w="450" w:type="dxa"/>
          </w:tcPr>
          <w:p w14:paraId="3BB62277" w14:textId="77777777" w:rsidR="00692D9E" w:rsidRPr="000D3DC5" w:rsidRDefault="00692D9E" w:rsidP="00692D9E">
            <w:pPr>
              <w:tabs>
                <w:tab w:val="right" w:pos="9180"/>
              </w:tabs>
              <w:ind w:right="-360"/>
            </w:pPr>
          </w:p>
        </w:tc>
        <w:tc>
          <w:tcPr>
            <w:tcW w:w="1440" w:type="dxa"/>
          </w:tcPr>
          <w:p w14:paraId="5554F12B" w14:textId="37E90CF1" w:rsidR="00692D9E" w:rsidRPr="000D3DC5" w:rsidRDefault="00692D9E" w:rsidP="00692D9E">
            <w:pPr>
              <w:tabs>
                <w:tab w:val="decimal" w:pos="1062"/>
                <w:tab w:val="right" w:pos="9180"/>
              </w:tabs>
              <w:ind w:right="-18"/>
            </w:pPr>
            <w:r>
              <w:tab/>
            </w:r>
            <w:r w:rsidR="003921D9">
              <w:t>(</w:t>
            </w:r>
            <w:r w:rsidR="00EC5343">
              <w:t>8,295</w:t>
            </w:r>
            <w:r w:rsidR="003921D9">
              <w:t>)</w:t>
            </w:r>
          </w:p>
        </w:tc>
        <w:tc>
          <w:tcPr>
            <w:tcW w:w="270" w:type="dxa"/>
          </w:tcPr>
          <w:p w14:paraId="36B4D277" w14:textId="77777777" w:rsidR="00692D9E" w:rsidRPr="000D3DC5" w:rsidRDefault="00692D9E" w:rsidP="00692D9E">
            <w:pPr>
              <w:tabs>
                <w:tab w:val="right" w:pos="9180"/>
              </w:tabs>
              <w:ind w:right="-360"/>
            </w:pPr>
          </w:p>
        </w:tc>
        <w:tc>
          <w:tcPr>
            <w:tcW w:w="1530" w:type="dxa"/>
          </w:tcPr>
          <w:p w14:paraId="51FB02E2" w14:textId="7615DF0F" w:rsidR="00692D9E" w:rsidRPr="000D3DC5" w:rsidRDefault="00692D9E" w:rsidP="00692D9E">
            <w:pPr>
              <w:tabs>
                <w:tab w:val="decimal" w:pos="1152"/>
                <w:tab w:val="right" w:pos="9180"/>
              </w:tabs>
              <w:ind w:right="-18"/>
            </w:pPr>
            <w:r>
              <w:tab/>
              <w:t>(2,221)</w:t>
            </w:r>
          </w:p>
        </w:tc>
      </w:tr>
      <w:tr w:rsidR="00692D9E" w:rsidRPr="000D3DC5" w14:paraId="06F6151A" w14:textId="77777777" w:rsidTr="00692D9E">
        <w:tc>
          <w:tcPr>
            <w:tcW w:w="3438" w:type="dxa"/>
            <w:gridSpan w:val="4"/>
          </w:tcPr>
          <w:p w14:paraId="1A3A95B0" w14:textId="77777777" w:rsidR="00692D9E" w:rsidRPr="000D3DC5" w:rsidRDefault="00692D9E" w:rsidP="00692D9E">
            <w:pPr>
              <w:tabs>
                <w:tab w:val="right" w:pos="9180"/>
              </w:tabs>
              <w:ind w:right="-360"/>
            </w:pPr>
            <w:r>
              <w:t>Total other income (expense)</w:t>
            </w:r>
          </w:p>
        </w:tc>
        <w:tc>
          <w:tcPr>
            <w:tcW w:w="1530" w:type="dxa"/>
            <w:tcBorders>
              <w:top w:val="single" w:sz="4" w:space="0" w:color="auto"/>
            </w:tcBorders>
          </w:tcPr>
          <w:p w14:paraId="548D3383" w14:textId="5D9279B9" w:rsidR="00692D9E" w:rsidRPr="000D3DC5" w:rsidRDefault="00692D9E" w:rsidP="00692D9E">
            <w:pPr>
              <w:tabs>
                <w:tab w:val="decimal" w:pos="1137"/>
                <w:tab w:val="right" w:pos="9180"/>
              </w:tabs>
              <w:ind w:right="-18"/>
            </w:pPr>
            <w:r>
              <w:tab/>
            </w:r>
            <w:r w:rsidR="003921D9">
              <w:t>(</w:t>
            </w:r>
            <w:r w:rsidR="00EC5343">
              <w:t>7,093</w:t>
            </w:r>
            <w:r w:rsidR="003921D9">
              <w:t>)</w:t>
            </w:r>
          </w:p>
        </w:tc>
        <w:tc>
          <w:tcPr>
            <w:tcW w:w="270" w:type="dxa"/>
          </w:tcPr>
          <w:p w14:paraId="47FE19BB" w14:textId="77777777" w:rsidR="00692D9E" w:rsidRPr="000D3DC5" w:rsidRDefault="00692D9E" w:rsidP="00692D9E">
            <w:pPr>
              <w:tabs>
                <w:tab w:val="right" w:pos="9180"/>
              </w:tabs>
              <w:ind w:right="-360"/>
            </w:pPr>
          </w:p>
        </w:tc>
        <w:tc>
          <w:tcPr>
            <w:tcW w:w="1440" w:type="dxa"/>
            <w:tcBorders>
              <w:top w:val="single" w:sz="4" w:space="0" w:color="auto"/>
            </w:tcBorders>
          </w:tcPr>
          <w:p w14:paraId="7A2DFF69" w14:textId="150ACE61" w:rsidR="00692D9E" w:rsidRPr="000D3DC5" w:rsidRDefault="00692D9E" w:rsidP="00692D9E">
            <w:pPr>
              <w:tabs>
                <w:tab w:val="decimal" w:pos="1043"/>
                <w:tab w:val="right" w:pos="9180"/>
              </w:tabs>
              <w:ind w:right="-46"/>
            </w:pPr>
            <w:r>
              <w:tab/>
              <w:t>(212)</w:t>
            </w:r>
          </w:p>
        </w:tc>
        <w:tc>
          <w:tcPr>
            <w:tcW w:w="450" w:type="dxa"/>
          </w:tcPr>
          <w:p w14:paraId="51AC4F3D" w14:textId="77777777" w:rsidR="00692D9E" w:rsidRPr="000D3DC5" w:rsidRDefault="00692D9E" w:rsidP="00692D9E">
            <w:pPr>
              <w:tabs>
                <w:tab w:val="right" w:pos="9180"/>
              </w:tabs>
              <w:ind w:right="-360"/>
            </w:pPr>
          </w:p>
        </w:tc>
        <w:tc>
          <w:tcPr>
            <w:tcW w:w="1440" w:type="dxa"/>
            <w:tcBorders>
              <w:top w:val="single" w:sz="4" w:space="0" w:color="auto"/>
            </w:tcBorders>
          </w:tcPr>
          <w:p w14:paraId="5A68A6CF" w14:textId="69BF2915" w:rsidR="00692D9E" w:rsidRPr="000D3DC5" w:rsidRDefault="00692D9E" w:rsidP="00692D9E">
            <w:pPr>
              <w:tabs>
                <w:tab w:val="decimal" w:pos="1042"/>
                <w:tab w:val="right" w:pos="9180"/>
              </w:tabs>
              <w:ind w:right="-18"/>
            </w:pPr>
            <w:r>
              <w:tab/>
            </w:r>
            <w:r w:rsidR="00EC5343">
              <w:t>(7,483</w:t>
            </w:r>
            <w:r w:rsidR="003921D9">
              <w:t>)</w:t>
            </w:r>
          </w:p>
        </w:tc>
        <w:tc>
          <w:tcPr>
            <w:tcW w:w="270" w:type="dxa"/>
          </w:tcPr>
          <w:p w14:paraId="7BD43042" w14:textId="77777777" w:rsidR="00692D9E" w:rsidRPr="000D3DC5" w:rsidRDefault="00692D9E" w:rsidP="00692D9E">
            <w:pPr>
              <w:tabs>
                <w:tab w:val="right" w:pos="9180"/>
              </w:tabs>
              <w:ind w:right="-360"/>
            </w:pPr>
          </w:p>
        </w:tc>
        <w:tc>
          <w:tcPr>
            <w:tcW w:w="1530" w:type="dxa"/>
            <w:tcBorders>
              <w:top w:val="single" w:sz="4" w:space="0" w:color="auto"/>
            </w:tcBorders>
          </w:tcPr>
          <w:p w14:paraId="164C44BF" w14:textId="74C6E05F" w:rsidR="00692D9E" w:rsidRPr="000D3DC5" w:rsidRDefault="00692D9E" w:rsidP="00692D9E">
            <w:pPr>
              <w:tabs>
                <w:tab w:val="decimal" w:pos="1140"/>
                <w:tab w:val="right" w:pos="9180"/>
              </w:tabs>
              <w:ind w:right="-18"/>
            </w:pPr>
            <w:r>
              <w:tab/>
              <w:t>(116)</w:t>
            </w:r>
          </w:p>
        </w:tc>
      </w:tr>
      <w:tr w:rsidR="00692D9E" w:rsidRPr="000D3DC5" w14:paraId="557F12E8" w14:textId="77777777" w:rsidTr="00692D9E">
        <w:tc>
          <w:tcPr>
            <w:tcW w:w="378" w:type="dxa"/>
          </w:tcPr>
          <w:p w14:paraId="29944563" w14:textId="77777777" w:rsidR="00692D9E" w:rsidRPr="000D3DC5" w:rsidRDefault="00692D9E" w:rsidP="00692D9E">
            <w:pPr>
              <w:ind w:right="-360"/>
            </w:pPr>
          </w:p>
        </w:tc>
        <w:tc>
          <w:tcPr>
            <w:tcW w:w="450" w:type="dxa"/>
          </w:tcPr>
          <w:p w14:paraId="3836B09F" w14:textId="77777777" w:rsidR="00692D9E" w:rsidRPr="000D3DC5" w:rsidRDefault="00692D9E" w:rsidP="00692D9E">
            <w:pPr>
              <w:ind w:right="-360"/>
            </w:pPr>
          </w:p>
        </w:tc>
        <w:tc>
          <w:tcPr>
            <w:tcW w:w="450" w:type="dxa"/>
          </w:tcPr>
          <w:p w14:paraId="25228C72" w14:textId="77777777" w:rsidR="00692D9E" w:rsidRPr="000D3DC5" w:rsidRDefault="00692D9E" w:rsidP="00692D9E">
            <w:pPr>
              <w:ind w:right="-360"/>
            </w:pPr>
          </w:p>
        </w:tc>
        <w:tc>
          <w:tcPr>
            <w:tcW w:w="2160" w:type="dxa"/>
          </w:tcPr>
          <w:p w14:paraId="3972AC3C" w14:textId="77777777" w:rsidR="00692D9E" w:rsidRPr="000D3DC5" w:rsidRDefault="00692D9E" w:rsidP="00692D9E">
            <w:pPr>
              <w:tabs>
                <w:tab w:val="right" w:pos="9180"/>
              </w:tabs>
              <w:ind w:right="-360"/>
            </w:pPr>
          </w:p>
        </w:tc>
        <w:tc>
          <w:tcPr>
            <w:tcW w:w="1530" w:type="dxa"/>
            <w:tcBorders>
              <w:top w:val="single" w:sz="4" w:space="0" w:color="auto"/>
            </w:tcBorders>
          </w:tcPr>
          <w:p w14:paraId="7F4643D3" w14:textId="77777777" w:rsidR="00692D9E" w:rsidRPr="000D3DC5" w:rsidRDefault="00692D9E" w:rsidP="00692D9E">
            <w:pPr>
              <w:tabs>
                <w:tab w:val="right" w:pos="9180"/>
              </w:tabs>
              <w:ind w:right="-18"/>
            </w:pPr>
          </w:p>
        </w:tc>
        <w:tc>
          <w:tcPr>
            <w:tcW w:w="270" w:type="dxa"/>
          </w:tcPr>
          <w:p w14:paraId="45A4E12D" w14:textId="77777777" w:rsidR="00692D9E" w:rsidRPr="000D3DC5" w:rsidRDefault="00692D9E" w:rsidP="00692D9E">
            <w:pPr>
              <w:tabs>
                <w:tab w:val="right" w:pos="9180"/>
              </w:tabs>
              <w:ind w:right="-360"/>
            </w:pPr>
          </w:p>
        </w:tc>
        <w:tc>
          <w:tcPr>
            <w:tcW w:w="1440" w:type="dxa"/>
            <w:tcBorders>
              <w:top w:val="single" w:sz="4" w:space="0" w:color="auto"/>
            </w:tcBorders>
          </w:tcPr>
          <w:p w14:paraId="615F47FF" w14:textId="77777777" w:rsidR="00692D9E" w:rsidRPr="000D3DC5" w:rsidRDefault="00692D9E" w:rsidP="00692D9E">
            <w:pPr>
              <w:tabs>
                <w:tab w:val="right" w:pos="9180"/>
              </w:tabs>
              <w:ind w:right="-46"/>
            </w:pPr>
          </w:p>
        </w:tc>
        <w:tc>
          <w:tcPr>
            <w:tcW w:w="450" w:type="dxa"/>
          </w:tcPr>
          <w:p w14:paraId="1F59FADF" w14:textId="77777777" w:rsidR="00692D9E" w:rsidRPr="000D3DC5" w:rsidRDefault="00692D9E" w:rsidP="00692D9E">
            <w:pPr>
              <w:tabs>
                <w:tab w:val="right" w:pos="9180"/>
              </w:tabs>
              <w:ind w:right="-360"/>
            </w:pPr>
          </w:p>
        </w:tc>
        <w:tc>
          <w:tcPr>
            <w:tcW w:w="1440" w:type="dxa"/>
            <w:tcBorders>
              <w:top w:val="single" w:sz="4" w:space="0" w:color="auto"/>
            </w:tcBorders>
          </w:tcPr>
          <w:p w14:paraId="59FA12CE" w14:textId="77777777" w:rsidR="00692D9E" w:rsidRPr="000D3DC5" w:rsidRDefault="00692D9E" w:rsidP="00692D9E">
            <w:pPr>
              <w:tabs>
                <w:tab w:val="right" w:pos="9180"/>
              </w:tabs>
              <w:ind w:right="-18"/>
            </w:pPr>
          </w:p>
        </w:tc>
        <w:tc>
          <w:tcPr>
            <w:tcW w:w="270" w:type="dxa"/>
          </w:tcPr>
          <w:p w14:paraId="69B041D9" w14:textId="77777777" w:rsidR="00692D9E" w:rsidRPr="000D3DC5" w:rsidRDefault="00692D9E" w:rsidP="00692D9E">
            <w:pPr>
              <w:tabs>
                <w:tab w:val="right" w:pos="9180"/>
              </w:tabs>
              <w:ind w:right="-360"/>
            </w:pPr>
          </w:p>
        </w:tc>
        <w:tc>
          <w:tcPr>
            <w:tcW w:w="1530" w:type="dxa"/>
            <w:tcBorders>
              <w:top w:val="single" w:sz="4" w:space="0" w:color="auto"/>
            </w:tcBorders>
          </w:tcPr>
          <w:p w14:paraId="29DB19F2" w14:textId="77777777" w:rsidR="00692D9E" w:rsidRPr="000D3DC5" w:rsidRDefault="00692D9E" w:rsidP="00692D9E">
            <w:pPr>
              <w:tabs>
                <w:tab w:val="right" w:pos="9180"/>
              </w:tabs>
              <w:ind w:right="-18"/>
            </w:pPr>
          </w:p>
        </w:tc>
      </w:tr>
      <w:tr w:rsidR="00692D9E" w:rsidRPr="000D3DC5" w14:paraId="6BE781C5" w14:textId="77777777" w:rsidTr="00692D9E">
        <w:tc>
          <w:tcPr>
            <w:tcW w:w="3438" w:type="dxa"/>
            <w:gridSpan w:val="4"/>
          </w:tcPr>
          <w:p w14:paraId="07053EC1" w14:textId="77777777" w:rsidR="00692D9E" w:rsidRPr="000D3DC5" w:rsidRDefault="00692D9E" w:rsidP="00692D9E">
            <w:pPr>
              <w:tabs>
                <w:tab w:val="right" w:pos="9180"/>
              </w:tabs>
              <w:ind w:right="-360"/>
            </w:pPr>
            <w:r>
              <w:t>Net loss</w:t>
            </w:r>
          </w:p>
        </w:tc>
        <w:tc>
          <w:tcPr>
            <w:tcW w:w="1530" w:type="dxa"/>
            <w:tcBorders>
              <w:bottom w:val="double" w:sz="4" w:space="0" w:color="auto"/>
            </w:tcBorders>
          </w:tcPr>
          <w:p w14:paraId="6F4517E0" w14:textId="2A3FE288" w:rsidR="00692D9E" w:rsidRPr="000D3DC5" w:rsidRDefault="00692D9E" w:rsidP="00692D9E">
            <w:pPr>
              <w:tabs>
                <w:tab w:val="decimal" w:pos="1152"/>
                <w:tab w:val="right" w:pos="9180"/>
              </w:tabs>
              <w:ind w:right="-18"/>
            </w:pPr>
            <w:r w:rsidRPr="000D3DC5">
              <w:t>$</w:t>
            </w:r>
            <w:r w:rsidRPr="000D3DC5">
              <w:tab/>
            </w:r>
            <w:r w:rsidR="003921D9">
              <w:t>(4</w:t>
            </w:r>
            <w:r w:rsidR="00EC5343">
              <w:t>55,204</w:t>
            </w:r>
            <w:r w:rsidR="003921D9">
              <w:t>)</w:t>
            </w:r>
          </w:p>
        </w:tc>
        <w:tc>
          <w:tcPr>
            <w:tcW w:w="270" w:type="dxa"/>
          </w:tcPr>
          <w:p w14:paraId="48B1DB32" w14:textId="77777777" w:rsidR="00692D9E" w:rsidRPr="000D3DC5" w:rsidRDefault="00692D9E" w:rsidP="00692D9E">
            <w:pPr>
              <w:tabs>
                <w:tab w:val="right" w:pos="9180"/>
              </w:tabs>
              <w:ind w:right="-360"/>
            </w:pPr>
          </w:p>
        </w:tc>
        <w:tc>
          <w:tcPr>
            <w:tcW w:w="1440" w:type="dxa"/>
            <w:tcBorders>
              <w:bottom w:val="double" w:sz="4" w:space="0" w:color="auto"/>
            </w:tcBorders>
          </w:tcPr>
          <w:p w14:paraId="6A32D984" w14:textId="6C831901" w:rsidR="00692D9E" w:rsidRPr="000D3DC5" w:rsidRDefault="00692D9E" w:rsidP="00692D9E">
            <w:pPr>
              <w:tabs>
                <w:tab w:val="decimal" w:pos="1062"/>
                <w:tab w:val="right" w:pos="9180"/>
              </w:tabs>
              <w:ind w:right="-46"/>
            </w:pPr>
            <w:r>
              <w:t>$</w:t>
            </w:r>
            <w:r>
              <w:tab/>
              <w:t>(654,148)</w:t>
            </w:r>
          </w:p>
        </w:tc>
        <w:tc>
          <w:tcPr>
            <w:tcW w:w="450" w:type="dxa"/>
          </w:tcPr>
          <w:p w14:paraId="3BCF7A50" w14:textId="77777777" w:rsidR="00692D9E" w:rsidRPr="000D3DC5" w:rsidRDefault="00692D9E" w:rsidP="00692D9E">
            <w:pPr>
              <w:tabs>
                <w:tab w:val="right" w:pos="9180"/>
              </w:tabs>
              <w:ind w:right="-360"/>
            </w:pPr>
          </w:p>
        </w:tc>
        <w:tc>
          <w:tcPr>
            <w:tcW w:w="1440" w:type="dxa"/>
            <w:tcBorders>
              <w:bottom w:val="double" w:sz="4" w:space="0" w:color="auto"/>
            </w:tcBorders>
          </w:tcPr>
          <w:p w14:paraId="21943558" w14:textId="2C2C0E9B" w:rsidR="00692D9E" w:rsidRPr="000D3DC5" w:rsidRDefault="00692D9E" w:rsidP="00692D9E">
            <w:pPr>
              <w:tabs>
                <w:tab w:val="decimal" w:pos="1044"/>
                <w:tab w:val="right" w:pos="9180"/>
              </w:tabs>
              <w:ind w:right="-18"/>
            </w:pPr>
            <w:r w:rsidRPr="000D3DC5">
              <w:t>$</w:t>
            </w:r>
            <w:r w:rsidRPr="000D3DC5">
              <w:tab/>
            </w:r>
            <w:r w:rsidR="003921D9">
              <w:t>(1,0</w:t>
            </w:r>
            <w:r w:rsidR="00EC5343">
              <w:t>50,898</w:t>
            </w:r>
            <w:r w:rsidR="003921D9">
              <w:t>)</w:t>
            </w:r>
          </w:p>
        </w:tc>
        <w:tc>
          <w:tcPr>
            <w:tcW w:w="270" w:type="dxa"/>
          </w:tcPr>
          <w:p w14:paraId="4DCF221F" w14:textId="77777777" w:rsidR="00692D9E" w:rsidRPr="000D3DC5" w:rsidRDefault="00692D9E" w:rsidP="00692D9E">
            <w:pPr>
              <w:tabs>
                <w:tab w:val="right" w:pos="9180"/>
              </w:tabs>
              <w:ind w:right="-360"/>
            </w:pPr>
          </w:p>
        </w:tc>
        <w:tc>
          <w:tcPr>
            <w:tcW w:w="1530" w:type="dxa"/>
            <w:tcBorders>
              <w:bottom w:val="double" w:sz="4" w:space="0" w:color="auto"/>
            </w:tcBorders>
          </w:tcPr>
          <w:p w14:paraId="1E5CDF19" w14:textId="16B7F0C9" w:rsidR="00692D9E" w:rsidRPr="000D3DC5" w:rsidRDefault="00692D9E" w:rsidP="00692D9E">
            <w:pPr>
              <w:tabs>
                <w:tab w:val="decimal" w:pos="1152"/>
                <w:tab w:val="right" w:pos="9180"/>
              </w:tabs>
              <w:ind w:right="-18"/>
            </w:pPr>
            <w:r>
              <w:t>$</w:t>
            </w:r>
            <w:r>
              <w:tab/>
              <w:t>(1,355,602)</w:t>
            </w:r>
          </w:p>
        </w:tc>
      </w:tr>
      <w:tr w:rsidR="00692D9E" w:rsidRPr="000D3DC5" w14:paraId="2DF28D67" w14:textId="77777777" w:rsidTr="00692D9E">
        <w:tc>
          <w:tcPr>
            <w:tcW w:w="378" w:type="dxa"/>
          </w:tcPr>
          <w:p w14:paraId="2B6A4B8B" w14:textId="77777777" w:rsidR="00692D9E" w:rsidRPr="000D3DC5" w:rsidRDefault="00692D9E" w:rsidP="00692D9E">
            <w:pPr>
              <w:ind w:right="-360"/>
            </w:pPr>
          </w:p>
        </w:tc>
        <w:tc>
          <w:tcPr>
            <w:tcW w:w="450" w:type="dxa"/>
          </w:tcPr>
          <w:p w14:paraId="27E0D968" w14:textId="77777777" w:rsidR="00692D9E" w:rsidRPr="000D3DC5" w:rsidRDefault="00692D9E" w:rsidP="00692D9E">
            <w:pPr>
              <w:ind w:right="-360"/>
            </w:pPr>
          </w:p>
        </w:tc>
        <w:tc>
          <w:tcPr>
            <w:tcW w:w="450" w:type="dxa"/>
          </w:tcPr>
          <w:p w14:paraId="78013050" w14:textId="77777777" w:rsidR="00692D9E" w:rsidRPr="000D3DC5" w:rsidRDefault="00692D9E" w:rsidP="00692D9E">
            <w:pPr>
              <w:ind w:right="-360"/>
            </w:pPr>
          </w:p>
        </w:tc>
        <w:tc>
          <w:tcPr>
            <w:tcW w:w="2160" w:type="dxa"/>
          </w:tcPr>
          <w:p w14:paraId="60A75C7B" w14:textId="77777777" w:rsidR="00692D9E" w:rsidRPr="000D3DC5" w:rsidRDefault="00692D9E" w:rsidP="00692D9E">
            <w:pPr>
              <w:tabs>
                <w:tab w:val="right" w:pos="9180"/>
              </w:tabs>
              <w:ind w:right="-360"/>
            </w:pPr>
          </w:p>
        </w:tc>
        <w:tc>
          <w:tcPr>
            <w:tcW w:w="1530" w:type="dxa"/>
          </w:tcPr>
          <w:p w14:paraId="0F93B86C" w14:textId="77777777" w:rsidR="00692D9E" w:rsidRPr="000D3DC5" w:rsidRDefault="00692D9E" w:rsidP="00692D9E">
            <w:pPr>
              <w:tabs>
                <w:tab w:val="right" w:pos="9180"/>
              </w:tabs>
              <w:ind w:right="-18"/>
            </w:pPr>
          </w:p>
        </w:tc>
        <w:tc>
          <w:tcPr>
            <w:tcW w:w="270" w:type="dxa"/>
          </w:tcPr>
          <w:p w14:paraId="3116C3A1" w14:textId="77777777" w:rsidR="00692D9E" w:rsidRPr="000D3DC5" w:rsidRDefault="00692D9E" w:rsidP="00692D9E">
            <w:pPr>
              <w:tabs>
                <w:tab w:val="right" w:pos="9180"/>
              </w:tabs>
              <w:ind w:right="-360"/>
            </w:pPr>
          </w:p>
        </w:tc>
        <w:tc>
          <w:tcPr>
            <w:tcW w:w="1440" w:type="dxa"/>
          </w:tcPr>
          <w:p w14:paraId="515BBA66" w14:textId="77777777" w:rsidR="00692D9E" w:rsidRPr="000D3DC5" w:rsidRDefault="00692D9E" w:rsidP="00692D9E">
            <w:pPr>
              <w:tabs>
                <w:tab w:val="right" w:pos="9180"/>
              </w:tabs>
              <w:ind w:right="-46"/>
            </w:pPr>
          </w:p>
        </w:tc>
        <w:tc>
          <w:tcPr>
            <w:tcW w:w="450" w:type="dxa"/>
          </w:tcPr>
          <w:p w14:paraId="470ABCC3" w14:textId="77777777" w:rsidR="00692D9E" w:rsidRPr="000D3DC5" w:rsidRDefault="00692D9E" w:rsidP="00692D9E">
            <w:pPr>
              <w:tabs>
                <w:tab w:val="right" w:pos="9180"/>
              </w:tabs>
              <w:ind w:right="-360"/>
            </w:pPr>
          </w:p>
        </w:tc>
        <w:tc>
          <w:tcPr>
            <w:tcW w:w="1440" w:type="dxa"/>
          </w:tcPr>
          <w:p w14:paraId="01F8594A" w14:textId="77777777" w:rsidR="00692D9E" w:rsidRPr="000D3DC5" w:rsidRDefault="00692D9E" w:rsidP="00692D9E">
            <w:pPr>
              <w:tabs>
                <w:tab w:val="right" w:pos="9180"/>
              </w:tabs>
              <w:ind w:right="-18"/>
            </w:pPr>
          </w:p>
        </w:tc>
        <w:tc>
          <w:tcPr>
            <w:tcW w:w="270" w:type="dxa"/>
          </w:tcPr>
          <w:p w14:paraId="2F861432" w14:textId="77777777" w:rsidR="00692D9E" w:rsidRPr="000D3DC5" w:rsidRDefault="00692D9E" w:rsidP="00692D9E">
            <w:pPr>
              <w:tabs>
                <w:tab w:val="right" w:pos="9180"/>
              </w:tabs>
              <w:ind w:right="-360"/>
            </w:pPr>
          </w:p>
        </w:tc>
        <w:tc>
          <w:tcPr>
            <w:tcW w:w="1530" w:type="dxa"/>
          </w:tcPr>
          <w:p w14:paraId="45C1915E" w14:textId="77777777" w:rsidR="00692D9E" w:rsidRPr="000D3DC5" w:rsidRDefault="00692D9E" w:rsidP="00692D9E">
            <w:pPr>
              <w:tabs>
                <w:tab w:val="right" w:pos="9180"/>
              </w:tabs>
              <w:ind w:right="-18"/>
            </w:pPr>
          </w:p>
        </w:tc>
      </w:tr>
      <w:tr w:rsidR="00692D9E" w:rsidRPr="000D3DC5" w14:paraId="59D41153" w14:textId="77777777" w:rsidTr="00692D9E">
        <w:tc>
          <w:tcPr>
            <w:tcW w:w="3438" w:type="dxa"/>
            <w:gridSpan w:val="4"/>
          </w:tcPr>
          <w:p w14:paraId="4D27827B" w14:textId="77777777" w:rsidR="00692D9E" w:rsidRPr="000D3DC5" w:rsidRDefault="00692D9E" w:rsidP="00692D9E">
            <w:pPr>
              <w:tabs>
                <w:tab w:val="right" w:pos="9180"/>
              </w:tabs>
              <w:ind w:right="-360"/>
            </w:pPr>
            <w:r w:rsidRPr="000D3DC5">
              <w:t>Basic and diluted:</w:t>
            </w:r>
          </w:p>
        </w:tc>
        <w:tc>
          <w:tcPr>
            <w:tcW w:w="1530" w:type="dxa"/>
          </w:tcPr>
          <w:p w14:paraId="7FC58F42" w14:textId="77777777" w:rsidR="00692D9E" w:rsidRPr="000D3DC5" w:rsidRDefault="00692D9E" w:rsidP="00692D9E">
            <w:pPr>
              <w:tabs>
                <w:tab w:val="decimal" w:pos="792"/>
                <w:tab w:val="right" w:pos="9180"/>
              </w:tabs>
              <w:ind w:right="-18"/>
            </w:pPr>
          </w:p>
        </w:tc>
        <w:tc>
          <w:tcPr>
            <w:tcW w:w="270" w:type="dxa"/>
          </w:tcPr>
          <w:p w14:paraId="5915CA5D" w14:textId="77777777" w:rsidR="00692D9E" w:rsidRPr="000D3DC5" w:rsidRDefault="00692D9E" w:rsidP="00692D9E">
            <w:pPr>
              <w:tabs>
                <w:tab w:val="right" w:pos="9180"/>
              </w:tabs>
              <w:ind w:right="-360"/>
            </w:pPr>
          </w:p>
        </w:tc>
        <w:tc>
          <w:tcPr>
            <w:tcW w:w="1440" w:type="dxa"/>
          </w:tcPr>
          <w:p w14:paraId="34014780" w14:textId="77777777" w:rsidR="00692D9E" w:rsidRPr="00F31ABA" w:rsidRDefault="00692D9E" w:rsidP="00692D9E">
            <w:pPr>
              <w:tabs>
                <w:tab w:val="decimal" w:pos="612"/>
                <w:tab w:val="right" w:pos="9180"/>
              </w:tabs>
              <w:ind w:right="-46"/>
            </w:pPr>
          </w:p>
        </w:tc>
        <w:tc>
          <w:tcPr>
            <w:tcW w:w="450" w:type="dxa"/>
          </w:tcPr>
          <w:p w14:paraId="3020BAB0" w14:textId="77777777" w:rsidR="00692D9E" w:rsidRPr="00F31ABA" w:rsidRDefault="00692D9E" w:rsidP="00692D9E">
            <w:pPr>
              <w:tabs>
                <w:tab w:val="right" w:pos="9180"/>
              </w:tabs>
              <w:ind w:right="-360"/>
            </w:pPr>
          </w:p>
        </w:tc>
        <w:tc>
          <w:tcPr>
            <w:tcW w:w="1440" w:type="dxa"/>
          </w:tcPr>
          <w:p w14:paraId="72A6CCD3" w14:textId="77777777" w:rsidR="00692D9E" w:rsidRPr="00F31ABA" w:rsidRDefault="00692D9E" w:rsidP="00692D9E">
            <w:pPr>
              <w:tabs>
                <w:tab w:val="decimal" w:pos="792"/>
                <w:tab w:val="right" w:pos="9180"/>
              </w:tabs>
              <w:ind w:right="-18"/>
            </w:pPr>
          </w:p>
        </w:tc>
        <w:tc>
          <w:tcPr>
            <w:tcW w:w="270" w:type="dxa"/>
          </w:tcPr>
          <w:p w14:paraId="040CA129" w14:textId="77777777" w:rsidR="00692D9E" w:rsidRPr="00F31ABA" w:rsidRDefault="00692D9E" w:rsidP="00692D9E">
            <w:pPr>
              <w:tabs>
                <w:tab w:val="right" w:pos="9180"/>
              </w:tabs>
              <w:ind w:right="-360"/>
            </w:pPr>
          </w:p>
        </w:tc>
        <w:tc>
          <w:tcPr>
            <w:tcW w:w="1530" w:type="dxa"/>
          </w:tcPr>
          <w:p w14:paraId="738F4196" w14:textId="77777777" w:rsidR="00692D9E" w:rsidRPr="00F31ABA" w:rsidRDefault="00692D9E" w:rsidP="00692D9E">
            <w:pPr>
              <w:tabs>
                <w:tab w:val="decimal" w:pos="702"/>
                <w:tab w:val="right" w:pos="9180"/>
              </w:tabs>
              <w:ind w:right="-18"/>
            </w:pPr>
          </w:p>
        </w:tc>
      </w:tr>
      <w:tr w:rsidR="00692D9E" w:rsidRPr="000D3DC5" w14:paraId="7CAB980D" w14:textId="77777777" w:rsidTr="00692D9E">
        <w:tc>
          <w:tcPr>
            <w:tcW w:w="3438" w:type="dxa"/>
            <w:gridSpan w:val="4"/>
          </w:tcPr>
          <w:p w14:paraId="37A9847B" w14:textId="6674CE73" w:rsidR="00692D9E" w:rsidRPr="00342196" w:rsidRDefault="00692D9E" w:rsidP="00692D9E">
            <w:pPr>
              <w:tabs>
                <w:tab w:val="right" w:pos="9180"/>
              </w:tabs>
              <w:ind w:right="-360"/>
            </w:pPr>
            <w:r>
              <w:t xml:space="preserve">  </w:t>
            </w:r>
            <w:r w:rsidR="001B5554">
              <w:t>Net l</w:t>
            </w:r>
            <w:r w:rsidRPr="00342196">
              <w:t>oss per common share</w:t>
            </w:r>
          </w:p>
        </w:tc>
        <w:tc>
          <w:tcPr>
            <w:tcW w:w="1530" w:type="dxa"/>
          </w:tcPr>
          <w:p w14:paraId="7D4C28AA" w14:textId="0C2A988F" w:rsidR="00692D9E" w:rsidRPr="00342196" w:rsidRDefault="00692D9E" w:rsidP="00692D9E">
            <w:pPr>
              <w:tabs>
                <w:tab w:val="decimal" w:pos="882"/>
                <w:tab w:val="right" w:pos="9180"/>
              </w:tabs>
              <w:ind w:right="-18"/>
            </w:pPr>
            <w:r w:rsidRPr="00342196">
              <w:t>$</w:t>
            </w:r>
            <w:r w:rsidRPr="00342196">
              <w:tab/>
            </w:r>
            <w:r w:rsidR="003921D9">
              <w:t>(0.03)</w:t>
            </w:r>
          </w:p>
        </w:tc>
        <w:tc>
          <w:tcPr>
            <w:tcW w:w="270" w:type="dxa"/>
          </w:tcPr>
          <w:p w14:paraId="6DC0F49F" w14:textId="77777777" w:rsidR="00692D9E" w:rsidRPr="00342196" w:rsidRDefault="00692D9E" w:rsidP="00692D9E">
            <w:pPr>
              <w:tabs>
                <w:tab w:val="right" w:pos="9180"/>
              </w:tabs>
              <w:ind w:right="-360"/>
            </w:pPr>
          </w:p>
        </w:tc>
        <w:tc>
          <w:tcPr>
            <w:tcW w:w="1440" w:type="dxa"/>
          </w:tcPr>
          <w:p w14:paraId="1E756323" w14:textId="482B2B80" w:rsidR="00692D9E" w:rsidRPr="008B4164" w:rsidRDefault="00692D9E" w:rsidP="00692D9E">
            <w:pPr>
              <w:tabs>
                <w:tab w:val="decimal" w:pos="792"/>
                <w:tab w:val="right" w:pos="9180"/>
              </w:tabs>
              <w:ind w:right="-46"/>
            </w:pPr>
            <w:r w:rsidRPr="008B4164">
              <w:t>$</w:t>
            </w:r>
            <w:r w:rsidRPr="008B4164">
              <w:tab/>
            </w:r>
            <w:r w:rsidR="008B4164" w:rsidRPr="008B4164">
              <w:t>(1,994.35)</w:t>
            </w:r>
          </w:p>
        </w:tc>
        <w:tc>
          <w:tcPr>
            <w:tcW w:w="450" w:type="dxa"/>
          </w:tcPr>
          <w:p w14:paraId="1868F46F" w14:textId="77777777" w:rsidR="00692D9E" w:rsidRPr="008B4164" w:rsidRDefault="00692D9E" w:rsidP="00692D9E">
            <w:pPr>
              <w:tabs>
                <w:tab w:val="right" w:pos="9180"/>
              </w:tabs>
              <w:ind w:right="-360"/>
            </w:pPr>
          </w:p>
        </w:tc>
        <w:tc>
          <w:tcPr>
            <w:tcW w:w="1440" w:type="dxa"/>
          </w:tcPr>
          <w:p w14:paraId="0D75FB14" w14:textId="1E8A1782" w:rsidR="00692D9E" w:rsidRPr="008B4164" w:rsidRDefault="00692D9E" w:rsidP="00692D9E">
            <w:pPr>
              <w:tabs>
                <w:tab w:val="decimal" w:pos="792"/>
                <w:tab w:val="right" w:pos="9180"/>
              </w:tabs>
              <w:ind w:right="-18"/>
            </w:pPr>
            <w:r w:rsidRPr="008B4164">
              <w:t>$</w:t>
            </w:r>
            <w:r w:rsidRPr="008B4164">
              <w:tab/>
            </w:r>
            <w:r w:rsidR="003921D9" w:rsidRPr="008B4164">
              <w:t>(0.11)</w:t>
            </w:r>
          </w:p>
        </w:tc>
        <w:tc>
          <w:tcPr>
            <w:tcW w:w="270" w:type="dxa"/>
          </w:tcPr>
          <w:p w14:paraId="022DDCF3" w14:textId="77777777" w:rsidR="00692D9E" w:rsidRPr="008B4164" w:rsidRDefault="00692D9E" w:rsidP="00692D9E">
            <w:pPr>
              <w:tabs>
                <w:tab w:val="right" w:pos="9180"/>
              </w:tabs>
              <w:ind w:right="-360"/>
            </w:pPr>
          </w:p>
        </w:tc>
        <w:tc>
          <w:tcPr>
            <w:tcW w:w="1530" w:type="dxa"/>
          </w:tcPr>
          <w:p w14:paraId="34820FF9" w14:textId="01FDFC74" w:rsidR="00692D9E" w:rsidRPr="008B4164" w:rsidRDefault="00692D9E" w:rsidP="00692D9E">
            <w:pPr>
              <w:tabs>
                <w:tab w:val="decimal" w:pos="882"/>
                <w:tab w:val="right" w:pos="9180"/>
              </w:tabs>
              <w:ind w:right="-18"/>
            </w:pPr>
            <w:r w:rsidRPr="008B4164">
              <w:t>$</w:t>
            </w:r>
            <w:r w:rsidRPr="008B4164">
              <w:tab/>
              <w:t>(</w:t>
            </w:r>
            <w:r w:rsidR="008B4164" w:rsidRPr="008B4164">
              <w:t>4,706.95</w:t>
            </w:r>
            <w:r w:rsidRPr="008B4164">
              <w:t>)</w:t>
            </w:r>
          </w:p>
        </w:tc>
      </w:tr>
      <w:tr w:rsidR="00692D9E" w:rsidRPr="000D3DC5" w14:paraId="4EF09A5D" w14:textId="77777777" w:rsidTr="00692D9E">
        <w:tc>
          <w:tcPr>
            <w:tcW w:w="3438" w:type="dxa"/>
            <w:gridSpan w:val="4"/>
          </w:tcPr>
          <w:p w14:paraId="5DF51E56" w14:textId="2A20F881" w:rsidR="00692D9E" w:rsidRPr="000D3DC5" w:rsidRDefault="00692D9E" w:rsidP="00692D9E">
            <w:pPr>
              <w:tabs>
                <w:tab w:val="right" w:pos="9180"/>
              </w:tabs>
              <w:ind w:right="-360"/>
            </w:pPr>
            <w:r>
              <w:t xml:space="preserve">  Weighted average shares outstanding</w:t>
            </w:r>
          </w:p>
        </w:tc>
        <w:tc>
          <w:tcPr>
            <w:tcW w:w="1530" w:type="dxa"/>
          </w:tcPr>
          <w:p w14:paraId="1F99AD93" w14:textId="45E5AC88" w:rsidR="00692D9E" w:rsidRPr="000D3DC5" w:rsidRDefault="00692D9E" w:rsidP="00692D9E">
            <w:pPr>
              <w:tabs>
                <w:tab w:val="decimal" w:pos="1152"/>
                <w:tab w:val="right" w:pos="9180"/>
              </w:tabs>
              <w:ind w:right="-18"/>
            </w:pPr>
            <w:r>
              <w:tab/>
            </w:r>
            <w:r w:rsidR="003921D9">
              <w:t>13,823,452</w:t>
            </w:r>
          </w:p>
        </w:tc>
        <w:tc>
          <w:tcPr>
            <w:tcW w:w="270" w:type="dxa"/>
          </w:tcPr>
          <w:p w14:paraId="65A49C31" w14:textId="77777777" w:rsidR="00692D9E" w:rsidRPr="000D3DC5" w:rsidRDefault="00692D9E" w:rsidP="00692D9E">
            <w:pPr>
              <w:tabs>
                <w:tab w:val="right" w:pos="9180"/>
              </w:tabs>
              <w:ind w:right="-360"/>
            </w:pPr>
          </w:p>
        </w:tc>
        <w:tc>
          <w:tcPr>
            <w:tcW w:w="1440" w:type="dxa"/>
          </w:tcPr>
          <w:p w14:paraId="7709020D" w14:textId="144C48BB" w:rsidR="00692D9E" w:rsidRPr="008B4164" w:rsidRDefault="00692D9E" w:rsidP="00692D9E">
            <w:pPr>
              <w:tabs>
                <w:tab w:val="decimal" w:pos="1062"/>
                <w:tab w:val="right" w:pos="9180"/>
              </w:tabs>
              <w:ind w:right="-46"/>
            </w:pPr>
            <w:r w:rsidRPr="008B4164">
              <w:tab/>
            </w:r>
            <w:r w:rsidR="008B4164" w:rsidRPr="008B4164">
              <w:t>328</w:t>
            </w:r>
          </w:p>
        </w:tc>
        <w:tc>
          <w:tcPr>
            <w:tcW w:w="450" w:type="dxa"/>
          </w:tcPr>
          <w:p w14:paraId="2FA0AF66" w14:textId="77777777" w:rsidR="00692D9E" w:rsidRPr="008B4164" w:rsidRDefault="00692D9E" w:rsidP="00692D9E">
            <w:pPr>
              <w:tabs>
                <w:tab w:val="right" w:pos="9180"/>
              </w:tabs>
              <w:ind w:right="-360"/>
            </w:pPr>
          </w:p>
        </w:tc>
        <w:tc>
          <w:tcPr>
            <w:tcW w:w="1440" w:type="dxa"/>
          </w:tcPr>
          <w:p w14:paraId="4275AD80" w14:textId="383A0C57" w:rsidR="00692D9E" w:rsidRPr="008B4164" w:rsidRDefault="00692D9E" w:rsidP="00692D9E">
            <w:pPr>
              <w:tabs>
                <w:tab w:val="decimal" w:pos="1062"/>
                <w:tab w:val="right" w:pos="9180"/>
              </w:tabs>
              <w:ind w:right="-18"/>
            </w:pPr>
            <w:r w:rsidRPr="008B4164">
              <w:tab/>
            </w:r>
            <w:r w:rsidR="003921D9" w:rsidRPr="008B4164">
              <w:t>9,255,497</w:t>
            </w:r>
          </w:p>
        </w:tc>
        <w:tc>
          <w:tcPr>
            <w:tcW w:w="270" w:type="dxa"/>
          </w:tcPr>
          <w:p w14:paraId="378DF259" w14:textId="77777777" w:rsidR="00692D9E" w:rsidRPr="008B4164" w:rsidRDefault="00692D9E" w:rsidP="00692D9E">
            <w:pPr>
              <w:tabs>
                <w:tab w:val="right" w:pos="9180"/>
              </w:tabs>
              <w:ind w:right="-360"/>
            </w:pPr>
          </w:p>
        </w:tc>
        <w:tc>
          <w:tcPr>
            <w:tcW w:w="1530" w:type="dxa"/>
          </w:tcPr>
          <w:p w14:paraId="5B971AEB" w14:textId="20D61CEB" w:rsidR="00692D9E" w:rsidRPr="008B4164" w:rsidRDefault="00692D9E" w:rsidP="00692D9E">
            <w:pPr>
              <w:tabs>
                <w:tab w:val="decimal" w:pos="1152"/>
                <w:tab w:val="right" w:pos="9180"/>
              </w:tabs>
              <w:ind w:right="-18"/>
            </w:pPr>
            <w:r w:rsidRPr="008B4164">
              <w:tab/>
            </w:r>
            <w:r w:rsidR="008B4164" w:rsidRPr="008B4164">
              <w:t>288</w:t>
            </w:r>
          </w:p>
        </w:tc>
      </w:tr>
      <w:tr w:rsidR="00692D9E" w:rsidRPr="008F36CA" w14:paraId="6EAE032F" w14:textId="77777777" w:rsidTr="00692D9E">
        <w:tc>
          <w:tcPr>
            <w:tcW w:w="378" w:type="dxa"/>
          </w:tcPr>
          <w:p w14:paraId="7F5EB853" w14:textId="77777777" w:rsidR="00692D9E" w:rsidRPr="008F36CA" w:rsidRDefault="00692D9E" w:rsidP="00692D9E">
            <w:pPr>
              <w:ind w:right="-360"/>
            </w:pPr>
          </w:p>
        </w:tc>
        <w:tc>
          <w:tcPr>
            <w:tcW w:w="450" w:type="dxa"/>
          </w:tcPr>
          <w:p w14:paraId="6FD2407C" w14:textId="77777777" w:rsidR="00692D9E" w:rsidRPr="008F36CA" w:rsidRDefault="00692D9E" w:rsidP="00692D9E">
            <w:pPr>
              <w:ind w:right="-360"/>
            </w:pPr>
          </w:p>
        </w:tc>
        <w:tc>
          <w:tcPr>
            <w:tcW w:w="450" w:type="dxa"/>
          </w:tcPr>
          <w:p w14:paraId="7000CA75" w14:textId="77777777" w:rsidR="00692D9E" w:rsidRPr="008F36CA" w:rsidRDefault="00692D9E" w:rsidP="00692D9E">
            <w:pPr>
              <w:ind w:right="-360"/>
            </w:pPr>
          </w:p>
        </w:tc>
        <w:tc>
          <w:tcPr>
            <w:tcW w:w="2160" w:type="dxa"/>
          </w:tcPr>
          <w:p w14:paraId="6963DC9E" w14:textId="77777777" w:rsidR="00692D9E" w:rsidRPr="008F36CA" w:rsidRDefault="00692D9E" w:rsidP="00692D9E">
            <w:pPr>
              <w:tabs>
                <w:tab w:val="right" w:pos="9180"/>
              </w:tabs>
              <w:ind w:right="-360"/>
            </w:pPr>
          </w:p>
        </w:tc>
        <w:tc>
          <w:tcPr>
            <w:tcW w:w="1530" w:type="dxa"/>
          </w:tcPr>
          <w:p w14:paraId="37138BD1" w14:textId="77777777" w:rsidR="00692D9E" w:rsidRPr="008F36CA" w:rsidRDefault="00692D9E" w:rsidP="00692D9E">
            <w:pPr>
              <w:tabs>
                <w:tab w:val="right" w:pos="9180"/>
              </w:tabs>
              <w:ind w:right="-18"/>
            </w:pPr>
          </w:p>
        </w:tc>
        <w:tc>
          <w:tcPr>
            <w:tcW w:w="270" w:type="dxa"/>
          </w:tcPr>
          <w:p w14:paraId="03E7926B" w14:textId="77777777" w:rsidR="00692D9E" w:rsidRPr="008F36CA" w:rsidRDefault="00692D9E" w:rsidP="00692D9E">
            <w:pPr>
              <w:tabs>
                <w:tab w:val="right" w:pos="9180"/>
              </w:tabs>
              <w:ind w:right="-360"/>
            </w:pPr>
          </w:p>
        </w:tc>
        <w:tc>
          <w:tcPr>
            <w:tcW w:w="1440" w:type="dxa"/>
          </w:tcPr>
          <w:p w14:paraId="65E8BCE7" w14:textId="77777777" w:rsidR="00692D9E" w:rsidRPr="00F31ABA" w:rsidRDefault="00692D9E" w:rsidP="00692D9E">
            <w:pPr>
              <w:tabs>
                <w:tab w:val="right" w:pos="9180"/>
              </w:tabs>
              <w:ind w:right="-46"/>
            </w:pPr>
          </w:p>
        </w:tc>
        <w:tc>
          <w:tcPr>
            <w:tcW w:w="450" w:type="dxa"/>
          </w:tcPr>
          <w:p w14:paraId="2CA3E64D" w14:textId="77777777" w:rsidR="00692D9E" w:rsidRPr="00F31ABA" w:rsidRDefault="00692D9E" w:rsidP="00692D9E">
            <w:pPr>
              <w:tabs>
                <w:tab w:val="right" w:pos="9180"/>
              </w:tabs>
              <w:ind w:right="-360"/>
            </w:pPr>
          </w:p>
        </w:tc>
        <w:tc>
          <w:tcPr>
            <w:tcW w:w="1440" w:type="dxa"/>
          </w:tcPr>
          <w:p w14:paraId="26C6DF88" w14:textId="77777777" w:rsidR="00692D9E" w:rsidRPr="00F31ABA" w:rsidRDefault="00692D9E" w:rsidP="00692D9E">
            <w:pPr>
              <w:tabs>
                <w:tab w:val="right" w:pos="9180"/>
              </w:tabs>
              <w:ind w:right="-18"/>
            </w:pPr>
          </w:p>
        </w:tc>
        <w:tc>
          <w:tcPr>
            <w:tcW w:w="270" w:type="dxa"/>
          </w:tcPr>
          <w:p w14:paraId="367A29CA" w14:textId="77777777" w:rsidR="00692D9E" w:rsidRPr="00F31ABA" w:rsidRDefault="00692D9E" w:rsidP="00692D9E">
            <w:pPr>
              <w:tabs>
                <w:tab w:val="right" w:pos="9180"/>
              </w:tabs>
              <w:ind w:right="-360"/>
            </w:pPr>
          </w:p>
        </w:tc>
        <w:tc>
          <w:tcPr>
            <w:tcW w:w="1530" w:type="dxa"/>
          </w:tcPr>
          <w:p w14:paraId="07A20BDE" w14:textId="77777777" w:rsidR="00692D9E" w:rsidRPr="00F31ABA" w:rsidRDefault="00692D9E" w:rsidP="00692D9E">
            <w:pPr>
              <w:tabs>
                <w:tab w:val="right" w:pos="9180"/>
              </w:tabs>
              <w:ind w:right="-18"/>
            </w:pPr>
          </w:p>
        </w:tc>
      </w:tr>
      <w:tr w:rsidR="00692D9E" w:rsidRPr="000D3DC5" w14:paraId="1AA4EA91" w14:textId="77777777" w:rsidTr="00692D9E">
        <w:tc>
          <w:tcPr>
            <w:tcW w:w="378" w:type="dxa"/>
          </w:tcPr>
          <w:p w14:paraId="24BD237A" w14:textId="77777777" w:rsidR="00692D9E" w:rsidRPr="000D3DC5" w:rsidRDefault="00692D9E" w:rsidP="00692D9E">
            <w:pPr>
              <w:ind w:right="-360"/>
            </w:pPr>
          </w:p>
        </w:tc>
        <w:tc>
          <w:tcPr>
            <w:tcW w:w="450" w:type="dxa"/>
          </w:tcPr>
          <w:p w14:paraId="0706CD79" w14:textId="77777777" w:rsidR="00692D9E" w:rsidRPr="000D3DC5" w:rsidRDefault="00692D9E" w:rsidP="00692D9E">
            <w:pPr>
              <w:ind w:right="-360"/>
            </w:pPr>
          </w:p>
        </w:tc>
        <w:tc>
          <w:tcPr>
            <w:tcW w:w="450" w:type="dxa"/>
          </w:tcPr>
          <w:p w14:paraId="2B055FBE" w14:textId="77777777" w:rsidR="00692D9E" w:rsidRPr="000D3DC5" w:rsidRDefault="00692D9E" w:rsidP="00692D9E">
            <w:pPr>
              <w:ind w:right="-360"/>
            </w:pPr>
          </w:p>
        </w:tc>
        <w:tc>
          <w:tcPr>
            <w:tcW w:w="2160" w:type="dxa"/>
          </w:tcPr>
          <w:p w14:paraId="0836CC20" w14:textId="77777777" w:rsidR="00692D9E" w:rsidRPr="000D3DC5" w:rsidRDefault="00692D9E" w:rsidP="00692D9E">
            <w:pPr>
              <w:tabs>
                <w:tab w:val="right" w:pos="9180"/>
              </w:tabs>
              <w:ind w:right="-360"/>
            </w:pPr>
          </w:p>
        </w:tc>
        <w:tc>
          <w:tcPr>
            <w:tcW w:w="1530" w:type="dxa"/>
          </w:tcPr>
          <w:p w14:paraId="3941A1C5" w14:textId="77777777" w:rsidR="00692D9E" w:rsidRPr="000D3DC5" w:rsidRDefault="00692D9E" w:rsidP="00692D9E">
            <w:pPr>
              <w:tabs>
                <w:tab w:val="right" w:pos="9180"/>
              </w:tabs>
              <w:ind w:right="-18"/>
            </w:pPr>
          </w:p>
        </w:tc>
        <w:tc>
          <w:tcPr>
            <w:tcW w:w="270" w:type="dxa"/>
          </w:tcPr>
          <w:p w14:paraId="25E7DA9C" w14:textId="77777777" w:rsidR="00692D9E" w:rsidRPr="000D3DC5" w:rsidRDefault="00692D9E" w:rsidP="00692D9E">
            <w:pPr>
              <w:tabs>
                <w:tab w:val="right" w:pos="9180"/>
              </w:tabs>
              <w:ind w:right="-360"/>
            </w:pPr>
          </w:p>
        </w:tc>
        <w:tc>
          <w:tcPr>
            <w:tcW w:w="1440" w:type="dxa"/>
          </w:tcPr>
          <w:p w14:paraId="4ABA568E" w14:textId="77777777" w:rsidR="00692D9E" w:rsidRPr="000D3DC5" w:rsidRDefault="00692D9E" w:rsidP="00692D9E">
            <w:pPr>
              <w:tabs>
                <w:tab w:val="right" w:pos="9180"/>
              </w:tabs>
              <w:ind w:right="-46"/>
            </w:pPr>
          </w:p>
        </w:tc>
        <w:tc>
          <w:tcPr>
            <w:tcW w:w="450" w:type="dxa"/>
          </w:tcPr>
          <w:p w14:paraId="69977527" w14:textId="77777777" w:rsidR="00692D9E" w:rsidRPr="000D3DC5" w:rsidRDefault="00692D9E" w:rsidP="00692D9E">
            <w:pPr>
              <w:tabs>
                <w:tab w:val="right" w:pos="9180"/>
              </w:tabs>
              <w:ind w:right="-360"/>
            </w:pPr>
          </w:p>
        </w:tc>
        <w:tc>
          <w:tcPr>
            <w:tcW w:w="1440" w:type="dxa"/>
          </w:tcPr>
          <w:p w14:paraId="727644C3" w14:textId="77777777" w:rsidR="00692D9E" w:rsidRPr="000D3DC5" w:rsidRDefault="00692D9E" w:rsidP="00692D9E">
            <w:pPr>
              <w:tabs>
                <w:tab w:val="right" w:pos="9180"/>
              </w:tabs>
              <w:ind w:right="-18"/>
            </w:pPr>
          </w:p>
        </w:tc>
        <w:tc>
          <w:tcPr>
            <w:tcW w:w="270" w:type="dxa"/>
          </w:tcPr>
          <w:p w14:paraId="3E38E6C0" w14:textId="77777777" w:rsidR="00692D9E" w:rsidRPr="000D3DC5" w:rsidRDefault="00692D9E" w:rsidP="00692D9E">
            <w:pPr>
              <w:tabs>
                <w:tab w:val="right" w:pos="9180"/>
              </w:tabs>
              <w:ind w:right="-360"/>
            </w:pPr>
          </w:p>
        </w:tc>
        <w:tc>
          <w:tcPr>
            <w:tcW w:w="1530" w:type="dxa"/>
          </w:tcPr>
          <w:p w14:paraId="27F91B9C" w14:textId="77777777" w:rsidR="00692D9E" w:rsidRPr="000D3DC5" w:rsidRDefault="00692D9E" w:rsidP="00692D9E">
            <w:pPr>
              <w:tabs>
                <w:tab w:val="right" w:pos="9180"/>
              </w:tabs>
              <w:ind w:right="-18"/>
            </w:pPr>
          </w:p>
        </w:tc>
      </w:tr>
    </w:tbl>
    <w:p w14:paraId="43C78DAC" w14:textId="77777777" w:rsidR="00692D9E" w:rsidRPr="00BA4187" w:rsidRDefault="00692D9E" w:rsidP="00692D9E">
      <w:pPr>
        <w:tabs>
          <w:tab w:val="left" w:pos="1080"/>
          <w:tab w:val="left" w:pos="1260"/>
          <w:tab w:val="left" w:pos="2340"/>
          <w:tab w:val="right" w:pos="9180"/>
        </w:tabs>
        <w:ind w:right="-360"/>
        <w:jc w:val="center"/>
      </w:pPr>
    </w:p>
    <w:p w14:paraId="5992E6E2" w14:textId="77777777" w:rsidR="00692D9E" w:rsidRPr="00BA4187" w:rsidRDefault="00692D9E" w:rsidP="00692D9E">
      <w:pPr>
        <w:tabs>
          <w:tab w:val="left" w:pos="1080"/>
          <w:tab w:val="left" w:pos="1260"/>
          <w:tab w:val="left" w:pos="2340"/>
          <w:tab w:val="right" w:pos="9180"/>
        </w:tabs>
        <w:ind w:right="-360"/>
        <w:jc w:val="center"/>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77777777" w:rsidR="00487CAB" w:rsidRPr="00487CAB" w:rsidRDefault="00487CAB" w:rsidP="00487CAB">
      <w:pPr>
        <w:jc w:val="center"/>
        <w:rPr>
          <w:b/>
        </w:rPr>
      </w:pPr>
      <w:r w:rsidRPr="00487CAB">
        <w:rPr>
          <w:b/>
        </w:rPr>
        <w:t>CONDENSED CONSOLIDATED STATEMENTS OF CHANGES IN STOCKHOLDERS’ EQUITY (DEFICIENCY)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8" w:name="_Hlk36562604"/>
    </w:p>
    <w:bookmarkEnd w:id="8"/>
    <w:p w14:paraId="14A426FD" w14:textId="787861CB" w:rsidR="008D0F89" w:rsidRDefault="008D0F89" w:rsidP="004F479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8D0F89" w:rsidRPr="00487CAB" w14:paraId="5DDEFFC3" w14:textId="77777777" w:rsidTr="00D338E8">
        <w:tc>
          <w:tcPr>
            <w:tcW w:w="4410" w:type="dxa"/>
          </w:tcPr>
          <w:p w14:paraId="4D4A95E3" w14:textId="77777777" w:rsidR="008D0F89" w:rsidRPr="00487CAB" w:rsidRDefault="008D0F89" w:rsidP="00D338E8">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16514E2" w14:textId="52256ECF" w:rsidR="008D0F89" w:rsidRPr="00487CAB" w:rsidRDefault="008D0F89" w:rsidP="00D338E8">
            <w:pPr>
              <w:tabs>
                <w:tab w:val="right" w:pos="9180"/>
              </w:tabs>
              <w:jc w:val="center"/>
              <w:rPr>
                <w:snapToGrid w:val="0"/>
                <w:color w:val="000000"/>
                <w:sz w:val="19"/>
                <w:szCs w:val="19"/>
              </w:rPr>
            </w:pPr>
            <w:r>
              <w:rPr>
                <w:snapToGrid w:val="0"/>
                <w:color w:val="000000"/>
                <w:sz w:val="19"/>
                <w:szCs w:val="19"/>
              </w:rPr>
              <w:t>Three</w:t>
            </w:r>
            <w:r w:rsidR="00C861EA">
              <w:rPr>
                <w:snapToGrid w:val="0"/>
                <w:color w:val="000000"/>
                <w:sz w:val="19"/>
                <w:szCs w:val="19"/>
              </w:rPr>
              <w:t>-</w:t>
            </w:r>
            <w:r>
              <w:rPr>
                <w:snapToGrid w:val="0"/>
                <w:color w:val="000000"/>
                <w:sz w:val="19"/>
                <w:szCs w:val="19"/>
              </w:rPr>
              <w:t>Month</w:t>
            </w:r>
            <w:r w:rsidR="00C861EA">
              <w:rPr>
                <w:snapToGrid w:val="0"/>
                <w:color w:val="000000"/>
                <w:sz w:val="19"/>
                <w:szCs w:val="19"/>
              </w:rPr>
              <w:t xml:space="preserve"> and Six-Month Periods</w:t>
            </w:r>
            <w:r>
              <w:rPr>
                <w:snapToGrid w:val="0"/>
                <w:color w:val="000000"/>
                <w:sz w:val="19"/>
                <w:szCs w:val="19"/>
              </w:rPr>
              <w:t xml:space="preserve"> Ended </w:t>
            </w:r>
            <w:r w:rsidR="00C861EA">
              <w:rPr>
                <w:snapToGrid w:val="0"/>
                <w:color w:val="000000"/>
                <w:sz w:val="19"/>
                <w:szCs w:val="19"/>
              </w:rPr>
              <w:t>June</w:t>
            </w:r>
            <w:r>
              <w:rPr>
                <w:snapToGrid w:val="0"/>
                <w:color w:val="000000"/>
                <w:sz w:val="19"/>
                <w:szCs w:val="19"/>
              </w:rPr>
              <w:t xml:space="preserve"> 3</w:t>
            </w:r>
            <w:r w:rsidR="00C861EA">
              <w:rPr>
                <w:snapToGrid w:val="0"/>
                <w:color w:val="000000"/>
                <w:sz w:val="19"/>
                <w:szCs w:val="19"/>
              </w:rPr>
              <w:t>0</w:t>
            </w:r>
            <w:r>
              <w:rPr>
                <w:snapToGrid w:val="0"/>
                <w:color w:val="000000"/>
                <w:sz w:val="19"/>
                <w:szCs w:val="19"/>
              </w:rPr>
              <w:t>, 2020</w:t>
            </w:r>
          </w:p>
        </w:tc>
      </w:tr>
      <w:tr w:rsidR="008D0F89" w:rsidRPr="00487CAB" w14:paraId="75B3C14A" w14:textId="77777777" w:rsidTr="008D0F89">
        <w:tc>
          <w:tcPr>
            <w:tcW w:w="4410" w:type="dxa"/>
          </w:tcPr>
          <w:p w14:paraId="08A86678" w14:textId="77777777" w:rsidR="008D0F89" w:rsidRPr="00487CAB" w:rsidRDefault="008D0F89" w:rsidP="00D338E8">
            <w:pPr>
              <w:tabs>
                <w:tab w:val="left" w:pos="144"/>
                <w:tab w:val="left" w:pos="324"/>
                <w:tab w:val="right" w:pos="9180"/>
              </w:tabs>
              <w:rPr>
                <w:snapToGrid w:val="0"/>
                <w:color w:val="000000"/>
                <w:sz w:val="19"/>
                <w:szCs w:val="19"/>
              </w:rPr>
            </w:pPr>
          </w:p>
        </w:tc>
        <w:tc>
          <w:tcPr>
            <w:tcW w:w="2340" w:type="dxa"/>
            <w:gridSpan w:val="2"/>
          </w:tcPr>
          <w:p w14:paraId="3F6FCDB4" w14:textId="77777777" w:rsidR="008D0F89" w:rsidRPr="00487CAB" w:rsidRDefault="008D0F89" w:rsidP="00D338E8">
            <w:pPr>
              <w:tabs>
                <w:tab w:val="left" w:pos="2340"/>
                <w:tab w:val="right" w:pos="9180"/>
              </w:tabs>
              <w:jc w:val="center"/>
              <w:rPr>
                <w:snapToGrid w:val="0"/>
                <w:color w:val="000000"/>
                <w:sz w:val="19"/>
                <w:szCs w:val="19"/>
              </w:rPr>
            </w:pPr>
          </w:p>
        </w:tc>
        <w:tc>
          <w:tcPr>
            <w:tcW w:w="1080" w:type="dxa"/>
          </w:tcPr>
          <w:p w14:paraId="3F335080" w14:textId="77777777" w:rsidR="008D0F89" w:rsidRPr="00487CAB" w:rsidRDefault="008D0F89" w:rsidP="00D338E8">
            <w:pPr>
              <w:tabs>
                <w:tab w:val="decimal" w:pos="1148"/>
                <w:tab w:val="right" w:pos="9180"/>
              </w:tabs>
              <w:jc w:val="center"/>
              <w:rPr>
                <w:snapToGrid w:val="0"/>
                <w:color w:val="000000"/>
                <w:sz w:val="19"/>
                <w:szCs w:val="19"/>
              </w:rPr>
            </w:pPr>
          </w:p>
        </w:tc>
        <w:tc>
          <w:tcPr>
            <w:tcW w:w="1170" w:type="dxa"/>
          </w:tcPr>
          <w:p w14:paraId="2EA41DBC" w14:textId="77777777" w:rsidR="008D0F89" w:rsidRPr="00487CAB" w:rsidRDefault="008D0F89" w:rsidP="00D338E8">
            <w:pPr>
              <w:tabs>
                <w:tab w:val="decimal" w:pos="1148"/>
                <w:tab w:val="right" w:pos="9180"/>
              </w:tabs>
              <w:jc w:val="center"/>
              <w:rPr>
                <w:snapToGrid w:val="0"/>
                <w:color w:val="000000"/>
                <w:sz w:val="19"/>
                <w:szCs w:val="19"/>
              </w:rPr>
            </w:pPr>
          </w:p>
        </w:tc>
        <w:tc>
          <w:tcPr>
            <w:tcW w:w="1440" w:type="dxa"/>
          </w:tcPr>
          <w:p w14:paraId="691589F7" w14:textId="77777777" w:rsidR="008D0F89" w:rsidRPr="00487CAB" w:rsidRDefault="008D0F89" w:rsidP="00D338E8">
            <w:pPr>
              <w:tabs>
                <w:tab w:val="decimal" w:pos="1148"/>
                <w:tab w:val="right" w:pos="9180"/>
              </w:tabs>
              <w:jc w:val="center"/>
              <w:rPr>
                <w:snapToGrid w:val="0"/>
                <w:color w:val="000000"/>
                <w:sz w:val="19"/>
                <w:szCs w:val="19"/>
              </w:rPr>
            </w:pPr>
          </w:p>
        </w:tc>
        <w:tc>
          <w:tcPr>
            <w:tcW w:w="1350" w:type="dxa"/>
          </w:tcPr>
          <w:p w14:paraId="7A5AAC4F" w14:textId="77777777" w:rsidR="008D0F89" w:rsidRPr="00487CAB" w:rsidRDefault="008D0F89" w:rsidP="00D338E8">
            <w:pPr>
              <w:tabs>
                <w:tab w:val="right" w:pos="9180"/>
              </w:tabs>
              <w:jc w:val="center"/>
              <w:rPr>
                <w:snapToGrid w:val="0"/>
                <w:color w:val="000000"/>
                <w:sz w:val="19"/>
                <w:szCs w:val="19"/>
              </w:rPr>
            </w:pPr>
          </w:p>
        </w:tc>
        <w:tc>
          <w:tcPr>
            <w:tcW w:w="1800" w:type="dxa"/>
          </w:tcPr>
          <w:p w14:paraId="03913BE7" w14:textId="2B1901CB" w:rsidR="008D0F89" w:rsidRPr="00487CAB" w:rsidRDefault="008D0F89" w:rsidP="00D338E8">
            <w:pPr>
              <w:tabs>
                <w:tab w:val="right" w:pos="9180"/>
              </w:tabs>
              <w:jc w:val="center"/>
              <w:rPr>
                <w:snapToGrid w:val="0"/>
                <w:color w:val="000000"/>
                <w:sz w:val="19"/>
                <w:szCs w:val="19"/>
              </w:rPr>
            </w:pPr>
            <w:r>
              <w:rPr>
                <w:snapToGrid w:val="0"/>
                <w:color w:val="000000"/>
                <w:sz w:val="19"/>
                <w:szCs w:val="19"/>
              </w:rPr>
              <w:t>Total</w:t>
            </w:r>
          </w:p>
        </w:tc>
      </w:tr>
      <w:tr w:rsidR="008D0F89" w:rsidRPr="00487CAB" w14:paraId="6B92FB16" w14:textId="77777777" w:rsidTr="008D0F89">
        <w:tc>
          <w:tcPr>
            <w:tcW w:w="4410" w:type="dxa"/>
          </w:tcPr>
          <w:p w14:paraId="440A3B39" w14:textId="2A1159DA" w:rsidR="008D0F89" w:rsidRPr="00487CAB" w:rsidRDefault="008D0F89" w:rsidP="00D338E8">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78EC8C1" w14:textId="0DCB1C3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w:t>
            </w:r>
            <w:r w:rsidR="00ED7E6A">
              <w:rPr>
                <w:snapToGrid w:val="0"/>
                <w:color w:val="000000"/>
                <w:sz w:val="19"/>
                <w:szCs w:val="19"/>
              </w:rPr>
              <w:t>10</w:t>
            </w:r>
            <w:r>
              <w:rPr>
                <w:snapToGrid w:val="0"/>
                <w:color w:val="000000"/>
                <w:sz w:val="19"/>
                <w:szCs w:val="19"/>
              </w:rPr>
              <w:t>)</w:t>
            </w:r>
          </w:p>
        </w:tc>
        <w:tc>
          <w:tcPr>
            <w:tcW w:w="2250" w:type="dxa"/>
            <w:gridSpan w:val="2"/>
            <w:tcBorders>
              <w:bottom w:val="single" w:sz="4" w:space="0" w:color="auto"/>
            </w:tcBorders>
          </w:tcPr>
          <w:p w14:paraId="1BB88628"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10FF718B"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2B3A023"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301332DC"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D0F89" w:rsidRPr="00487CAB" w14:paraId="06B798F0" w14:textId="77777777" w:rsidTr="008D0F89">
        <w:tc>
          <w:tcPr>
            <w:tcW w:w="4410" w:type="dxa"/>
          </w:tcPr>
          <w:p w14:paraId="00B75AAE" w14:textId="77777777" w:rsidR="008D0F89" w:rsidRPr="00487CAB" w:rsidRDefault="008D0F89" w:rsidP="00D338E8">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51E770B"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CC98C75"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6B1E30F7"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00496EC4"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C2B1292"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B743BD0"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5277B71"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8D0F89" w:rsidRPr="00487CAB" w14:paraId="4F5996EF" w14:textId="77777777" w:rsidTr="008D0F89">
        <w:tc>
          <w:tcPr>
            <w:tcW w:w="4410" w:type="dxa"/>
          </w:tcPr>
          <w:p w14:paraId="4C72DE78"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201</w:t>
            </w:r>
            <w:r>
              <w:rPr>
                <w:snapToGrid w:val="0"/>
                <w:color w:val="000000"/>
                <w:sz w:val="19"/>
                <w:szCs w:val="19"/>
              </w:rPr>
              <w:t>9</w:t>
            </w:r>
          </w:p>
        </w:tc>
        <w:tc>
          <w:tcPr>
            <w:tcW w:w="1170" w:type="dxa"/>
          </w:tcPr>
          <w:p w14:paraId="6DCD6CAB"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170" w:type="dxa"/>
          </w:tcPr>
          <w:p w14:paraId="7CCEDC78"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1,932,433</w:t>
            </w:r>
          </w:p>
        </w:tc>
        <w:tc>
          <w:tcPr>
            <w:tcW w:w="1080" w:type="dxa"/>
          </w:tcPr>
          <w:p w14:paraId="26ECEDA4"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299,835</w:t>
            </w:r>
          </w:p>
        </w:tc>
        <w:tc>
          <w:tcPr>
            <w:tcW w:w="1170" w:type="dxa"/>
          </w:tcPr>
          <w:p w14:paraId="6A6584C4"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300</w:t>
            </w:r>
          </w:p>
        </w:tc>
        <w:tc>
          <w:tcPr>
            <w:tcW w:w="1440" w:type="dxa"/>
          </w:tcPr>
          <w:p w14:paraId="53A34B63"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39,340,224</w:t>
            </w:r>
          </w:p>
        </w:tc>
        <w:tc>
          <w:tcPr>
            <w:tcW w:w="1350" w:type="dxa"/>
          </w:tcPr>
          <w:p w14:paraId="3A8FFC4B"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tcPr>
          <w:p w14:paraId="40CE8F3B"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8D0F89" w:rsidRPr="00487CAB" w14:paraId="111AEE3C" w14:textId="77777777" w:rsidTr="008D0F89">
        <w:tc>
          <w:tcPr>
            <w:tcW w:w="4410" w:type="dxa"/>
          </w:tcPr>
          <w:p w14:paraId="3B003A1F" w14:textId="77777777" w:rsidR="008D0F89" w:rsidRPr="00487CAB" w:rsidRDefault="008D0F89" w:rsidP="00D338E8">
            <w:pPr>
              <w:tabs>
                <w:tab w:val="left" w:pos="144"/>
                <w:tab w:val="left" w:pos="324"/>
                <w:tab w:val="right" w:pos="9180"/>
              </w:tabs>
              <w:rPr>
                <w:snapToGrid w:val="0"/>
                <w:color w:val="000000"/>
                <w:sz w:val="19"/>
                <w:szCs w:val="19"/>
              </w:rPr>
            </w:pPr>
            <w:bookmarkStart w:id="9" w:name="_Hlk45112542"/>
            <w:r w:rsidRPr="00487CAB">
              <w:rPr>
                <w:snapToGrid w:val="0"/>
                <w:color w:val="000000"/>
                <w:sz w:val="19"/>
                <w:szCs w:val="19"/>
              </w:rPr>
              <w:tab/>
              <w:t>Sale of convertible preferred stock</w:t>
            </w:r>
            <w:r>
              <w:rPr>
                <w:snapToGrid w:val="0"/>
                <w:color w:val="000000"/>
                <w:sz w:val="19"/>
                <w:szCs w:val="19"/>
              </w:rPr>
              <w:t xml:space="preserve"> for cash</w:t>
            </w:r>
          </w:p>
        </w:tc>
        <w:tc>
          <w:tcPr>
            <w:tcW w:w="1170" w:type="dxa"/>
          </w:tcPr>
          <w:p w14:paraId="12C2954D"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170" w:type="dxa"/>
          </w:tcPr>
          <w:p w14:paraId="4DE65CE0"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1080" w:type="dxa"/>
          </w:tcPr>
          <w:p w14:paraId="1985D62B"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3E75EC7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CFD5796"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2E1604D6"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DC45C70"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8D0F89" w:rsidRPr="00487CAB" w14:paraId="4DF453B1" w14:textId="77777777" w:rsidTr="008D0F89">
        <w:tc>
          <w:tcPr>
            <w:tcW w:w="4410" w:type="dxa"/>
          </w:tcPr>
          <w:p w14:paraId="51323A74" w14:textId="77777777" w:rsidR="008D0F89" w:rsidRPr="008D0F89"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r>
            <w:r w:rsidRPr="008D0F89">
              <w:rPr>
                <w:snapToGrid w:val="0"/>
                <w:color w:val="000000"/>
                <w:sz w:val="19"/>
                <w:szCs w:val="19"/>
              </w:rPr>
              <w:t>Conversion of preferred stock to common stock</w:t>
            </w:r>
          </w:p>
        </w:tc>
        <w:tc>
          <w:tcPr>
            <w:tcW w:w="1170" w:type="dxa"/>
          </w:tcPr>
          <w:p w14:paraId="0EF958FF" w14:textId="77777777" w:rsidR="008D0F89" w:rsidRPr="008D0F89" w:rsidRDefault="008D0F89" w:rsidP="00D338E8">
            <w:pPr>
              <w:tabs>
                <w:tab w:val="decimal" w:pos="917"/>
                <w:tab w:val="left" w:pos="2340"/>
                <w:tab w:val="right" w:pos="9180"/>
              </w:tabs>
              <w:rPr>
                <w:snapToGrid w:val="0"/>
                <w:color w:val="000000"/>
                <w:sz w:val="19"/>
                <w:szCs w:val="19"/>
              </w:rPr>
            </w:pPr>
            <w:r w:rsidRPr="008D0F89">
              <w:rPr>
                <w:snapToGrid w:val="0"/>
                <w:color w:val="000000"/>
                <w:sz w:val="19"/>
                <w:szCs w:val="19"/>
              </w:rPr>
              <w:tab/>
              <w:t>(2,386)</w:t>
            </w:r>
          </w:p>
        </w:tc>
        <w:tc>
          <w:tcPr>
            <w:tcW w:w="1170" w:type="dxa"/>
          </w:tcPr>
          <w:p w14:paraId="0ED7F4D9" w14:textId="77777777" w:rsidR="008D0F89" w:rsidRPr="008D0F89" w:rsidRDefault="008D0F89" w:rsidP="00D338E8">
            <w:pPr>
              <w:tabs>
                <w:tab w:val="decimal" w:pos="798"/>
                <w:tab w:val="left" w:pos="2340"/>
                <w:tab w:val="right" w:pos="9180"/>
              </w:tabs>
              <w:rPr>
                <w:snapToGrid w:val="0"/>
                <w:color w:val="000000"/>
                <w:sz w:val="19"/>
                <w:szCs w:val="19"/>
              </w:rPr>
            </w:pPr>
            <w:r w:rsidRPr="008D0F89">
              <w:rPr>
                <w:snapToGrid w:val="0"/>
                <w:color w:val="000000"/>
                <w:sz w:val="19"/>
                <w:szCs w:val="19"/>
              </w:rPr>
              <w:tab/>
              <w:t>(1,856,338)</w:t>
            </w:r>
          </w:p>
        </w:tc>
        <w:tc>
          <w:tcPr>
            <w:tcW w:w="1080" w:type="dxa"/>
          </w:tcPr>
          <w:p w14:paraId="0DD8E3E1" w14:textId="7777777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13,481,349</w:t>
            </w:r>
          </w:p>
        </w:tc>
        <w:tc>
          <w:tcPr>
            <w:tcW w:w="1170" w:type="dxa"/>
          </w:tcPr>
          <w:p w14:paraId="54AAE74F" w14:textId="7777777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13,481</w:t>
            </w:r>
          </w:p>
        </w:tc>
        <w:tc>
          <w:tcPr>
            <w:tcW w:w="1440" w:type="dxa"/>
          </w:tcPr>
          <w:p w14:paraId="3B78A0DC" w14:textId="7777777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1,842,857</w:t>
            </w:r>
          </w:p>
        </w:tc>
        <w:tc>
          <w:tcPr>
            <w:tcW w:w="1350" w:type="dxa"/>
          </w:tcPr>
          <w:p w14:paraId="1DBFE5A0" w14:textId="77777777" w:rsidR="008D0F89" w:rsidRPr="008D0F89" w:rsidRDefault="008D0F89" w:rsidP="00D338E8">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65D8EC76" w14:textId="77777777" w:rsidR="008D0F89" w:rsidRPr="00487CAB" w:rsidRDefault="008D0F89" w:rsidP="00D338E8">
            <w:pPr>
              <w:tabs>
                <w:tab w:val="decimal" w:pos="1418"/>
                <w:tab w:val="right" w:pos="9180"/>
              </w:tabs>
              <w:rPr>
                <w:snapToGrid w:val="0"/>
                <w:color w:val="000000"/>
                <w:sz w:val="19"/>
                <w:szCs w:val="19"/>
              </w:rPr>
            </w:pPr>
            <w:r w:rsidRPr="008D0F89">
              <w:rPr>
                <w:snapToGrid w:val="0"/>
                <w:color w:val="000000"/>
                <w:sz w:val="19"/>
                <w:szCs w:val="19"/>
              </w:rPr>
              <w:tab/>
              <w:t>-</w:t>
            </w:r>
          </w:p>
        </w:tc>
      </w:tr>
      <w:tr w:rsidR="008D0F89" w:rsidRPr="00487CAB" w14:paraId="136E1824" w14:textId="77777777" w:rsidTr="008D0F89">
        <w:tc>
          <w:tcPr>
            <w:tcW w:w="4410" w:type="dxa"/>
          </w:tcPr>
          <w:p w14:paraId="313B8B90" w14:textId="79C135FD" w:rsidR="008D0F89" w:rsidRPr="00487CAB" w:rsidRDefault="008D0F89" w:rsidP="00D338E8">
            <w:pPr>
              <w:tabs>
                <w:tab w:val="left" w:pos="144"/>
                <w:tab w:val="left" w:pos="324"/>
                <w:tab w:val="right" w:pos="9180"/>
              </w:tabs>
              <w:rPr>
                <w:snapToGrid w:val="0"/>
                <w:color w:val="000000"/>
                <w:sz w:val="19"/>
                <w:szCs w:val="19"/>
              </w:rPr>
            </w:pPr>
            <w:r>
              <w:rPr>
                <w:snapToGrid w:val="0"/>
                <w:color w:val="000000"/>
                <w:sz w:val="19"/>
                <w:szCs w:val="19"/>
              </w:rPr>
              <w:tab/>
            </w:r>
            <w:r w:rsidR="008B4164">
              <w:rPr>
                <w:snapToGrid w:val="0"/>
                <w:color w:val="000000"/>
                <w:sz w:val="19"/>
                <w:szCs w:val="19"/>
              </w:rPr>
              <w:t>C</w:t>
            </w:r>
            <w:r>
              <w:rPr>
                <w:snapToGrid w:val="0"/>
                <w:color w:val="000000"/>
                <w:sz w:val="19"/>
                <w:szCs w:val="19"/>
              </w:rPr>
              <w:t>ommon stock</w:t>
            </w:r>
            <w:r w:rsidR="008B4164">
              <w:rPr>
                <w:snapToGrid w:val="0"/>
                <w:color w:val="000000"/>
                <w:sz w:val="19"/>
                <w:szCs w:val="19"/>
              </w:rPr>
              <w:t xml:space="preserve"> issued</w:t>
            </w:r>
            <w:r>
              <w:rPr>
                <w:snapToGrid w:val="0"/>
                <w:color w:val="000000"/>
                <w:sz w:val="19"/>
                <w:szCs w:val="19"/>
              </w:rPr>
              <w:t xml:space="preserve"> for services</w:t>
            </w:r>
          </w:p>
        </w:tc>
        <w:tc>
          <w:tcPr>
            <w:tcW w:w="1170" w:type="dxa"/>
          </w:tcPr>
          <w:p w14:paraId="5465DA1E" w14:textId="77777777" w:rsidR="008D0F89" w:rsidRPr="00487CAB" w:rsidRDefault="008D0F89" w:rsidP="00D338E8">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26DA3B0" w14:textId="77777777" w:rsidR="008D0F89" w:rsidRPr="00487CAB" w:rsidRDefault="008D0F89" w:rsidP="00D338E8">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32D7B45"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10,417</w:t>
            </w:r>
          </w:p>
        </w:tc>
        <w:tc>
          <w:tcPr>
            <w:tcW w:w="1170" w:type="dxa"/>
          </w:tcPr>
          <w:p w14:paraId="22DEC1DC"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11</w:t>
            </w:r>
          </w:p>
        </w:tc>
        <w:tc>
          <w:tcPr>
            <w:tcW w:w="1440" w:type="dxa"/>
          </w:tcPr>
          <w:p w14:paraId="56BFECD0"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5,989</w:t>
            </w:r>
          </w:p>
        </w:tc>
        <w:tc>
          <w:tcPr>
            <w:tcW w:w="1350" w:type="dxa"/>
          </w:tcPr>
          <w:p w14:paraId="1BECC3E0" w14:textId="77777777" w:rsidR="008D0F89" w:rsidRPr="00487CAB" w:rsidRDefault="008D0F89" w:rsidP="00D338E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52339D2" w14:textId="77777777" w:rsidR="008D0F89" w:rsidRPr="00487CAB" w:rsidRDefault="008D0F89" w:rsidP="00D338E8">
            <w:pPr>
              <w:tabs>
                <w:tab w:val="decimal" w:pos="1418"/>
                <w:tab w:val="right" w:pos="9180"/>
              </w:tabs>
              <w:rPr>
                <w:snapToGrid w:val="0"/>
                <w:color w:val="000000"/>
                <w:sz w:val="19"/>
                <w:szCs w:val="19"/>
              </w:rPr>
            </w:pPr>
            <w:r>
              <w:rPr>
                <w:snapToGrid w:val="0"/>
                <w:color w:val="000000"/>
                <w:sz w:val="19"/>
                <w:szCs w:val="19"/>
              </w:rPr>
              <w:tab/>
              <w:t>6,000</w:t>
            </w:r>
          </w:p>
        </w:tc>
      </w:tr>
      <w:tr w:rsidR="008B4164" w:rsidRPr="00487CAB" w14:paraId="2AA184AF" w14:textId="77777777" w:rsidTr="008D0F89">
        <w:tc>
          <w:tcPr>
            <w:tcW w:w="4410" w:type="dxa"/>
          </w:tcPr>
          <w:p w14:paraId="2FB01041" w14:textId="58AAB253" w:rsidR="008B4164" w:rsidRDefault="008B4164" w:rsidP="00D338E8">
            <w:pPr>
              <w:tabs>
                <w:tab w:val="left" w:pos="144"/>
                <w:tab w:val="left" w:pos="324"/>
                <w:tab w:val="right" w:pos="9180"/>
              </w:tabs>
              <w:rPr>
                <w:snapToGrid w:val="0"/>
                <w:color w:val="000000"/>
                <w:sz w:val="19"/>
                <w:szCs w:val="19"/>
              </w:rPr>
            </w:pPr>
            <w:r>
              <w:rPr>
                <w:snapToGrid w:val="0"/>
                <w:color w:val="000000"/>
                <w:sz w:val="19"/>
                <w:szCs w:val="19"/>
              </w:rPr>
              <w:tab/>
              <w:t>Share rounding after reverse split</w:t>
            </w:r>
          </w:p>
        </w:tc>
        <w:tc>
          <w:tcPr>
            <w:tcW w:w="1170" w:type="dxa"/>
          </w:tcPr>
          <w:p w14:paraId="106C5147" w14:textId="26DBBB1C" w:rsidR="008B4164" w:rsidRDefault="008B4164" w:rsidP="00D338E8">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676C518" w14:textId="35B2F542" w:rsidR="008B4164" w:rsidRDefault="008B4164" w:rsidP="00D338E8">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573FB51" w14:textId="39A7BE92" w:rsidR="008B4164" w:rsidRDefault="008B4164"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(3)</w:t>
            </w:r>
          </w:p>
        </w:tc>
        <w:tc>
          <w:tcPr>
            <w:tcW w:w="1170" w:type="dxa"/>
          </w:tcPr>
          <w:p w14:paraId="3D7D24D9" w14:textId="75C86FD7" w:rsidR="008B4164" w:rsidRDefault="008B4164"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4FB6B2F" w14:textId="76C36076" w:rsidR="008B4164" w:rsidRDefault="008B4164"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350" w:type="dxa"/>
          </w:tcPr>
          <w:p w14:paraId="3C4B8F17" w14:textId="1CD500FC" w:rsidR="008B4164" w:rsidRDefault="008B4164" w:rsidP="00D338E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39BD34DB" w14:textId="623AE575" w:rsidR="008B4164" w:rsidRDefault="008B4164" w:rsidP="00D338E8">
            <w:pPr>
              <w:tabs>
                <w:tab w:val="decimal" w:pos="1418"/>
                <w:tab w:val="right" w:pos="9180"/>
              </w:tabs>
              <w:rPr>
                <w:snapToGrid w:val="0"/>
                <w:color w:val="000000"/>
                <w:sz w:val="19"/>
                <w:szCs w:val="19"/>
              </w:rPr>
            </w:pPr>
            <w:r>
              <w:rPr>
                <w:snapToGrid w:val="0"/>
                <w:color w:val="000000"/>
                <w:sz w:val="19"/>
                <w:szCs w:val="19"/>
              </w:rPr>
              <w:tab/>
              <w:t>-</w:t>
            </w:r>
          </w:p>
        </w:tc>
      </w:tr>
      <w:tr w:rsidR="008D0F89" w:rsidRPr="00487CAB" w14:paraId="347745C8" w14:textId="77777777" w:rsidTr="00C861EA">
        <w:tc>
          <w:tcPr>
            <w:tcW w:w="4410" w:type="dxa"/>
          </w:tcPr>
          <w:p w14:paraId="01A0D14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20</w:t>
            </w:r>
          </w:p>
        </w:tc>
        <w:tc>
          <w:tcPr>
            <w:tcW w:w="1170" w:type="dxa"/>
            <w:tcBorders>
              <w:bottom w:val="single" w:sz="4" w:space="0" w:color="auto"/>
            </w:tcBorders>
          </w:tcPr>
          <w:p w14:paraId="118A67F8"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5C34547"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F456BE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5495A78"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206BBF"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8D25EC9"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c>
          <w:tcPr>
            <w:tcW w:w="1800" w:type="dxa"/>
            <w:tcBorders>
              <w:bottom w:val="single" w:sz="4" w:space="0" w:color="auto"/>
            </w:tcBorders>
          </w:tcPr>
          <w:p w14:paraId="098AFF78"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r>
      <w:tr w:rsidR="008D0F89" w:rsidRPr="00487CAB" w14:paraId="4933F0DE" w14:textId="77777777" w:rsidTr="00C861EA">
        <w:tc>
          <w:tcPr>
            <w:tcW w:w="4410" w:type="dxa"/>
          </w:tcPr>
          <w:p w14:paraId="5EBCE36B"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20</w:t>
            </w:r>
          </w:p>
        </w:tc>
        <w:tc>
          <w:tcPr>
            <w:tcW w:w="1170" w:type="dxa"/>
            <w:tcBorders>
              <w:top w:val="single" w:sz="4" w:space="0" w:color="auto"/>
            </w:tcBorders>
          </w:tcPr>
          <w:p w14:paraId="0F6D70F1"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170" w:type="dxa"/>
            <w:tcBorders>
              <w:top w:val="single" w:sz="4" w:space="0" w:color="auto"/>
            </w:tcBorders>
          </w:tcPr>
          <w:p w14:paraId="749284B2" w14:textId="3003A6B6"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376,095</w:t>
            </w:r>
          </w:p>
        </w:tc>
        <w:tc>
          <w:tcPr>
            <w:tcW w:w="1080" w:type="dxa"/>
            <w:tcBorders>
              <w:top w:val="single" w:sz="4" w:space="0" w:color="auto"/>
            </w:tcBorders>
          </w:tcPr>
          <w:p w14:paraId="33F994E1" w14:textId="2DF964C0"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13,791,</w:t>
            </w:r>
            <w:r w:rsidR="008B4164">
              <w:rPr>
                <w:snapToGrid w:val="0"/>
                <w:color w:val="000000"/>
                <w:sz w:val="19"/>
                <w:szCs w:val="19"/>
              </w:rPr>
              <w:t>598</w:t>
            </w:r>
          </w:p>
        </w:tc>
        <w:tc>
          <w:tcPr>
            <w:tcW w:w="1170" w:type="dxa"/>
            <w:tcBorders>
              <w:top w:val="single" w:sz="4" w:space="0" w:color="auto"/>
            </w:tcBorders>
          </w:tcPr>
          <w:p w14:paraId="08D14B17" w14:textId="171F54A2"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13,792</w:t>
            </w:r>
          </w:p>
        </w:tc>
        <w:tc>
          <w:tcPr>
            <w:tcW w:w="1440" w:type="dxa"/>
            <w:tcBorders>
              <w:top w:val="single" w:sz="4" w:space="0" w:color="auto"/>
            </w:tcBorders>
          </w:tcPr>
          <w:p w14:paraId="603A728B" w14:textId="27FE8D64"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41,189,070</w:t>
            </w:r>
          </w:p>
        </w:tc>
        <w:tc>
          <w:tcPr>
            <w:tcW w:w="1350" w:type="dxa"/>
            <w:tcBorders>
              <w:top w:val="single" w:sz="4" w:space="0" w:color="auto"/>
            </w:tcBorders>
          </w:tcPr>
          <w:p w14:paraId="3D491962" w14:textId="6B82F431"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(43,443,207)</w:t>
            </w:r>
          </w:p>
        </w:tc>
        <w:tc>
          <w:tcPr>
            <w:tcW w:w="1800" w:type="dxa"/>
            <w:tcBorders>
              <w:top w:val="single" w:sz="4" w:space="0" w:color="auto"/>
            </w:tcBorders>
          </w:tcPr>
          <w:p w14:paraId="385FAB1B" w14:textId="19DEE4DA"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(1,864,250)</w:t>
            </w:r>
          </w:p>
        </w:tc>
      </w:tr>
      <w:bookmarkEnd w:id="9"/>
      <w:tr w:rsidR="00C861EA" w:rsidRPr="00487CAB" w14:paraId="47234623" w14:textId="77777777" w:rsidTr="00C861EA">
        <w:tc>
          <w:tcPr>
            <w:tcW w:w="4410" w:type="dxa"/>
          </w:tcPr>
          <w:p w14:paraId="682DD484" w14:textId="19575BEE" w:rsidR="00C861EA" w:rsidRPr="00487CAB" w:rsidRDefault="00C861EA" w:rsidP="00B02073">
            <w:pPr>
              <w:tabs>
                <w:tab w:val="left" w:pos="144"/>
                <w:tab w:val="left" w:pos="324"/>
                <w:tab w:val="right" w:pos="9180"/>
              </w:tabs>
              <w:rPr>
                <w:snapToGrid w:val="0"/>
                <w:color w:val="000000"/>
                <w:sz w:val="19"/>
                <w:szCs w:val="19"/>
              </w:rPr>
            </w:pPr>
            <w:r>
              <w:rPr>
                <w:snapToGrid w:val="0"/>
                <w:color w:val="000000"/>
                <w:sz w:val="19"/>
                <w:szCs w:val="19"/>
              </w:rPr>
              <w:tab/>
            </w:r>
            <w:r w:rsidR="008B4164">
              <w:rPr>
                <w:snapToGrid w:val="0"/>
                <w:color w:val="000000"/>
                <w:sz w:val="19"/>
                <w:szCs w:val="19"/>
              </w:rPr>
              <w:t>C</w:t>
            </w:r>
            <w:r>
              <w:rPr>
                <w:snapToGrid w:val="0"/>
                <w:color w:val="000000"/>
                <w:sz w:val="19"/>
                <w:szCs w:val="19"/>
              </w:rPr>
              <w:t>ommon stock</w:t>
            </w:r>
            <w:r w:rsidR="008B4164">
              <w:rPr>
                <w:snapToGrid w:val="0"/>
                <w:color w:val="000000"/>
                <w:sz w:val="19"/>
                <w:szCs w:val="19"/>
              </w:rPr>
              <w:t xml:space="preserve"> issued</w:t>
            </w:r>
            <w:r>
              <w:rPr>
                <w:snapToGrid w:val="0"/>
                <w:color w:val="000000"/>
                <w:sz w:val="19"/>
                <w:szCs w:val="19"/>
              </w:rPr>
              <w:t xml:space="preserve"> for services</w:t>
            </w:r>
          </w:p>
        </w:tc>
        <w:tc>
          <w:tcPr>
            <w:tcW w:w="1170" w:type="dxa"/>
          </w:tcPr>
          <w:p w14:paraId="413EC902" w14:textId="77777777" w:rsidR="00C861EA" w:rsidRPr="00487CAB" w:rsidRDefault="00C861EA"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0B231A3" w14:textId="77777777" w:rsidR="00C861EA" w:rsidRPr="00487CAB" w:rsidRDefault="00C861EA" w:rsidP="00B0207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F2700DF" w14:textId="4CA8EE35"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A2288D">
              <w:rPr>
                <w:snapToGrid w:val="0"/>
                <w:color w:val="000000"/>
                <w:sz w:val="19"/>
                <w:szCs w:val="19"/>
              </w:rPr>
              <w:t>42,477</w:t>
            </w:r>
          </w:p>
        </w:tc>
        <w:tc>
          <w:tcPr>
            <w:tcW w:w="1170" w:type="dxa"/>
          </w:tcPr>
          <w:p w14:paraId="46594FDD" w14:textId="34FB60C5"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A2288D">
              <w:rPr>
                <w:snapToGrid w:val="0"/>
                <w:color w:val="000000"/>
                <w:sz w:val="19"/>
                <w:szCs w:val="19"/>
              </w:rPr>
              <w:t>42</w:t>
            </w:r>
          </w:p>
        </w:tc>
        <w:tc>
          <w:tcPr>
            <w:tcW w:w="1440" w:type="dxa"/>
          </w:tcPr>
          <w:p w14:paraId="6B59BE01" w14:textId="3C2FDBE8"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A2288D">
              <w:rPr>
                <w:snapToGrid w:val="0"/>
                <w:color w:val="000000"/>
                <w:sz w:val="19"/>
                <w:szCs w:val="19"/>
              </w:rPr>
              <w:t>11,958</w:t>
            </w:r>
          </w:p>
        </w:tc>
        <w:tc>
          <w:tcPr>
            <w:tcW w:w="1350" w:type="dxa"/>
          </w:tcPr>
          <w:p w14:paraId="6CDB1BB4" w14:textId="77777777" w:rsidR="00C861EA" w:rsidRPr="00487CAB" w:rsidRDefault="00C861EA"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CC2C599" w14:textId="51FCA6B6" w:rsidR="00C861EA" w:rsidRPr="00487CAB" w:rsidRDefault="00C861EA" w:rsidP="00B02073">
            <w:pPr>
              <w:tabs>
                <w:tab w:val="decimal" w:pos="1418"/>
                <w:tab w:val="right" w:pos="9180"/>
              </w:tabs>
              <w:rPr>
                <w:snapToGrid w:val="0"/>
                <w:color w:val="000000"/>
                <w:sz w:val="19"/>
                <w:szCs w:val="19"/>
              </w:rPr>
            </w:pPr>
            <w:r>
              <w:rPr>
                <w:snapToGrid w:val="0"/>
                <w:color w:val="000000"/>
                <w:sz w:val="19"/>
                <w:szCs w:val="19"/>
              </w:rPr>
              <w:tab/>
            </w:r>
            <w:r w:rsidR="00A2288D">
              <w:rPr>
                <w:snapToGrid w:val="0"/>
                <w:color w:val="000000"/>
                <w:sz w:val="19"/>
                <w:szCs w:val="19"/>
              </w:rPr>
              <w:t>12,000</w:t>
            </w:r>
          </w:p>
        </w:tc>
      </w:tr>
      <w:tr w:rsidR="00A2288D" w:rsidRPr="00487CAB" w14:paraId="33E05BDB" w14:textId="77777777" w:rsidTr="00C861EA">
        <w:tc>
          <w:tcPr>
            <w:tcW w:w="4410" w:type="dxa"/>
          </w:tcPr>
          <w:p w14:paraId="13F8CF5A" w14:textId="4184D2C7" w:rsidR="00A2288D" w:rsidRDefault="00A2288D" w:rsidP="00B02073">
            <w:pPr>
              <w:tabs>
                <w:tab w:val="left" w:pos="144"/>
                <w:tab w:val="left" w:pos="324"/>
                <w:tab w:val="right" w:pos="9180"/>
              </w:tabs>
              <w:rPr>
                <w:snapToGrid w:val="0"/>
                <w:color w:val="000000"/>
                <w:sz w:val="19"/>
                <w:szCs w:val="19"/>
              </w:rPr>
            </w:pPr>
            <w:r>
              <w:rPr>
                <w:snapToGrid w:val="0"/>
                <w:color w:val="000000"/>
                <w:sz w:val="19"/>
                <w:szCs w:val="19"/>
              </w:rPr>
              <w:tab/>
            </w:r>
            <w:r w:rsidR="008B4164" w:rsidRPr="008B4164">
              <w:rPr>
                <w:snapToGrid w:val="0"/>
                <w:color w:val="000000"/>
                <w:sz w:val="19"/>
                <w:szCs w:val="19"/>
              </w:rPr>
              <w:t>W</w:t>
            </w:r>
            <w:r w:rsidRPr="008B4164">
              <w:rPr>
                <w:snapToGrid w:val="0"/>
                <w:color w:val="000000"/>
                <w:sz w:val="19"/>
                <w:szCs w:val="19"/>
              </w:rPr>
              <w:t>arrants</w:t>
            </w:r>
            <w:r w:rsidR="008B4164">
              <w:rPr>
                <w:snapToGrid w:val="0"/>
                <w:color w:val="000000"/>
                <w:sz w:val="19"/>
                <w:szCs w:val="19"/>
              </w:rPr>
              <w:t xml:space="preserve"> issued in bridge financing</w:t>
            </w:r>
          </w:p>
        </w:tc>
        <w:tc>
          <w:tcPr>
            <w:tcW w:w="1170" w:type="dxa"/>
          </w:tcPr>
          <w:p w14:paraId="4B376F4F" w14:textId="1479B8E8" w:rsidR="00A2288D" w:rsidRDefault="00A2288D" w:rsidP="00B02073">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8B60BB5" w14:textId="40A96992" w:rsidR="00A2288D" w:rsidRDefault="00A2288D" w:rsidP="00B02073">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AEBE8B5" w14:textId="4B443FAE"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74B4C4E" w14:textId="3B70B4C8"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EBB438D" w14:textId="25E5BDFD" w:rsidR="00A2288D" w:rsidRDefault="00A2288D"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ab/>
              <w:t>4</w:t>
            </w:r>
            <w:r w:rsidR="00EC5343">
              <w:rPr>
                <w:snapToGrid w:val="0"/>
                <w:color w:val="000000"/>
                <w:sz w:val="19"/>
                <w:szCs w:val="19"/>
              </w:rPr>
              <w:t>57,83</w:t>
            </w:r>
            <w:r w:rsidR="00F46637">
              <w:rPr>
                <w:snapToGrid w:val="0"/>
                <w:color w:val="000000"/>
                <w:sz w:val="19"/>
                <w:szCs w:val="19"/>
              </w:rPr>
              <w:t>3</w:t>
            </w:r>
          </w:p>
        </w:tc>
        <w:tc>
          <w:tcPr>
            <w:tcW w:w="1350" w:type="dxa"/>
          </w:tcPr>
          <w:p w14:paraId="111B2B67" w14:textId="3003417B" w:rsidR="00A2288D" w:rsidRDefault="00A2288D" w:rsidP="00B02073">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A5CC437" w14:textId="65182333" w:rsidR="00A2288D" w:rsidRDefault="00A2288D" w:rsidP="00B02073">
            <w:pPr>
              <w:tabs>
                <w:tab w:val="decimal" w:pos="1418"/>
                <w:tab w:val="right" w:pos="9180"/>
              </w:tabs>
              <w:rPr>
                <w:snapToGrid w:val="0"/>
                <w:color w:val="000000"/>
                <w:sz w:val="19"/>
                <w:szCs w:val="19"/>
              </w:rPr>
            </w:pPr>
            <w:r>
              <w:rPr>
                <w:snapToGrid w:val="0"/>
                <w:color w:val="000000"/>
                <w:sz w:val="19"/>
                <w:szCs w:val="19"/>
              </w:rPr>
              <w:tab/>
              <w:t>4</w:t>
            </w:r>
            <w:r w:rsidR="00EC5343">
              <w:rPr>
                <w:snapToGrid w:val="0"/>
                <w:color w:val="000000"/>
                <w:sz w:val="19"/>
                <w:szCs w:val="19"/>
              </w:rPr>
              <w:t>57,83</w:t>
            </w:r>
            <w:r w:rsidR="00F46637">
              <w:rPr>
                <w:snapToGrid w:val="0"/>
                <w:color w:val="000000"/>
                <w:sz w:val="19"/>
                <w:szCs w:val="19"/>
              </w:rPr>
              <w:t>3</w:t>
            </w:r>
          </w:p>
        </w:tc>
      </w:tr>
      <w:tr w:rsidR="00C861EA" w:rsidRPr="00487CAB" w14:paraId="699E5DD0" w14:textId="77777777" w:rsidTr="00B02073">
        <w:tc>
          <w:tcPr>
            <w:tcW w:w="4410" w:type="dxa"/>
          </w:tcPr>
          <w:p w14:paraId="2F469877" w14:textId="2FD25720" w:rsidR="00C861EA" w:rsidRPr="00487CAB" w:rsidRDefault="00C861EA" w:rsidP="00B02073">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sidR="001B5554">
              <w:rPr>
                <w:snapToGrid w:val="0"/>
                <w:color w:val="000000"/>
                <w:sz w:val="19"/>
                <w:szCs w:val="19"/>
              </w:rPr>
              <w:t>June</w:t>
            </w:r>
            <w:r w:rsidR="001B5554" w:rsidRPr="00487CAB">
              <w:rPr>
                <w:snapToGrid w:val="0"/>
                <w:color w:val="000000"/>
                <w:sz w:val="19"/>
                <w:szCs w:val="19"/>
              </w:rPr>
              <w:t xml:space="preserve"> </w:t>
            </w:r>
            <w:r w:rsidRPr="00487CAB">
              <w:rPr>
                <w:snapToGrid w:val="0"/>
                <w:color w:val="000000"/>
                <w:sz w:val="19"/>
                <w:szCs w:val="19"/>
              </w:rPr>
              <w:t>3</w:t>
            </w:r>
            <w:r w:rsidR="001B5554">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170" w:type="dxa"/>
            <w:tcBorders>
              <w:bottom w:val="single" w:sz="4" w:space="0" w:color="auto"/>
            </w:tcBorders>
          </w:tcPr>
          <w:p w14:paraId="4253C859" w14:textId="77777777" w:rsidR="00C861EA" w:rsidRPr="00487CAB" w:rsidRDefault="00C861EA" w:rsidP="00B02073">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339E43D" w14:textId="77777777" w:rsidR="00C861EA" w:rsidRPr="00487CAB" w:rsidRDefault="00C861EA" w:rsidP="00B02073">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7EF5ACD5"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1F45BD2"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06734542"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F34B0C6" w14:textId="1300CA3B" w:rsidR="00C861EA" w:rsidRPr="00487CAB" w:rsidRDefault="00C861EA" w:rsidP="00B02073">
            <w:pPr>
              <w:tabs>
                <w:tab w:val="decimal" w:pos="1150"/>
                <w:tab w:val="left" w:pos="2340"/>
                <w:tab w:val="right" w:pos="9180"/>
              </w:tabs>
              <w:rPr>
                <w:snapToGrid w:val="0"/>
                <w:color w:val="000000"/>
                <w:sz w:val="19"/>
                <w:szCs w:val="19"/>
              </w:rPr>
            </w:pPr>
            <w:r w:rsidRPr="00487CAB">
              <w:rPr>
                <w:snapToGrid w:val="0"/>
                <w:color w:val="000000"/>
                <w:sz w:val="19"/>
                <w:szCs w:val="19"/>
              </w:rPr>
              <w:tab/>
            </w:r>
            <w:r w:rsidR="00A2288D">
              <w:rPr>
                <w:snapToGrid w:val="0"/>
                <w:color w:val="000000"/>
                <w:sz w:val="19"/>
                <w:szCs w:val="19"/>
              </w:rPr>
              <w:t>(4</w:t>
            </w:r>
            <w:r w:rsidR="00EC5343">
              <w:rPr>
                <w:snapToGrid w:val="0"/>
                <w:color w:val="000000"/>
                <w:sz w:val="19"/>
                <w:szCs w:val="19"/>
              </w:rPr>
              <w:t>55,204</w:t>
            </w:r>
            <w:r w:rsidR="00A2288D">
              <w:rPr>
                <w:snapToGrid w:val="0"/>
                <w:color w:val="000000"/>
                <w:sz w:val="19"/>
                <w:szCs w:val="19"/>
              </w:rPr>
              <w:t>)</w:t>
            </w:r>
          </w:p>
        </w:tc>
        <w:tc>
          <w:tcPr>
            <w:tcW w:w="1800" w:type="dxa"/>
            <w:tcBorders>
              <w:bottom w:val="single" w:sz="4" w:space="0" w:color="auto"/>
            </w:tcBorders>
          </w:tcPr>
          <w:p w14:paraId="736E4D74" w14:textId="28BF62BB" w:rsidR="00C861EA" w:rsidRPr="00487CAB" w:rsidRDefault="00C861EA" w:rsidP="00B02073">
            <w:pPr>
              <w:tabs>
                <w:tab w:val="decimal" w:pos="1418"/>
                <w:tab w:val="right" w:pos="9180"/>
              </w:tabs>
              <w:rPr>
                <w:snapToGrid w:val="0"/>
                <w:color w:val="000000"/>
                <w:sz w:val="19"/>
                <w:szCs w:val="19"/>
              </w:rPr>
            </w:pPr>
            <w:r w:rsidRPr="00487CAB">
              <w:rPr>
                <w:snapToGrid w:val="0"/>
                <w:color w:val="000000"/>
                <w:sz w:val="19"/>
                <w:szCs w:val="19"/>
              </w:rPr>
              <w:tab/>
            </w:r>
            <w:r w:rsidR="00A2288D">
              <w:rPr>
                <w:snapToGrid w:val="0"/>
                <w:color w:val="000000"/>
                <w:sz w:val="19"/>
                <w:szCs w:val="19"/>
              </w:rPr>
              <w:t>(</w:t>
            </w:r>
            <w:r w:rsidR="00EC5343">
              <w:rPr>
                <w:snapToGrid w:val="0"/>
                <w:color w:val="000000"/>
                <w:sz w:val="19"/>
                <w:szCs w:val="19"/>
              </w:rPr>
              <w:t>455,204</w:t>
            </w:r>
            <w:r w:rsidR="00A2288D">
              <w:rPr>
                <w:snapToGrid w:val="0"/>
                <w:color w:val="000000"/>
                <w:sz w:val="19"/>
                <w:szCs w:val="19"/>
              </w:rPr>
              <w:t>)</w:t>
            </w:r>
          </w:p>
        </w:tc>
      </w:tr>
      <w:tr w:rsidR="00C861EA" w:rsidRPr="00487CAB" w14:paraId="7035B961" w14:textId="77777777" w:rsidTr="00B02073">
        <w:tc>
          <w:tcPr>
            <w:tcW w:w="4410" w:type="dxa"/>
          </w:tcPr>
          <w:p w14:paraId="7B81EC5F" w14:textId="1546FE1A" w:rsidR="00C861EA" w:rsidRPr="00487CAB" w:rsidRDefault="00C861EA" w:rsidP="00B02073">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20</w:t>
            </w:r>
          </w:p>
        </w:tc>
        <w:tc>
          <w:tcPr>
            <w:tcW w:w="1170" w:type="dxa"/>
            <w:tcBorders>
              <w:top w:val="single" w:sz="4" w:space="0" w:color="auto"/>
              <w:bottom w:val="double" w:sz="4" w:space="0" w:color="auto"/>
            </w:tcBorders>
          </w:tcPr>
          <w:p w14:paraId="4255E35C" w14:textId="77777777" w:rsidR="00C861EA" w:rsidRPr="00487CAB" w:rsidRDefault="00C861EA" w:rsidP="00B02073">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170" w:type="dxa"/>
            <w:tcBorders>
              <w:top w:val="single" w:sz="4" w:space="0" w:color="auto"/>
              <w:bottom w:val="double" w:sz="4" w:space="0" w:color="auto"/>
            </w:tcBorders>
          </w:tcPr>
          <w:p w14:paraId="74001B28" w14:textId="77777777" w:rsidR="00C861EA" w:rsidRPr="00487CAB" w:rsidRDefault="00C861EA" w:rsidP="00B02073">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376,095</w:t>
            </w:r>
          </w:p>
        </w:tc>
        <w:tc>
          <w:tcPr>
            <w:tcW w:w="1080" w:type="dxa"/>
            <w:tcBorders>
              <w:top w:val="single" w:sz="4" w:space="0" w:color="auto"/>
              <w:bottom w:val="double" w:sz="4" w:space="0" w:color="auto"/>
            </w:tcBorders>
          </w:tcPr>
          <w:p w14:paraId="431ECC76" w14:textId="4B9E6DA5" w:rsidR="00C861EA" w:rsidRPr="00487CAB" w:rsidRDefault="00C861EA" w:rsidP="00B02073">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A2288D" w:rsidRPr="008B4164">
              <w:rPr>
                <w:snapToGrid w:val="0"/>
                <w:color w:val="000000"/>
                <w:sz w:val="19"/>
                <w:szCs w:val="19"/>
              </w:rPr>
              <w:t>13,834,075</w:t>
            </w:r>
          </w:p>
        </w:tc>
        <w:tc>
          <w:tcPr>
            <w:tcW w:w="1170" w:type="dxa"/>
            <w:tcBorders>
              <w:top w:val="single" w:sz="4" w:space="0" w:color="auto"/>
              <w:bottom w:val="double" w:sz="4" w:space="0" w:color="auto"/>
            </w:tcBorders>
          </w:tcPr>
          <w:p w14:paraId="0F969952" w14:textId="53DC9D81"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A2288D">
              <w:rPr>
                <w:snapToGrid w:val="0"/>
                <w:color w:val="000000"/>
                <w:sz w:val="19"/>
                <w:szCs w:val="19"/>
              </w:rPr>
              <w:t>13,834</w:t>
            </w:r>
          </w:p>
        </w:tc>
        <w:tc>
          <w:tcPr>
            <w:tcW w:w="1440" w:type="dxa"/>
            <w:tcBorders>
              <w:top w:val="single" w:sz="4" w:space="0" w:color="auto"/>
              <w:bottom w:val="double" w:sz="4" w:space="0" w:color="auto"/>
            </w:tcBorders>
          </w:tcPr>
          <w:p w14:paraId="1F849916" w14:textId="0789C9CA" w:rsidR="00C861EA" w:rsidRPr="00487CAB" w:rsidRDefault="00C861EA" w:rsidP="00B02073">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A2288D">
              <w:rPr>
                <w:snapToGrid w:val="0"/>
                <w:color w:val="000000"/>
                <w:sz w:val="19"/>
                <w:szCs w:val="19"/>
              </w:rPr>
              <w:t>41,</w:t>
            </w:r>
            <w:r w:rsidR="00EC5343">
              <w:rPr>
                <w:snapToGrid w:val="0"/>
                <w:color w:val="000000"/>
                <w:sz w:val="19"/>
                <w:szCs w:val="19"/>
              </w:rPr>
              <w:t>658,861</w:t>
            </w:r>
          </w:p>
        </w:tc>
        <w:tc>
          <w:tcPr>
            <w:tcW w:w="1350" w:type="dxa"/>
            <w:tcBorders>
              <w:top w:val="single" w:sz="4" w:space="0" w:color="auto"/>
              <w:bottom w:val="double" w:sz="4" w:space="0" w:color="auto"/>
            </w:tcBorders>
          </w:tcPr>
          <w:p w14:paraId="3CF1A09B" w14:textId="523B682A" w:rsidR="00C861EA" w:rsidRPr="00487CAB" w:rsidRDefault="00C861EA" w:rsidP="00B02073">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A2288D">
              <w:rPr>
                <w:snapToGrid w:val="0"/>
                <w:color w:val="000000"/>
                <w:sz w:val="19"/>
                <w:szCs w:val="19"/>
              </w:rPr>
              <w:t>(43,</w:t>
            </w:r>
            <w:r w:rsidR="00EC5343">
              <w:rPr>
                <w:snapToGrid w:val="0"/>
                <w:color w:val="000000"/>
                <w:sz w:val="19"/>
                <w:szCs w:val="19"/>
              </w:rPr>
              <w:t>898,411</w:t>
            </w:r>
            <w:r w:rsidR="00A2288D">
              <w:rPr>
                <w:snapToGrid w:val="0"/>
                <w:color w:val="000000"/>
                <w:sz w:val="19"/>
                <w:szCs w:val="19"/>
              </w:rPr>
              <w:t>)</w:t>
            </w:r>
          </w:p>
        </w:tc>
        <w:tc>
          <w:tcPr>
            <w:tcW w:w="1800" w:type="dxa"/>
            <w:tcBorders>
              <w:top w:val="single" w:sz="4" w:space="0" w:color="auto"/>
              <w:bottom w:val="double" w:sz="4" w:space="0" w:color="auto"/>
            </w:tcBorders>
          </w:tcPr>
          <w:p w14:paraId="1CAB3C51" w14:textId="27A5CC15" w:rsidR="00C861EA" w:rsidRPr="00487CAB" w:rsidRDefault="00C861EA" w:rsidP="00B02073">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A2288D">
              <w:rPr>
                <w:snapToGrid w:val="0"/>
                <w:color w:val="000000"/>
                <w:sz w:val="19"/>
                <w:szCs w:val="19"/>
              </w:rPr>
              <w:t>(1,</w:t>
            </w:r>
            <w:r w:rsidR="00EC5343">
              <w:rPr>
                <w:snapToGrid w:val="0"/>
                <w:color w:val="000000"/>
                <w:sz w:val="19"/>
                <w:szCs w:val="19"/>
              </w:rPr>
              <w:t>849,621</w:t>
            </w:r>
            <w:r w:rsidR="00A2288D">
              <w:rPr>
                <w:snapToGrid w:val="0"/>
                <w:color w:val="000000"/>
                <w:sz w:val="19"/>
                <w:szCs w:val="19"/>
              </w:rPr>
              <w:t>)</w:t>
            </w:r>
          </w:p>
        </w:tc>
      </w:tr>
    </w:tbl>
    <w:p w14:paraId="3CC87C4C" w14:textId="00C4A906" w:rsidR="008D0F89" w:rsidRDefault="008D0F89" w:rsidP="004F479E">
      <w:pPr>
        <w:tabs>
          <w:tab w:val="decimal" w:pos="1152"/>
          <w:tab w:val="left" w:pos="2340"/>
          <w:tab w:val="right" w:pos="9180"/>
        </w:tabs>
        <w:rPr>
          <w:snapToGrid w:val="0"/>
          <w:color w:val="000000"/>
          <w:sz w:val="19"/>
          <w:szCs w:val="19"/>
        </w:rPr>
      </w:pPr>
    </w:p>
    <w:p w14:paraId="23263D24" w14:textId="77777777" w:rsidR="00C861EA" w:rsidRDefault="00C861EA" w:rsidP="004F479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260"/>
        <w:gridCol w:w="1080"/>
        <w:gridCol w:w="1080"/>
        <w:gridCol w:w="1170"/>
        <w:gridCol w:w="1440"/>
        <w:gridCol w:w="1350"/>
        <w:gridCol w:w="1800"/>
      </w:tblGrid>
      <w:tr w:rsidR="00C861EA" w:rsidRPr="00487CAB" w14:paraId="1C0C37C1" w14:textId="77777777" w:rsidTr="00B02073">
        <w:tc>
          <w:tcPr>
            <w:tcW w:w="4410" w:type="dxa"/>
          </w:tcPr>
          <w:p w14:paraId="2514CB7F" w14:textId="77777777" w:rsidR="00C861EA" w:rsidRPr="00487CAB" w:rsidRDefault="00C861EA" w:rsidP="00B02073">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29CF9823" w14:textId="77777777" w:rsidR="00C861EA" w:rsidRPr="00487CAB" w:rsidRDefault="00C861EA" w:rsidP="00B02073">
            <w:pPr>
              <w:tabs>
                <w:tab w:val="right" w:pos="9180"/>
              </w:tabs>
              <w:jc w:val="center"/>
              <w:rPr>
                <w:snapToGrid w:val="0"/>
                <w:color w:val="000000"/>
                <w:sz w:val="19"/>
                <w:szCs w:val="19"/>
              </w:rPr>
            </w:pPr>
            <w:r>
              <w:rPr>
                <w:snapToGrid w:val="0"/>
                <w:color w:val="000000"/>
                <w:sz w:val="19"/>
                <w:szCs w:val="19"/>
              </w:rPr>
              <w:t>Three-Month and Six-Month Periods Ended June 30, 2019</w:t>
            </w:r>
          </w:p>
        </w:tc>
      </w:tr>
      <w:tr w:rsidR="00C861EA" w:rsidRPr="00487CAB" w14:paraId="29021EA6" w14:textId="77777777" w:rsidTr="00B02073">
        <w:tc>
          <w:tcPr>
            <w:tcW w:w="4410" w:type="dxa"/>
          </w:tcPr>
          <w:p w14:paraId="1BC3B411" w14:textId="77777777" w:rsidR="00C861EA" w:rsidRPr="00487CAB" w:rsidRDefault="00C861EA" w:rsidP="00B02073">
            <w:pPr>
              <w:tabs>
                <w:tab w:val="left" w:pos="144"/>
                <w:tab w:val="left" w:pos="324"/>
                <w:tab w:val="right" w:pos="9180"/>
              </w:tabs>
              <w:rPr>
                <w:snapToGrid w:val="0"/>
                <w:color w:val="000000"/>
                <w:sz w:val="19"/>
                <w:szCs w:val="19"/>
              </w:rPr>
            </w:pPr>
          </w:p>
        </w:tc>
        <w:tc>
          <w:tcPr>
            <w:tcW w:w="2340" w:type="dxa"/>
            <w:gridSpan w:val="2"/>
          </w:tcPr>
          <w:p w14:paraId="3DDFB88F" w14:textId="77777777" w:rsidR="00C861EA" w:rsidRPr="00487CAB" w:rsidRDefault="00C861EA" w:rsidP="00B02073">
            <w:pPr>
              <w:tabs>
                <w:tab w:val="left" w:pos="2340"/>
                <w:tab w:val="right" w:pos="9180"/>
              </w:tabs>
              <w:jc w:val="center"/>
              <w:rPr>
                <w:snapToGrid w:val="0"/>
                <w:color w:val="000000"/>
                <w:sz w:val="19"/>
                <w:szCs w:val="19"/>
              </w:rPr>
            </w:pPr>
          </w:p>
        </w:tc>
        <w:tc>
          <w:tcPr>
            <w:tcW w:w="1080" w:type="dxa"/>
          </w:tcPr>
          <w:p w14:paraId="4AB80B42" w14:textId="77777777" w:rsidR="00C861EA" w:rsidRPr="00487CAB" w:rsidRDefault="00C861EA" w:rsidP="00B02073">
            <w:pPr>
              <w:tabs>
                <w:tab w:val="decimal" w:pos="1148"/>
                <w:tab w:val="right" w:pos="9180"/>
              </w:tabs>
              <w:jc w:val="center"/>
              <w:rPr>
                <w:snapToGrid w:val="0"/>
                <w:color w:val="000000"/>
                <w:sz w:val="19"/>
                <w:szCs w:val="19"/>
              </w:rPr>
            </w:pPr>
          </w:p>
        </w:tc>
        <w:tc>
          <w:tcPr>
            <w:tcW w:w="1170" w:type="dxa"/>
          </w:tcPr>
          <w:p w14:paraId="1194BD7E" w14:textId="77777777" w:rsidR="00C861EA" w:rsidRPr="00487CAB" w:rsidRDefault="00C861EA" w:rsidP="00B02073">
            <w:pPr>
              <w:tabs>
                <w:tab w:val="decimal" w:pos="1148"/>
                <w:tab w:val="right" w:pos="9180"/>
              </w:tabs>
              <w:jc w:val="center"/>
              <w:rPr>
                <w:snapToGrid w:val="0"/>
                <w:color w:val="000000"/>
                <w:sz w:val="19"/>
                <w:szCs w:val="19"/>
              </w:rPr>
            </w:pPr>
          </w:p>
        </w:tc>
        <w:tc>
          <w:tcPr>
            <w:tcW w:w="1440" w:type="dxa"/>
          </w:tcPr>
          <w:p w14:paraId="12364E70" w14:textId="77777777" w:rsidR="00C861EA" w:rsidRPr="00487CAB" w:rsidRDefault="00C861EA" w:rsidP="00B02073">
            <w:pPr>
              <w:tabs>
                <w:tab w:val="decimal" w:pos="1148"/>
                <w:tab w:val="right" w:pos="9180"/>
              </w:tabs>
              <w:jc w:val="center"/>
              <w:rPr>
                <w:snapToGrid w:val="0"/>
                <w:color w:val="000000"/>
                <w:sz w:val="19"/>
                <w:szCs w:val="19"/>
              </w:rPr>
            </w:pPr>
          </w:p>
        </w:tc>
        <w:tc>
          <w:tcPr>
            <w:tcW w:w="1350" w:type="dxa"/>
          </w:tcPr>
          <w:p w14:paraId="486BD2FD" w14:textId="77777777" w:rsidR="00C861EA" w:rsidRPr="00487CAB" w:rsidRDefault="00C861EA" w:rsidP="00B02073">
            <w:pPr>
              <w:tabs>
                <w:tab w:val="right" w:pos="9180"/>
              </w:tabs>
              <w:jc w:val="center"/>
              <w:rPr>
                <w:snapToGrid w:val="0"/>
                <w:color w:val="000000"/>
                <w:sz w:val="19"/>
                <w:szCs w:val="19"/>
              </w:rPr>
            </w:pPr>
          </w:p>
        </w:tc>
        <w:tc>
          <w:tcPr>
            <w:tcW w:w="1800" w:type="dxa"/>
          </w:tcPr>
          <w:p w14:paraId="6B8A0581" w14:textId="77777777" w:rsidR="00C861EA" w:rsidRPr="00487CAB" w:rsidRDefault="00C861EA" w:rsidP="00B02073">
            <w:pPr>
              <w:tabs>
                <w:tab w:val="right" w:pos="9180"/>
              </w:tabs>
              <w:jc w:val="center"/>
              <w:rPr>
                <w:snapToGrid w:val="0"/>
                <w:color w:val="000000"/>
                <w:sz w:val="19"/>
                <w:szCs w:val="19"/>
              </w:rPr>
            </w:pPr>
            <w:r w:rsidRPr="00487CAB">
              <w:rPr>
                <w:snapToGrid w:val="0"/>
                <w:color w:val="000000"/>
                <w:sz w:val="19"/>
                <w:szCs w:val="19"/>
              </w:rPr>
              <w:t>Total</w:t>
            </w:r>
          </w:p>
        </w:tc>
      </w:tr>
      <w:tr w:rsidR="00C861EA" w:rsidRPr="00487CAB" w14:paraId="1B4CAC6A" w14:textId="77777777" w:rsidTr="00B02073">
        <w:tc>
          <w:tcPr>
            <w:tcW w:w="4410" w:type="dxa"/>
          </w:tcPr>
          <w:p w14:paraId="515E98A6" w14:textId="77777777" w:rsidR="00C861EA" w:rsidRPr="00487CAB" w:rsidRDefault="00C861EA" w:rsidP="00B02073">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35130A0C" w14:textId="0D0964C8" w:rsidR="00C861EA" w:rsidRPr="00487CAB" w:rsidRDefault="00C861EA" w:rsidP="00B02073">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w:t>
            </w:r>
            <w:r w:rsidR="00ED7E6A">
              <w:rPr>
                <w:snapToGrid w:val="0"/>
                <w:color w:val="000000"/>
                <w:sz w:val="19"/>
                <w:szCs w:val="19"/>
              </w:rPr>
              <w:t>10</w:t>
            </w:r>
            <w:r>
              <w:rPr>
                <w:snapToGrid w:val="0"/>
                <w:color w:val="000000"/>
                <w:sz w:val="19"/>
                <w:szCs w:val="19"/>
              </w:rPr>
              <w:t>)</w:t>
            </w:r>
          </w:p>
        </w:tc>
        <w:tc>
          <w:tcPr>
            <w:tcW w:w="2250" w:type="dxa"/>
            <w:gridSpan w:val="2"/>
            <w:tcBorders>
              <w:bottom w:val="single" w:sz="4" w:space="0" w:color="auto"/>
            </w:tcBorders>
          </w:tcPr>
          <w:p w14:paraId="36753DDC" w14:textId="77777777" w:rsidR="00C861EA" w:rsidRPr="00487CAB" w:rsidRDefault="00C861EA" w:rsidP="00B02073">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4AD2F00C" w14:textId="77777777" w:rsidR="00C861EA" w:rsidRPr="00487CAB" w:rsidRDefault="00C861EA" w:rsidP="00B02073">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194FCF02" w14:textId="77777777" w:rsidR="00C861EA" w:rsidRPr="00487CAB" w:rsidRDefault="00C861EA" w:rsidP="00B02073">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25C5409E" w14:textId="77777777" w:rsidR="00C861EA" w:rsidRPr="00487CAB" w:rsidRDefault="00C861EA" w:rsidP="00B02073">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C861EA" w:rsidRPr="00487CAB" w14:paraId="05E6E345" w14:textId="77777777" w:rsidTr="00B02073">
        <w:tc>
          <w:tcPr>
            <w:tcW w:w="4410" w:type="dxa"/>
          </w:tcPr>
          <w:p w14:paraId="677F2F21" w14:textId="77777777" w:rsidR="00C861EA" w:rsidRPr="00487CAB" w:rsidRDefault="00C861EA" w:rsidP="00B02073">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153FEFEA" w14:textId="77777777" w:rsidR="00C861EA" w:rsidRPr="00487CAB" w:rsidRDefault="00C861EA" w:rsidP="00B02073">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080" w:type="dxa"/>
            <w:tcBorders>
              <w:top w:val="single" w:sz="4" w:space="0" w:color="auto"/>
              <w:bottom w:val="single" w:sz="4" w:space="0" w:color="auto"/>
            </w:tcBorders>
          </w:tcPr>
          <w:p w14:paraId="50E39F33" w14:textId="77777777" w:rsidR="00C861EA" w:rsidRPr="00487CAB" w:rsidRDefault="00C861EA" w:rsidP="00B02073">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475F5466" w14:textId="77777777" w:rsidR="00C861EA" w:rsidRPr="00487CAB" w:rsidRDefault="00C861EA" w:rsidP="00B02073">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2F35A3F9" w14:textId="77777777" w:rsidR="00C861EA" w:rsidRPr="00487CAB" w:rsidRDefault="00C861EA" w:rsidP="00B02073">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37E055E8" w14:textId="77777777" w:rsidR="00C861EA" w:rsidRPr="00487CAB" w:rsidRDefault="00C861EA" w:rsidP="00B02073">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44C85F1" w14:textId="77777777" w:rsidR="00C861EA" w:rsidRPr="00487CAB" w:rsidRDefault="00C861EA" w:rsidP="00B02073">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6BB2E29" w14:textId="77777777" w:rsidR="00C861EA" w:rsidRPr="00487CAB" w:rsidRDefault="00C861EA" w:rsidP="00B02073">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C861EA" w:rsidRPr="00660492" w14:paraId="25ECD1AB" w14:textId="77777777" w:rsidTr="00B02073">
        <w:tc>
          <w:tcPr>
            <w:tcW w:w="4410" w:type="dxa"/>
          </w:tcPr>
          <w:p w14:paraId="05A971A9"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 xml:space="preserve">Balance </w:t>
            </w:r>
            <w:proofErr w:type="gramStart"/>
            <w:r w:rsidRPr="00660492">
              <w:rPr>
                <w:snapToGrid w:val="0"/>
                <w:color w:val="000000"/>
                <w:sz w:val="19"/>
                <w:szCs w:val="19"/>
              </w:rPr>
              <w:t>at</w:t>
            </w:r>
            <w:proofErr w:type="gramEnd"/>
            <w:r w:rsidRPr="00660492">
              <w:rPr>
                <w:snapToGrid w:val="0"/>
                <w:color w:val="000000"/>
                <w:sz w:val="19"/>
                <w:szCs w:val="19"/>
              </w:rPr>
              <w:t xml:space="preserve"> December 31, 2018</w:t>
            </w:r>
          </w:p>
        </w:tc>
        <w:tc>
          <w:tcPr>
            <w:tcW w:w="1260" w:type="dxa"/>
          </w:tcPr>
          <w:p w14:paraId="507A1E96"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3,450</w:t>
            </w:r>
          </w:p>
        </w:tc>
        <w:tc>
          <w:tcPr>
            <w:tcW w:w="1080" w:type="dxa"/>
          </w:tcPr>
          <w:p w14:paraId="77F43130"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t>1,971,333</w:t>
            </w:r>
          </w:p>
        </w:tc>
        <w:tc>
          <w:tcPr>
            <w:tcW w:w="1080" w:type="dxa"/>
          </w:tcPr>
          <w:p w14:paraId="6E0FF053" w14:textId="765E6342"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219</w:t>
            </w:r>
          </w:p>
        </w:tc>
        <w:tc>
          <w:tcPr>
            <w:tcW w:w="1170" w:type="dxa"/>
          </w:tcPr>
          <w:p w14:paraId="7483A3F3" w14:textId="5078932F"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r>
            <w:r w:rsidR="00A2288D" w:rsidRPr="00660492">
              <w:rPr>
                <w:snapToGrid w:val="0"/>
                <w:color w:val="000000"/>
                <w:sz w:val="19"/>
                <w:szCs w:val="19"/>
              </w:rPr>
              <w:t>-</w:t>
            </w:r>
          </w:p>
        </w:tc>
        <w:tc>
          <w:tcPr>
            <w:tcW w:w="1440" w:type="dxa"/>
          </w:tcPr>
          <w:p w14:paraId="79358E98" w14:textId="6C7BC085"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r>
            <w:r w:rsidR="00A2288D" w:rsidRPr="00660492">
              <w:rPr>
                <w:snapToGrid w:val="0"/>
                <w:color w:val="000000"/>
                <w:sz w:val="19"/>
                <w:szCs w:val="19"/>
              </w:rPr>
              <w:t>37,483,204</w:t>
            </w:r>
          </w:p>
        </w:tc>
        <w:tc>
          <w:tcPr>
            <w:tcW w:w="1350" w:type="dxa"/>
          </w:tcPr>
          <w:p w14:paraId="16AC5E06"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$(40,476,884)</w:t>
            </w:r>
          </w:p>
        </w:tc>
        <w:tc>
          <w:tcPr>
            <w:tcW w:w="1800" w:type="dxa"/>
          </w:tcPr>
          <w:p w14:paraId="6D9FC8F2"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t>(1,022,347)</w:t>
            </w:r>
          </w:p>
        </w:tc>
      </w:tr>
      <w:tr w:rsidR="00C861EA" w:rsidRPr="00660492" w14:paraId="0A8D2948" w14:textId="77777777" w:rsidTr="00B02073">
        <w:tc>
          <w:tcPr>
            <w:tcW w:w="4410" w:type="dxa"/>
          </w:tcPr>
          <w:p w14:paraId="09345A60" w14:textId="77777777" w:rsidR="00C861EA" w:rsidRPr="00660492" w:rsidRDefault="00C861EA" w:rsidP="00B02073">
            <w:pPr>
              <w:tabs>
                <w:tab w:val="left" w:pos="144"/>
                <w:tab w:val="left" w:pos="324"/>
                <w:tab w:val="right" w:pos="9180"/>
              </w:tabs>
              <w:rPr>
                <w:snapToGrid w:val="0"/>
                <w:color w:val="000000"/>
                <w:sz w:val="19"/>
                <w:szCs w:val="19"/>
              </w:rPr>
            </w:pPr>
            <w:bookmarkStart w:id="10" w:name="_Hlk12541880"/>
            <w:r w:rsidRPr="00660492">
              <w:rPr>
                <w:snapToGrid w:val="0"/>
                <w:color w:val="000000"/>
                <w:sz w:val="19"/>
                <w:szCs w:val="19"/>
              </w:rPr>
              <w:tab/>
              <w:t>Sale of convertible preferred stock</w:t>
            </w:r>
          </w:p>
        </w:tc>
        <w:tc>
          <w:tcPr>
            <w:tcW w:w="1260" w:type="dxa"/>
          </w:tcPr>
          <w:p w14:paraId="387BD2C4"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r>
          </w:p>
        </w:tc>
        <w:tc>
          <w:tcPr>
            <w:tcW w:w="1080" w:type="dxa"/>
          </w:tcPr>
          <w:p w14:paraId="01518465"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r>
          </w:p>
        </w:tc>
        <w:tc>
          <w:tcPr>
            <w:tcW w:w="1080" w:type="dxa"/>
          </w:tcPr>
          <w:p w14:paraId="2F50CC57"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p>
        </w:tc>
        <w:tc>
          <w:tcPr>
            <w:tcW w:w="1170" w:type="dxa"/>
          </w:tcPr>
          <w:p w14:paraId="49BC018B"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p>
        </w:tc>
        <w:tc>
          <w:tcPr>
            <w:tcW w:w="1440" w:type="dxa"/>
          </w:tcPr>
          <w:p w14:paraId="4C9411F7"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p>
        </w:tc>
        <w:tc>
          <w:tcPr>
            <w:tcW w:w="1350" w:type="dxa"/>
          </w:tcPr>
          <w:p w14:paraId="6782186E"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r>
          </w:p>
        </w:tc>
        <w:tc>
          <w:tcPr>
            <w:tcW w:w="1800" w:type="dxa"/>
          </w:tcPr>
          <w:p w14:paraId="04F01CCA"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r>
          </w:p>
        </w:tc>
      </w:tr>
      <w:tr w:rsidR="00C861EA" w:rsidRPr="00660492" w14:paraId="1D081426" w14:textId="77777777" w:rsidTr="00B02073">
        <w:tc>
          <w:tcPr>
            <w:tcW w:w="4410" w:type="dxa"/>
          </w:tcPr>
          <w:p w14:paraId="647575F6"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r>
            <w:r w:rsidRPr="00660492">
              <w:rPr>
                <w:snapToGrid w:val="0"/>
                <w:color w:val="000000"/>
                <w:sz w:val="19"/>
                <w:szCs w:val="19"/>
              </w:rPr>
              <w:tab/>
              <w:t>for cash and cancellation of note payable</w:t>
            </w:r>
          </w:p>
        </w:tc>
        <w:tc>
          <w:tcPr>
            <w:tcW w:w="1260" w:type="dxa"/>
          </w:tcPr>
          <w:p w14:paraId="093B5129"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500</w:t>
            </w:r>
          </w:p>
        </w:tc>
        <w:tc>
          <w:tcPr>
            <w:tcW w:w="1080" w:type="dxa"/>
          </w:tcPr>
          <w:p w14:paraId="43A54FDC"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404,250</w:t>
            </w:r>
          </w:p>
        </w:tc>
        <w:tc>
          <w:tcPr>
            <w:tcW w:w="1080" w:type="dxa"/>
          </w:tcPr>
          <w:p w14:paraId="37F58D14"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170" w:type="dxa"/>
          </w:tcPr>
          <w:p w14:paraId="62321028"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440" w:type="dxa"/>
          </w:tcPr>
          <w:p w14:paraId="35A2AAD8"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85,750</w:t>
            </w:r>
          </w:p>
        </w:tc>
        <w:tc>
          <w:tcPr>
            <w:tcW w:w="1350" w:type="dxa"/>
          </w:tcPr>
          <w:p w14:paraId="3C80F1EB"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39CD88DB"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490,000</w:t>
            </w:r>
          </w:p>
        </w:tc>
      </w:tr>
      <w:tr w:rsidR="00C861EA" w:rsidRPr="00660492" w14:paraId="250C5A3D" w14:textId="77777777" w:rsidTr="00B02073">
        <w:tc>
          <w:tcPr>
            <w:tcW w:w="4410" w:type="dxa"/>
          </w:tcPr>
          <w:p w14:paraId="59F9C06F"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Conversion of preferred stock to common stock</w:t>
            </w:r>
          </w:p>
        </w:tc>
        <w:tc>
          <w:tcPr>
            <w:tcW w:w="1260" w:type="dxa"/>
          </w:tcPr>
          <w:p w14:paraId="5D5838DD"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(767)</w:t>
            </w:r>
          </w:p>
        </w:tc>
        <w:tc>
          <w:tcPr>
            <w:tcW w:w="1080" w:type="dxa"/>
          </w:tcPr>
          <w:p w14:paraId="1C8A6E9F"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(303,475)</w:t>
            </w:r>
          </w:p>
        </w:tc>
        <w:tc>
          <w:tcPr>
            <w:tcW w:w="1080" w:type="dxa"/>
          </w:tcPr>
          <w:p w14:paraId="05C298AA" w14:textId="73786866"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59</w:t>
            </w:r>
          </w:p>
        </w:tc>
        <w:tc>
          <w:tcPr>
            <w:tcW w:w="1170" w:type="dxa"/>
          </w:tcPr>
          <w:p w14:paraId="15676F80" w14:textId="5706A5DE"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w:t>
            </w:r>
          </w:p>
        </w:tc>
        <w:tc>
          <w:tcPr>
            <w:tcW w:w="1440" w:type="dxa"/>
          </w:tcPr>
          <w:p w14:paraId="3C2D4EC0" w14:textId="6F9F35E3"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303,</w:t>
            </w:r>
            <w:r w:rsidR="00A2288D" w:rsidRPr="00660492">
              <w:rPr>
                <w:snapToGrid w:val="0"/>
                <w:color w:val="000000"/>
                <w:sz w:val="19"/>
                <w:szCs w:val="19"/>
              </w:rPr>
              <w:t>47</w:t>
            </w:r>
            <w:r w:rsidR="008B4164">
              <w:rPr>
                <w:snapToGrid w:val="0"/>
                <w:color w:val="000000"/>
                <w:sz w:val="19"/>
                <w:szCs w:val="19"/>
              </w:rPr>
              <w:t>5</w:t>
            </w:r>
          </w:p>
        </w:tc>
        <w:tc>
          <w:tcPr>
            <w:tcW w:w="1350" w:type="dxa"/>
          </w:tcPr>
          <w:p w14:paraId="31330001"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0C94018E"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w:t>
            </w:r>
          </w:p>
        </w:tc>
      </w:tr>
      <w:tr w:rsidR="00C861EA" w:rsidRPr="00660492" w14:paraId="223DF66E" w14:textId="77777777" w:rsidTr="00B02073">
        <w:tc>
          <w:tcPr>
            <w:tcW w:w="4410" w:type="dxa"/>
          </w:tcPr>
          <w:p w14:paraId="709BAEA6"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Stock option expense</w:t>
            </w:r>
          </w:p>
        </w:tc>
        <w:tc>
          <w:tcPr>
            <w:tcW w:w="1260" w:type="dxa"/>
          </w:tcPr>
          <w:p w14:paraId="1F8813BD"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w:t>
            </w:r>
          </w:p>
        </w:tc>
        <w:tc>
          <w:tcPr>
            <w:tcW w:w="1080" w:type="dxa"/>
          </w:tcPr>
          <w:p w14:paraId="4269EFD5"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w:t>
            </w:r>
          </w:p>
        </w:tc>
        <w:tc>
          <w:tcPr>
            <w:tcW w:w="1080" w:type="dxa"/>
          </w:tcPr>
          <w:p w14:paraId="7522A4BA"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170" w:type="dxa"/>
          </w:tcPr>
          <w:p w14:paraId="4D16786B"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440" w:type="dxa"/>
          </w:tcPr>
          <w:p w14:paraId="72167CA8"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26,652</w:t>
            </w:r>
          </w:p>
        </w:tc>
        <w:tc>
          <w:tcPr>
            <w:tcW w:w="1350" w:type="dxa"/>
          </w:tcPr>
          <w:p w14:paraId="63B9266D"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510404EE"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26,652</w:t>
            </w:r>
          </w:p>
        </w:tc>
      </w:tr>
      <w:tr w:rsidR="00C861EA" w:rsidRPr="00660492" w14:paraId="03CC9560" w14:textId="77777777" w:rsidTr="00B02073">
        <w:tc>
          <w:tcPr>
            <w:tcW w:w="4410" w:type="dxa"/>
          </w:tcPr>
          <w:p w14:paraId="3E2396E1"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Net loss for the three months ended March 31, 2019</w:t>
            </w:r>
          </w:p>
        </w:tc>
        <w:tc>
          <w:tcPr>
            <w:tcW w:w="1260" w:type="dxa"/>
            <w:tcBorders>
              <w:bottom w:val="single" w:sz="4" w:space="0" w:color="auto"/>
            </w:tcBorders>
          </w:tcPr>
          <w:p w14:paraId="76600310"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w:t>
            </w:r>
          </w:p>
        </w:tc>
        <w:tc>
          <w:tcPr>
            <w:tcW w:w="1080" w:type="dxa"/>
            <w:tcBorders>
              <w:bottom w:val="single" w:sz="4" w:space="0" w:color="auto"/>
            </w:tcBorders>
          </w:tcPr>
          <w:p w14:paraId="5C626809"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w:t>
            </w:r>
          </w:p>
        </w:tc>
        <w:tc>
          <w:tcPr>
            <w:tcW w:w="1080" w:type="dxa"/>
            <w:tcBorders>
              <w:bottom w:val="single" w:sz="4" w:space="0" w:color="auto"/>
            </w:tcBorders>
          </w:tcPr>
          <w:p w14:paraId="463DF869"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170" w:type="dxa"/>
            <w:tcBorders>
              <w:bottom w:val="single" w:sz="4" w:space="0" w:color="auto"/>
            </w:tcBorders>
          </w:tcPr>
          <w:p w14:paraId="526FB780"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440" w:type="dxa"/>
            <w:tcBorders>
              <w:bottom w:val="single" w:sz="4" w:space="0" w:color="auto"/>
            </w:tcBorders>
          </w:tcPr>
          <w:p w14:paraId="22DF7DCC"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350" w:type="dxa"/>
            <w:tcBorders>
              <w:bottom w:val="single" w:sz="4" w:space="0" w:color="auto"/>
            </w:tcBorders>
          </w:tcPr>
          <w:p w14:paraId="72E9BBD8"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(701,454)</w:t>
            </w:r>
          </w:p>
        </w:tc>
        <w:tc>
          <w:tcPr>
            <w:tcW w:w="1800" w:type="dxa"/>
            <w:tcBorders>
              <w:bottom w:val="single" w:sz="4" w:space="0" w:color="auto"/>
            </w:tcBorders>
          </w:tcPr>
          <w:p w14:paraId="0BD84B47"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(701,454)</w:t>
            </w:r>
          </w:p>
        </w:tc>
      </w:tr>
      <w:tr w:rsidR="00C861EA" w:rsidRPr="00660492" w14:paraId="59A616BC" w14:textId="77777777" w:rsidTr="00B02073">
        <w:tc>
          <w:tcPr>
            <w:tcW w:w="4410" w:type="dxa"/>
          </w:tcPr>
          <w:p w14:paraId="5A8B284A"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 xml:space="preserve">Balance </w:t>
            </w:r>
            <w:proofErr w:type="gramStart"/>
            <w:r w:rsidRPr="00660492">
              <w:rPr>
                <w:snapToGrid w:val="0"/>
                <w:color w:val="000000"/>
                <w:sz w:val="19"/>
                <w:szCs w:val="19"/>
              </w:rPr>
              <w:t>at</w:t>
            </w:r>
            <w:proofErr w:type="gramEnd"/>
            <w:r w:rsidRPr="00660492">
              <w:rPr>
                <w:snapToGrid w:val="0"/>
                <w:color w:val="000000"/>
                <w:sz w:val="19"/>
                <w:szCs w:val="19"/>
              </w:rPr>
              <w:t xml:space="preserve"> March 31, 2019</w:t>
            </w:r>
          </w:p>
        </w:tc>
        <w:tc>
          <w:tcPr>
            <w:tcW w:w="1260" w:type="dxa"/>
            <w:tcBorders>
              <w:top w:val="single" w:sz="4" w:space="0" w:color="auto"/>
            </w:tcBorders>
          </w:tcPr>
          <w:p w14:paraId="2795835D"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3,183</w:t>
            </w:r>
          </w:p>
        </w:tc>
        <w:tc>
          <w:tcPr>
            <w:tcW w:w="1080" w:type="dxa"/>
            <w:tcBorders>
              <w:top w:val="single" w:sz="4" w:space="0" w:color="auto"/>
            </w:tcBorders>
          </w:tcPr>
          <w:p w14:paraId="2DDD5084"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2,072,108</w:t>
            </w:r>
          </w:p>
        </w:tc>
        <w:tc>
          <w:tcPr>
            <w:tcW w:w="1080" w:type="dxa"/>
            <w:tcBorders>
              <w:top w:val="single" w:sz="4" w:space="0" w:color="auto"/>
            </w:tcBorders>
          </w:tcPr>
          <w:p w14:paraId="1E66A79B" w14:textId="46CF4C9E"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278</w:t>
            </w:r>
          </w:p>
        </w:tc>
        <w:tc>
          <w:tcPr>
            <w:tcW w:w="1170" w:type="dxa"/>
            <w:tcBorders>
              <w:top w:val="single" w:sz="4" w:space="0" w:color="auto"/>
            </w:tcBorders>
          </w:tcPr>
          <w:p w14:paraId="63389C01" w14:textId="2B90923F"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w:t>
            </w:r>
          </w:p>
        </w:tc>
        <w:tc>
          <w:tcPr>
            <w:tcW w:w="1440" w:type="dxa"/>
            <w:tcBorders>
              <w:top w:val="single" w:sz="4" w:space="0" w:color="auto"/>
            </w:tcBorders>
          </w:tcPr>
          <w:p w14:paraId="0DC5C322" w14:textId="78DD6804"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37,</w:t>
            </w:r>
            <w:r w:rsidR="00A2288D" w:rsidRPr="00660492">
              <w:rPr>
                <w:snapToGrid w:val="0"/>
                <w:color w:val="000000"/>
                <w:sz w:val="19"/>
                <w:szCs w:val="19"/>
              </w:rPr>
              <w:t>899,081</w:t>
            </w:r>
          </w:p>
        </w:tc>
        <w:tc>
          <w:tcPr>
            <w:tcW w:w="1350" w:type="dxa"/>
            <w:tcBorders>
              <w:top w:val="single" w:sz="4" w:space="0" w:color="auto"/>
            </w:tcBorders>
          </w:tcPr>
          <w:p w14:paraId="76DBB0FC"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(41,178,338)</w:t>
            </w:r>
          </w:p>
        </w:tc>
        <w:tc>
          <w:tcPr>
            <w:tcW w:w="1800" w:type="dxa"/>
            <w:tcBorders>
              <w:top w:val="single" w:sz="4" w:space="0" w:color="auto"/>
            </w:tcBorders>
          </w:tcPr>
          <w:p w14:paraId="6521B83E"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(1,207,149)</w:t>
            </w:r>
          </w:p>
        </w:tc>
      </w:tr>
      <w:bookmarkEnd w:id="10"/>
      <w:tr w:rsidR="00C861EA" w:rsidRPr="00660492" w14:paraId="11405753" w14:textId="77777777" w:rsidTr="00B02073">
        <w:tc>
          <w:tcPr>
            <w:tcW w:w="4410" w:type="dxa"/>
          </w:tcPr>
          <w:p w14:paraId="53C31FEF"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Sale of convertible preferred stock for cash</w:t>
            </w:r>
          </w:p>
        </w:tc>
        <w:tc>
          <w:tcPr>
            <w:tcW w:w="1260" w:type="dxa"/>
          </w:tcPr>
          <w:p w14:paraId="7FACF467"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500</w:t>
            </w:r>
          </w:p>
        </w:tc>
        <w:tc>
          <w:tcPr>
            <w:tcW w:w="1080" w:type="dxa"/>
          </w:tcPr>
          <w:p w14:paraId="292918CB"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438,700</w:t>
            </w:r>
          </w:p>
        </w:tc>
        <w:tc>
          <w:tcPr>
            <w:tcW w:w="1080" w:type="dxa"/>
          </w:tcPr>
          <w:p w14:paraId="28A8E383"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170" w:type="dxa"/>
          </w:tcPr>
          <w:p w14:paraId="722CE22B"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440" w:type="dxa"/>
          </w:tcPr>
          <w:p w14:paraId="3EED73B2"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61,300</w:t>
            </w:r>
          </w:p>
        </w:tc>
        <w:tc>
          <w:tcPr>
            <w:tcW w:w="1350" w:type="dxa"/>
          </w:tcPr>
          <w:p w14:paraId="367C590B"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5B70CB9E"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500,000</w:t>
            </w:r>
          </w:p>
        </w:tc>
      </w:tr>
      <w:tr w:rsidR="00C861EA" w:rsidRPr="00660492" w14:paraId="766AB502" w14:textId="77777777" w:rsidTr="00B02073">
        <w:tc>
          <w:tcPr>
            <w:tcW w:w="4410" w:type="dxa"/>
          </w:tcPr>
          <w:p w14:paraId="6C62C658"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Conversion of preferred stock to common stock</w:t>
            </w:r>
          </w:p>
        </w:tc>
        <w:tc>
          <w:tcPr>
            <w:tcW w:w="1260" w:type="dxa"/>
          </w:tcPr>
          <w:p w14:paraId="24600AD7"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(281)</w:t>
            </w:r>
          </w:p>
        </w:tc>
        <w:tc>
          <w:tcPr>
            <w:tcW w:w="1080" w:type="dxa"/>
          </w:tcPr>
          <w:p w14:paraId="138CB11A"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(172,941)</w:t>
            </w:r>
          </w:p>
        </w:tc>
        <w:tc>
          <w:tcPr>
            <w:tcW w:w="1080" w:type="dxa"/>
          </w:tcPr>
          <w:p w14:paraId="1772E181" w14:textId="086F5D40"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127</w:t>
            </w:r>
          </w:p>
        </w:tc>
        <w:tc>
          <w:tcPr>
            <w:tcW w:w="1170" w:type="dxa"/>
          </w:tcPr>
          <w:p w14:paraId="2D41C80A" w14:textId="1CA1B6BD"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w:t>
            </w:r>
          </w:p>
        </w:tc>
        <w:tc>
          <w:tcPr>
            <w:tcW w:w="1440" w:type="dxa"/>
          </w:tcPr>
          <w:p w14:paraId="4FA3E79F" w14:textId="0B9C00C1"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172,</w:t>
            </w:r>
            <w:r w:rsidR="00A2288D" w:rsidRPr="00660492">
              <w:rPr>
                <w:snapToGrid w:val="0"/>
                <w:color w:val="000000"/>
                <w:sz w:val="19"/>
                <w:szCs w:val="19"/>
              </w:rPr>
              <w:t>941</w:t>
            </w:r>
          </w:p>
        </w:tc>
        <w:tc>
          <w:tcPr>
            <w:tcW w:w="1350" w:type="dxa"/>
          </w:tcPr>
          <w:p w14:paraId="5DF99D3F"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4C125599"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w:t>
            </w:r>
          </w:p>
        </w:tc>
      </w:tr>
      <w:tr w:rsidR="00C861EA" w:rsidRPr="00660492" w14:paraId="0E4A2B6A" w14:textId="77777777" w:rsidTr="00B02073">
        <w:tc>
          <w:tcPr>
            <w:tcW w:w="4410" w:type="dxa"/>
          </w:tcPr>
          <w:p w14:paraId="15DCC4B0" w14:textId="41CA6684"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r>
            <w:r w:rsidR="008B4164">
              <w:rPr>
                <w:snapToGrid w:val="0"/>
                <w:color w:val="000000"/>
                <w:sz w:val="19"/>
                <w:szCs w:val="19"/>
              </w:rPr>
              <w:t>C</w:t>
            </w:r>
            <w:r w:rsidRPr="00660492">
              <w:rPr>
                <w:snapToGrid w:val="0"/>
                <w:color w:val="000000"/>
                <w:sz w:val="19"/>
                <w:szCs w:val="19"/>
              </w:rPr>
              <w:t xml:space="preserve">ommon stock </w:t>
            </w:r>
            <w:r w:rsidR="008B4164">
              <w:rPr>
                <w:snapToGrid w:val="0"/>
                <w:color w:val="000000"/>
                <w:sz w:val="19"/>
                <w:szCs w:val="19"/>
              </w:rPr>
              <w:t xml:space="preserve">issued </w:t>
            </w:r>
            <w:r w:rsidRPr="00660492">
              <w:rPr>
                <w:snapToGrid w:val="0"/>
                <w:color w:val="000000"/>
                <w:sz w:val="19"/>
                <w:szCs w:val="19"/>
              </w:rPr>
              <w:t>for services</w:t>
            </w:r>
          </w:p>
        </w:tc>
        <w:tc>
          <w:tcPr>
            <w:tcW w:w="1260" w:type="dxa"/>
          </w:tcPr>
          <w:p w14:paraId="51724B02"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w:t>
            </w:r>
          </w:p>
        </w:tc>
        <w:tc>
          <w:tcPr>
            <w:tcW w:w="1080" w:type="dxa"/>
          </w:tcPr>
          <w:p w14:paraId="28B478F9"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w:t>
            </w:r>
          </w:p>
        </w:tc>
        <w:tc>
          <w:tcPr>
            <w:tcW w:w="1080" w:type="dxa"/>
          </w:tcPr>
          <w:p w14:paraId="2E91BBDB" w14:textId="3166BF10"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2</w:t>
            </w:r>
          </w:p>
        </w:tc>
        <w:tc>
          <w:tcPr>
            <w:tcW w:w="1170" w:type="dxa"/>
          </w:tcPr>
          <w:p w14:paraId="27E07A68" w14:textId="3CDC0EB8"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w:t>
            </w:r>
          </w:p>
        </w:tc>
        <w:tc>
          <w:tcPr>
            <w:tcW w:w="1440" w:type="dxa"/>
          </w:tcPr>
          <w:p w14:paraId="69C4A3F2" w14:textId="7A7E89F8"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6,000</w:t>
            </w:r>
          </w:p>
        </w:tc>
        <w:tc>
          <w:tcPr>
            <w:tcW w:w="1350" w:type="dxa"/>
          </w:tcPr>
          <w:p w14:paraId="37D275A6"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1FF82903"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6,000</w:t>
            </w:r>
          </w:p>
        </w:tc>
      </w:tr>
      <w:tr w:rsidR="00C861EA" w:rsidRPr="00660492" w14:paraId="1C058887" w14:textId="77777777" w:rsidTr="00B02073">
        <w:tc>
          <w:tcPr>
            <w:tcW w:w="4410" w:type="dxa"/>
          </w:tcPr>
          <w:p w14:paraId="4E703462"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Stock option expense</w:t>
            </w:r>
          </w:p>
        </w:tc>
        <w:tc>
          <w:tcPr>
            <w:tcW w:w="1260" w:type="dxa"/>
          </w:tcPr>
          <w:p w14:paraId="41967A41"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w:t>
            </w:r>
          </w:p>
        </w:tc>
        <w:tc>
          <w:tcPr>
            <w:tcW w:w="1080" w:type="dxa"/>
          </w:tcPr>
          <w:p w14:paraId="44DCE39C"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w:t>
            </w:r>
          </w:p>
        </w:tc>
        <w:tc>
          <w:tcPr>
            <w:tcW w:w="1080" w:type="dxa"/>
          </w:tcPr>
          <w:p w14:paraId="6914A2E6"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170" w:type="dxa"/>
          </w:tcPr>
          <w:p w14:paraId="57BA397B"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440" w:type="dxa"/>
          </w:tcPr>
          <w:p w14:paraId="1E3BFB0D"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26,664</w:t>
            </w:r>
          </w:p>
        </w:tc>
        <w:tc>
          <w:tcPr>
            <w:tcW w:w="1350" w:type="dxa"/>
          </w:tcPr>
          <w:p w14:paraId="7E1AF39E"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w:t>
            </w:r>
          </w:p>
        </w:tc>
        <w:tc>
          <w:tcPr>
            <w:tcW w:w="1800" w:type="dxa"/>
          </w:tcPr>
          <w:p w14:paraId="6B00E2B1"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26,664</w:t>
            </w:r>
          </w:p>
        </w:tc>
      </w:tr>
      <w:tr w:rsidR="00C861EA" w:rsidRPr="00660492" w14:paraId="4819B39B" w14:textId="77777777" w:rsidTr="00B02073">
        <w:tc>
          <w:tcPr>
            <w:tcW w:w="4410" w:type="dxa"/>
          </w:tcPr>
          <w:p w14:paraId="1B536FFF"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ab/>
              <w:t>Net loss for the three months ended June 30, 2019</w:t>
            </w:r>
          </w:p>
        </w:tc>
        <w:tc>
          <w:tcPr>
            <w:tcW w:w="1260" w:type="dxa"/>
            <w:tcBorders>
              <w:bottom w:val="single" w:sz="4" w:space="0" w:color="auto"/>
            </w:tcBorders>
          </w:tcPr>
          <w:p w14:paraId="6AFC5204"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w:t>
            </w:r>
          </w:p>
        </w:tc>
        <w:tc>
          <w:tcPr>
            <w:tcW w:w="1080" w:type="dxa"/>
            <w:tcBorders>
              <w:bottom w:val="single" w:sz="4" w:space="0" w:color="auto"/>
            </w:tcBorders>
          </w:tcPr>
          <w:p w14:paraId="6CE34F1F"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ab/>
              <w:t>-</w:t>
            </w:r>
          </w:p>
        </w:tc>
        <w:tc>
          <w:tcPr>
            <w:tcW w:w="1080" w:type="dxa"/>
            <w:tcBorders>
              <w:bottom w:val="single" w:sz="4" w:space="0" w:color="auto"/>
            </w:tcBorders>
          </w:tcPr>
          <w:p w14:paraId="675F5936"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170" w:type="dxa"/>
            <w:tcBorders>
              <w:bottom w:val="single" w:sz="4" w:space="0" w:color="auto"/>
            </w:tcBorders>
          </w:tcPr>
          <w:p w14:paraId="4FEE5DAF"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440" w:type="dxa"/>
            <w:tcBorders>
              <w:bottom w:val="single" w:sz="4" w:space="0" w:color="auto"/>
            </w:tcBorders>
          </w:tcPr>
          <w:p w14:paraId="068CE017" w14:textId="77777777"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t>-</w:t>
            </w:r>
          </w:p>
        </w:tc>
        <w:tc>
          <w:tcPr>
            <w:tcW w:w="1350" w:type="dxa"/>
            <w:tcBorders>
              <w:bottom w:val="single" w:sz="4" w:space="0" w:color="auto"/>
            </w:tcBorders>
          </w:tcPr>
          <w:p w14:paraId="657D79D7"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ab/>
              <w:t>(654,148)</w:t>
            </w:r>
          </w:p>
        </w:tc>
        <w:tc>
          <w:tcPr>
            <w:tcW w:w="1800" w:type="dxa"/>
            <w:tcBorders>
              <w:bottom w:val="single" w:sz="4" w:space="0" w:color="auto"/>
            </w:tcBorders>
          </w:tcPr>
          <w:p w14:paraId="19B822BF" w14:textId="77777777" w:rsidR="00C861EA" w:rsidRPr="00660492" w:rsidRDefault="00C861EA" w:rsidP="00B02073">
            <w:pPr>
              <w:tabs>
                <w:tab w:val="decimal" w:pos="1418"/>
                <w:tab w:val="right" w:pos="9180"/>
              </w:tabs>
              <w:rPr>
                <w:snapToGrid w:val="0"/>
                <w:color w:val="000000"/>
                <w:sz w:val="19"/>
                <w:szCs w:val="19"/>
              </w:rPr>
            </w:pPr>
            <w:r w:rsidRPr="00660492">
              <w:rPr>
                <w:snapToGrid w:val="0"/>
                <w:color w:val="000000"/>
                <w:sz w:val="19"/>
                <w:szCs w:val="19"/>
              </w:rPr>
              <w:tab/>
              <w:t>(654,148)</w:t>
            </w:r>
          </w:p>
        </w:tc>
      </w:tr>
      <w:tr w:rsidR="00C861EA" w:rsidRPr="00487CAB" w14:paraId="159C5D43" w14:textId="77777777" w:rsidTr="00B02073">
        <w:tc>
          <w:tcPr>
            <w:tcW w:w="4410" w:type="dxa"/>
          </w:tcPr>
          <w:p w14:paraId="1D0C2052" w14:textId="77777777" w:rsidR="00C861EA" w:rsidRPr="00660492" w:rsidRDefault="00C861EA" w:rsidP="00B02073">
            <w:pPr>
              <w:tabs>
                <w:tab w:val="left" w:pos="144"/>
                <w:tab w:val="left" w:pos="324"/>
                <w:tab w:val="right" w:pos="9180"/>
              </w:tabs>
              <w:rPr>
                <w:snapToGrid w:val="0"/>
                <w:color w:val="000000"/>
                <w:sz w:val="19"/>
                <w:szCs w:val="19"/>
              </w:rPr>
            </w:pPr>
            <w:r w:rsidRPr="00660492">
              <w:rPr>
                <w:snapToGrid w:val="0"/>
                <w:color w:val="000000"/>
                <w:sz w:val="19"/>
                <w:szCs w:val="19"/>
              </w:rPr>
              <w:t xml:space="preserve">Balance </w:t>
            </w:r>
            <w:proofErr w:type="gramStart"/>
            <w:r w:rsidRPr="00660492">
              <w:rPr>
                <w:snapToGrid w:val="0"/>
                <w:color w:val="000000"/>
                <w:sz w:val="19"/>
                <w:szCs w:val="19"/>
              </w:rPr>
              <w:t>at</w:t>
            </w:r>
            <w:proofErr w:type="gramEnd"/>
            <w:r w:rsidRPr="00660492">
              <w:rPr>
                <w:snapToGrid w:val="0"/>
                <w:color w:val="000000"/>
                <w:sz w:val="19"/>
                <w:szCs w:val="19"/>
              </w:rPr>
              <w:t xml:space="preserve"> June 30, 2019</w:t>
            </w:r>
          </w:p>
        </w:tc>
        <w:tc>
          <w:tcPr>
            <w:tcW w:w="1260" w:type="dxa"/>
            <w:tcBorders>
              <w:top w:val="single" w:sz="4" w:space="0" w:color="auto"/>
              <w:bottom w:val="double" w:sz="4" w:space="0" w:color="auto"/>
            </w:tcBorders>
          </w:tcPr>
          <w:p w14:paraId="7540A98D" w14:textId="77777777" w:rsidR="00C861EA" w:rsidRPr="00660492" w:rsidRDefault="00C861EA" w:rsidP="00B02073">
            <w:pPr>
              <w:tabs>
                <w:tab w:val="decimal" w:pos="917"/>
                <w:tab w:val="left" w:pos="2340"/>
                <w:tab w:val="right" w:pos="9180"/>
              </w:tabs>
              <w:rPr>
                <w:snapToGrid w:val="0"/>
                <w:color w:val="000000"/>
                <w:sz w:val="19"/>
                <w:szCs w:val="19"/>
              </w:rPr>
            </w:pPr>
            <w:r w:rsidRPr="00660492">
              <w:rPr>
                <w:snapToGrid w:val="0"/>
                <w:color w:val="000000"/>
                <w:sz w:val="19"/>
                <w:szCs w:val="19"/>
              </w:rPr>
              <w:tab/>
              <w:t>3,402</w:t>
            </w:r>
          </w:p>
        </w:tc>
        <w:tc>
          <w:tcPr>
            <w:tcW w:w="1080" w:type="dxa"/>
            <w:tcBorders>
              <w:top w:val="single" w:sz="4" w:space="0" w:color="auto"/>
              <w:bottom w:val="double" w:sz="4" w:space="0" w:color="auto"/>
            </w:tcBorders>
          </w:tcPr>
          <w:p w14:paraId="4CB5762A" w14:textId="77777777" w:rsidR="00C861EA" w:rsidRPr="00660492" w:rsidRDefault="00C861EA" w:rsidP="00B02073">
            <w:pPr>
              <w:tabs>
                <w:tab w:val="decimal" w:pos="798"/>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t>2,337,867</w:t>
            </w:r>
          </w:p>
        </w:tc>
        <w:tc>
          <w:tcPr>
            <w:tcW w:w="1080" w:type="dxa"/>
            <w:tcBorders>
              <w:top w:val="single" w:sz="4" w:space="0" w:color="auto"/>
              <w:bottom w:val="double" w:sz="4" w:space="0" w:color="auto"/>
            </w:tcBorders>
          </w:tcPr>
          <w:p w14:paraId="6883117B" w14:textId="58CC2E88"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ab/>
            </w:r>
            <w:r w:rsidR="00A2288D" w:rsidRPr="00660492">
              <w:rPr>
                <w:snapToGrid w:val="0"/>
                <w:color w:val="000000"/>
                <w:sz w:val="19"/>
                <w:szCs w:val="19"/>
              </w:rPr>
              <w:t>407</w:t>
            </w:r>
          </w:p>
        </w:tc>
        <w:tc>
          <w:tcPr>
            <w:tcW w:w="1170" w:type="dxa"/>
            <w:tcBorders>
              <w:top w:val="single" w:sz="4" w:space="0" w:color="auto"/>
              <w:bottom w:val="double" w:sz="4" w:space="0" w:color="auto"/>
            </w:tcBorders>
          </w:tcPr>
          <w:p w14:paraId="07428EED" w14:textId="26946370"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r>
            <w:r w:rsidR="00A2288D" w:rsidRPr="00660492">
              <w:rPr>
                <w:snapToGrid w:val="0"/>
                <w:color w:val="000000"/>
                <w:sz w:val="19"/>
                <w:szCs w:val="19"/>
              </w:rPr>
              <w:t>-</w:t>
            </w:r>
          </w:p>
        </w:tc>
        <w:tc>
          <w:tcPr>
            <w:tcW w:w="1440" w:type="dxa"/>
            <w:tcBorders>
              <w:top w:val="single" w:sz="4" w:space="0" w:color="auto"/>
              <w:bottom w:val="double" w:sz="4" w:space="0" w:color="auto"/>
            </w:tcBorders>
          </w:tcPr>
          <w:p w14:paraId="1F71DB83" w14:textId="73C5E0AD" w:rsidR="00C861EA" w:rsidRPr="00660492" w:rsidRDefault="00C861EA" w:rsidP="00B02073">
            <w:pPr>
              <w:tabs>
                <w:tab w:val="decimal" w:pos="1148"/>
                <w:tab w:val="decimal" w:pos="1422"/>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t>38,165,</w:t>
            </w:r>
            <w:r w:rsidR="00A2288D" w:rsidRPr="00660492">
              <w:rPr>
                <w:snapToGrid w:val="0"/>
                <w:color w:val="000000"/>
                <w:sz w:val="19"/>
                <w:szCs w:val="19"/>
              </w:rPr>
              <w:t>986</w:t>
            </w:r>
          </w:p>
        </w:tc>
        <w:tc>
          <w:tcPr>
            <w:tcW w:w="1350" w:type="dxa"/>
            <w:tcBorders>
              <w:top w:val="single" w:sz="4" w:space="0" w:color="auto"/>
              <w:bottom w:val="double" w:sz="4" w:space="0" w:color="auto"/>
            </w:tcBorders>
          </w:tcPr>
          <w:p w14:paraId="6DFEFA04" w14:textId="77777777" w:rsidR="00C861EA" w:rsidRPr="00660492" w:rsidRDefault="00C861EA" w:rsidP="00B02073">
            <w:pPr>
              <w:tabs>
                <w:tab w:val="decimal" w:pos="1150"/>
                <w:tab w:val="left" w:pos="2340"/>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t>(41,832,486)</w:t>
            </w:r>
          </w:p>
        </w:tc>
        <w:tc>
          <w:tcPr>
            <w:tcW w:w="1800" w:type="dxa"/>
            <w:tcBorders>
              <w:top w:val="single" w:sz="4" w:space="0" w:color="auto"/>
              <w:bottom w:val="double" w:sz="4" w:space="0" w:color="auto"/>
            </w:tcBorders>
          </w:tcPr>
          <w:p w14:paraId="69CA6BF4" w14:textId="77777777" w:rsidR="00C861EA" w:rsidRPr="00176E63" w:rsidRDefault="00C861EA" w:rsidP="00B02073">
            <w:pPr>
              <w:tabs>
                <w:tab w:val="decimal" w:pos="1418"/>
                <w:tab w:val="right" w:pos="9180"/>
              </w:tabs>
              <w:rPr>
                <w:snapToGrid w:val="0"/>
                <w:color w:val="000000"/>
                <w:sz w:val="19"/>
                <w:szCs w:val="19"/>
              </w:rPr>
            </w:pPr>
            <w:r w:rsidRPr="00660492">
              <w:rPr>
                <w:snapToGrid w:val="0"/>
                <w:color w:val="000000"/>
                <w:sz w:val="19"/>
                <w:szCs w:val="19"/>
              </w:rPr>
              <w:t>$</w:t>
            </w:r>
            <w:r w:rsidRPr="00660492">
              <w:rPr>
                <w:snapToGrid w:val="0"/>
                <w:color w:val="000000"/>
                <w:sz w:val="19"/>
                <w:szCs w:val="19"/>
              </w:rPr>
              <w:tab/>
              <w:t>(1,328,633)</w:t>
            </w:r>
          </w:p>
        </w:tc>
      </w:tr>
      <w:tr w:rsidR="00C861EA" w:rsidRPr="00487CAB" w14:paraId="1E22258B" w14:textId="77777777" w:rsidTr="00B02073">
        <w:tc>
          <w:tcPr>
            <w:tcW w:w="4410" w:type="dxa"/>
          </w:tcPr>
          <w:p w14:paraId="2AB2A337" w14:textId="77777777" w:rsidR="00C861EA" w:rsidRPr="00487CAB" w:rsidRDefault="00C861EA" w:rsidP="00B02073">
            <w:pPr>
              <w:tabs>
                <w:tab w:val="left" w:pos="144"/>
                <w:tab w:val="left" w:pos="324"/>
                <w:tab w:val="right" w:pos="9180"/>
              </w:tabs>
              <w:rPr>
                <w:snapToGrid w:val="0"/>
                <w:color w:val="000000"/>
                <w:sz w:val="19"/>
                <w:szCs w:val="19"/>
              </w:rPr>
            </w:pPr>
          </w:p>
        </w:tc>
        <w:tc>
          <w:tcPr>
            <w:tcW w:w="1260" w:type="dxa"/>
            <w:tcBorders>
              <w:top w:val="single" w:sz="4" w:space="0" w:color="auto"/>
            </w:tcBorders>
          </w:tcPr>
          <w:p w14:paraId="222C4096" w14:textId="77777777" w:rsidR="00C861EA" w:rsidRPr="00487CAB" w:rsidRDefault="00C861EA" w:rsidP="00B02073">
            <w:pPr>
              <w:tabs>
                <w:tab w:val="decimal" w:pos="917"/>
                <w:tab w:val="left" w:pos="2340"/>
                <w:tab w:val="right" w:pos="9180"/>
              </w:tabs>
              <w:rPr>
                <w:snapToGrid w:val="0"/>
                <w:color w:val="000000"/>
                <w:sz w:val="19"/>
                <w:szCs w:val="19"/>
              </w:rPr>
            </w:pPr>
          </w:p>
        </w:tc>
        <w:tc>
          <w:tcPr>
            <w:tcW w:w="1080" w:type="dxa"/>
            <w:tcBorders>
              <w:top w:val="single" w:sz="4" w:space="0" w:color="auto"/>
            </w:tcBorders>
          </w:tcPr>
          <w:p w14:paraId="16B67889" w14:textId="77777777" w:rsidR="00C861EA" w:rsidRPr="00487CAB" w:rsidRDefault="00C861EA" w:rsidP="00B02073">
            <w:pPr>
              <w:tabs>
                <w:tab w:val="decimal" w:pos="798"/>
                <w:tab w:val="left" w:pos="2340"/>
                <w:tab w:val="right" w:pos="9180"/>
              </w:tabs>
              <w:rPr>
                <w:snapToGrid w:val="0"/>
                <w:color w:val="000000"/>
                <w:sz w:val="19"/>
                <w:szCs w:val="19"/>
              </w:rPr>
            </w:pPr>
          </w:p>
        </w:tc>
        <w:tc>
          <w:tcPr>
            <w:tcW w:w="1080" w:type="dxa"/>
            <w:tcBorders>
              <w:top w:val="single" w:sz="4" w:space="0" w:color="auto"/>
            </w:tcBorders>
          </w:tcPr>
          <w:p w14:paraId="713AE287" w14:textId="77777777" w:rsidR="00C861EA" w:rsidRPr="00487CAB" w:rsidRDefault="00C861EA" w:rsidP="00B02073">
            <w:pPr>
              <w:tabs>
                <w:tab w:val="decimal" w:pos="1148"/>
                <w:tab w:val="decimal" w:pos="1422"/>
                <w:tab w:val="left" w:pos="2340"/>
                <w:tab w:val="right" w:pos="9180"/>
              </w:tabs>
              <w:rPr>
                <w:snapToGrid w:val="0"/>
                <w:color w:val="000000"/>
                <w:sz w:val="19"/>
                <w:szCs w:val="19"/>
              </w:rPr>
            </w:pPr>
          </w:p>
        </w:tc>
        <w:tc>
          <w:tcPr>
            <w:tcW w:w="1170" w:type="dxa"/>
            <w:tcBorders>
              <w:top w:val="single" w:sz="4" w:space="0" w:color="auto"/>
            </w:tcBorders>
          </w:tcPr>
          <w:p w14:paraId="7B114F2C" w14:textId="77777777" w:rsidR="00C861EA" w:rsidRPr="00176E63" w:rsidRDefault="00C861EA" w:rsidP="00B02073">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62174E2F" w14:textId="77777777" w:rsidR="00C861EA" w:rsidRPr="00176E63" w:rsidRDefault="00C861EA" w:rsidP="00B02073">
            <w:pPr>
              <w:tabs>
                <w:tab w:val="decimal" w:pos="1148"/>
                <w:tab w:val="decimal" w:pos="1422"/>
                <w:tab w:val="left" w:pos="2340"/>
                <w:tab w:val="right" w:pos="9180"/>
              </w:tabs>
              <w:rPr>
                <w:snapToGrid w:val="0"/>
                <w:color w:val="000000"/>
                <w:sz w:val="19"/>
                <w:szCs w:val="19"/>
              </w:rPr>
            </w:pPr>
          </w:p>
        </w:tc>
        <w:tc>
          <w:tcPr>
            <w:tcW w:w="1350" w:type="dxa"/>
            <w:tcBorders>
              <w:top w:val="single" w:sz="4" w:space="0" w:color="auto"/>
            </w:tcBorders>
          </w:tcPr>
          <w:p w14:paraId="331F3D03" w14:textId="77777777" w:rsidR="00C861EA" w:rsidRPr="00487CAB" w:rsidRDefault="00C861EA" w:rsidP="00B02073">
            <w:pPr>
              <w:tabs>
                <w:tab w:val="decimal" w:pos="1150"/>
                <w:tab w:val="left" w:pos="2340"/>
                <w:tab w:val="right" w:pos="9180"/>
              </w:tabs>
              <w:rPr>
                <w:snapToGrid w:val="0"/>
                <w:color w:val="000000"/>
                <w:sz w:val="19"/>
                <w:szCs w:val="19"/>
              </w:rPr>
            </w:pPr>
          </w:p>
        </w:tc>
        <w:tc>
          <w:tcPr>
            <w:tcW w:w="1800" w:type="dxa"/>
            <w:tcBorders>
              <w:top w:val="single" w:sz="4" w:space="0" w:color="auto"/>
            </w:tcBorders>
          </w:tcPr>
          <w:p w14:paraId="5074710F" w14:textId="77777777" w:rsidR="00C861EA" w:rsidRPr="00487CAB" w:rsidRDefault="00C861EA" w:rsidP="00B02073">
            <w:pPr>
              <w:tabs>
                <w:tab w:val="decimal" w:pos="1418"/>
                <w:tab w:val="right" w:pos="9180"/>
              </w:tabs>
              <w:rPr>
                <w:snapToGrid w:val="0"/>
                <w:color w:val="000000"/>
                <w:sz w:val="19"/>
                <w:szCs w:val="19"/>
              </w:rPr>
            </w:pPr>
          </w:p>
        </w:tc>
      </w:tr>
    </w:tbl>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6CC54E12" w14:textId="77777777" w:rsidR="002D627A" w:rsidRDefault="002D627A" w:rsidP="002D627A">
            <w:pPr>
              <w:ind w:right="-18"/>
              <w:jc w:val="center"/>
              <w:rPr>
                <w:b/>
              </w:rPr>
            </w:pPr>
            <w:r w:rsidRPr="00EF6E26">
              <w:rPr>
                <w:b/>
              </w:rPr>
              <w:t>(Unaudited)</w:t>
            </w:r>
          </w:p>
          <w:p w14:paraId="1056EBAA" w14:textId="29F3104E" w:rsidR="00C861EA" w:rsidRPr="00EF6E26" w:rsidRDefault="00C861EA" w:rsidP="002D627A">
            <w:pPr>
              <w:ind w:right="-18"/>
              <w:jc w:val="center"/>
              <w:rPr>
                <w:b/>
              </w:rPr>
            </w:pP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C861EA" w:rsidRPr="000D3DC5" w14:paraId="1105C13E" w14:textId="77777777" w:rsidTr="00B02073">
        <w:tc>
          <w:tcPr>
            <w:tcW w:w="4853" w:type="dxa"/>
            <w:gridSpan w:val="7"/>
          </w:tcPr>
          <w:p w14:paraId="6576862D" w14:textId="77777777" w:rsidR="00C861EA" w:rsidRPr="000D3DC5" w:rsidRDefault="00C861EA" w:rsidP="00B02073"/>
        </w:tc>
        <w:tc>
          <w:tcPr>
            <w:tcW w:w="1555" w:type="dxa"/>
          </w:tcPr>
          <w:p w14:paraId="0F0654CD" w14:textId="77777777" w:rsidR="00C861EA" w:rsidRPr="000D3DC5" w:rsidRDefault="00C861EA" w:rsidP="00B02073">
            <w:pPr>
              <w:tabs>
                <w:tab w:val="right" w:pos="9180"/>
              </w:tabs>
            </w:pPr>
          </w:p>
        </w:tc>
        <w:tc>
          <w:tcPr>
            <w:tcW w:w="3780" w:type="dxa"/>
            <w:gridSpan w:val="3"/>
            <w:tcBorders>
              <w:bottom w:val="single" w:sz="4" w:space="0" w:color="auto"/>
            </w:tcBorders>
          </w:tcPr>
          <w:p w14:paraId="00EFF7E5" w14:textId="77777777" w:rsidR="00C861EA" w:rsidRPr="000D3DC5" w:rsidRDefault="00C861EA" w:rsidP="00B02073">
            <w:pPr>
              <w:tabs>
                <w:tab w:val="decimal" w:pos="1044"/>
                <w:tab w:val="right" w:pos="9180"/>
              </w:tabs>
              <w:ind w:right="-18"/>
              <w:jc w:val="center"/>
            </w:pPr>
            <w:r>
              <w:t>Six Months Ended June 30,</w:t>
            </w:r>
          </w:p>
        </w:tc>
      </w:tr>
      <w:tr w:rsidR="00C861EA" w:rsidRPr="000D3DC5" w14:paraId="22428B05" w14:textId="77777777" w:rsidTr="00B02073">
        <w:tc>
          <w:tcPr>
            <w:tcW w:w="4853" w:type="dxa"/>
            <w:gridSpan w:val="7"/>
          </w:tcPr>
          <w:p w14:paraId="24D33215" w14:textId="77777777" w:rsidR="00C861EA" w:rsidRPr="000D3DC5" w:rsidRDefault="00C861EA" w:rsidP="00B02073"/>
        </w:tc>
        <w:tc>
          <w:tcPr>
            <w:tcW w:w="1555" w:type="dxa"/>
          </w:tcPr>
          <w:p w14:paraId="55350457" w14:textId="77777777" w:rsidR="00C861EA" w:rsidRPr="000D3DC5" w:rsidRDefault="00C861EA" w:rsidP="00B02073">
            <w:pPr>
              <w:tabs>
                <w:tab w:val="right" w:pos="9180"/>
              </w:tabs>
            </w:pPr>
          </w:p>
        </w:tc>
        <w:tc>
          <w:tcPr>
            <w:tcW w:w="1800" w:type="dxa"/>
            <w:tcBorders>
              <w:top w:val="single" w:sz="4" w:space="0" w:color="auto"/>
              <w:bottom w:val="single" w:sz="4" w:space="0" w:color="auto"/>
            </w:tcBorders>
          </w:tcPr>
          <w:p w14:paraId="6DF46258" w14:textId="6E7138E8" w:rsidR="00C861EA" w:rsidRPr="000D3DC5" w:rsidRDefault="00C861EA" w:rsidP="00B02073">
            <w:pPr>
              <w:tabs>
                <w:tab w:val="decimal" w:pos="1044"/>
                <w:tab w:val="decimal" w:pos="1332"/>
                <w:tab w:val="right" w:pos="9180"/>
              </w:tabs>
              <w:jc w:val="center"/>
            </w:pPr>
            <w:r>
              <w:t>2020</w:t>
            </w:r>
          </w:p>
        </w:tc>
        <w:tc>
          <w:tcPr>
            <w:tcW w:w="360" w:type="dxa"/>
            <w:tcBorders>
              <w:top w:val="single" w:sz="4" w:space="0" w:color="auto"/>
            </w:tcBorders>
          </w:tcPr>
          <w:p w14:paraId="536DBF4E" w14:textId="77777777" w:rsidR="00C861EA" w:rsidRPr="000D3DC5" w:rsidRDefault="00C861EA" w:rsidP="00B02073">
            <w:pPr>
              <w:tabs>
                <w:tab w:val="right" w:pos="9180"/>
              </w:tabs>
              <w:jc w:val="center"/>
            </w:pPr>
          </w:p>
        </w:tc>
        <w:tc>
          <w:tcPr>
            <w:tcW w:w="1620" w:type="dxa"/>
            <w:tcBorders>
              <w:top w:val="single" w:sz="4" w:space="0" w:color="auto"/>
              <w:bottom w:val="single" w:sz="4" w:space="0" w:color="auto"/>
            </w:tcBorders>
          </w:tcPr>
          <w:p w14:paraId="3450FE8F" w14:textId="0782C5FB" w:rsidR="00C861EA" w:rsidRPr="000D3DC5" w:rsidRDefault="00C861EA" w:rsidP="00B02073">
            <w:pPr>
              <w:tabs>
                <w:tab w:val="decimal" w:pos="1044"/>
                <w:tab w:val="right" w:pos="9180"/>
              </w:tabs>
              <w:ind w:right="-18"/>
              <w:jc w:val="center"/>
            </w:pPr>
            <w:r>
              <w:t>2019</w:t>
            </w:r>
          </w:p>
        </w:tc>
      </w:tr>
      <w:tr w:rsidR="00C861EA" w:rsidRPr="000D3DC5" w14:paraId="6F793B54" w14:textId="77777777" w:rsidTr="00B02073">
        <w:tc>
          <w:tcPr>
            <w:tcW w:w="4853" w:type="dxa"/>
            <w:gridSpan w:val="7"/>
          </w:tcPr>
          <w:p w14:paraId="6DDBF4D6" w14:textId="77777777" w:rsidR="00C861EA" w:rsidRPr="000D3DC5" w:rsidRDefault="00C861EA" w:rsidP="00B02073">
            <w:r w:rsidRPr="000D3DC5">
              <w:t xml:space="preserve">Cash flows from </w:t>
            </w:r>
            <w:r>
              <w:t>operating</w:t>
            </w:r>
            <w:r w:rsidRPr="000D3DC5">
              <w:t xml:space="preserve"> activities:</w:t>
            </w:r>
          </w:p>
        </w:tc>
        <w:tc>
          <w:tcPr>
            <w:tcW w:w="1555" w:type="dxa"/>
          </w:tcPr>
          <w:p w14:paraId="2A4CB486" w14:textId="77777777" w:rsidR="00C861EA" w:rsidRPr="000D3DC5" w:rsidRDefault="00C861EA" w:rsidP="00B02073">
            <w:pPr>
              <w:tabs>
                <w:tab w:val="right" w:pos="9180"/>
              </w:tabs>
            </w:pPr>
          </w:p>
        </w:tc>
        <w:tc>
          <w:tcPr>
            <w:tcW w:w="1800" w:type="dxa"/>
            <w:tcBorders>
              <w:top w:val="single" w:sz="4" w:space="0" w:color="auto"/>
            </w:tcBorders>
          </w:tcPr>
          <w:p w14:paraId="5BB6390B" w14:textId="77777777" w:rsidR="00C861EA" w:rsidRPr="000D3DC5" w:rsidRDefault="00C861EA" w:rsidP="00B02073">
            <w:pPr>
              <w:tabs>
                <w:tab w:val="decimal" w:pos="1044"/>
                <w:tab w:val="decimal" w:pos="1332"/>
                <w:tab w:val="right" w:pos="9180"/>
              </w:tabs>
            </w:pPr>
          </w:p>
        </w:tc>
        <w:tc>
          <w:tcPr>
            <w:tcW w:w="360" w:type="dxa"/>
          </w:tcPr>
          <w:p w14:paraId="78B735F5" w14:textId="77777777" w:rsidR="00C861EA" w:rsidRPr="000D3DC5" w:rsidRDefault="00C861EA" w:rsidP="00B02073">
            <w:pPr>
              <w:tabs>
                <w:tab w:val="right" w:pos="9180"/>
              </w:tabs>
            </w:pPr>
          </w:p>
        </w:tc>
        <w:tc>
          <w:tcPr>
            <w:tcW w:w="1620" w:type="dxa"/>
          </w:tcPr>
          <w:p w14:paraId="279DE57A" w14:textId="77777777" w:rsidR="00C861EA" w:rsidRPr="000D3DC5" w:rsidRDefault="00C861EA" w:rsidP="00B02073">
            <w:pPr>
              <w:tabs>
                <w:tab w:val="decimal" w:pos="1044"/>
                <w:tab w:val="right" w:pos="9180"/>
              </w:tabs>
              <w:ind w:right="-18"/>
            </w:pPr>
          </w:p>
        </w:tc>
      </w:tr>
      <w:tr w:rsidR="00C861EA" w:rsidRPr="000D3DC5" w14:paraId="5794D939" w14:textId="77777777" w:rsidTr="00B02073">
        <w:tc>
          <w:tcPr>
            <w:tcW w:w="378" w:type="dxa"/>
          </w:tcPr>
          <w:p w14:paraId="18E606B2" w14:textId="77777777" w:rsidR="00C861EA" w:rsidRPr="000D3DC5" w:rsidRDefault="00C861EA" w:rsidP="00B02073"/>
        </w:tc>
        <w:tc>
          <w:tcPr>
            <w:tcW w:w="4475" w:type="dxa"/>
            <w:gridSpan w:val="6"/>
          </w:tcPr>
          <w:p w14:paraId="4B9B93D5" w14:textId="77777777" w:rsidR="00C861EA" w:rsidRPr="000D3DC5" w:rsidRDefault="00C861EA" w:rsidP="00B02073">
            <w:r w:rsidRPr="000D3DC5">
              <w:t>Net loss</w:t>
            </w:r>
          </w:p>
        </w:tc>
        <w:tc>
          <w:tcPr>
            <w:tcW w:w="1555" w:type="dxa"/>
          </w:tcPr>
          <w:p w14:paraId="2A8342EC" w14:textId="77777777" w:rsidR="00C861EA" w:rsidRPr="000D3DC5" w:rsidRDefault="00C861EA" w:rsidP="00B02073">
            <w:pPr>
              <w:tabs>
                <w:tab w:val="right" w:pos="9180"/>
              </w:tabs>
            </w:pPr>
          </w:p>
        </w:tc>
        <w:tc>
          <w:tcPr>
            <w:tcW w:w="1800" w:type="dxa"/>
          </w:tcPr>
          <w:p w14:paraId="08AB2AD5" w14:textId="6BA10805" w:rsidR="00C861EA" w:rsidRPr="000D3DC5" w:rsidRDefault="00C861EA" w:rsidP="00B02073">
            <w:pPr>
              <w:tabs>
                <w:tab w:val="decimal" w:pos="1332"/>
                <w:tab w:val="right" w:pos="9180"/>
              </w:tabs>
            </w:pPr>
            <w:r w:rsidRPr="000D3DC5">
              <w:t>$</w:t>
            </w:r>
            <w:r w:rsidRPr="000D3DC5">
              <w:tab/>
            </w:r>
            <w:r w:rsidR="006D36EF">
              <w:t>(1,0</w:t>
            </w:r>
            <w:r w:rsidR="00EC5343">
              <w:t>50,898</w:t>
            </w:r>
            <w:r w:rsidR="006D36EF">
              <w:t>)</w:t>
            </w:r>
          </w:p>
        </w:tc>
        <w:tc>
          <w:tcPr>
            <w:tcW w:w="360" w:type="dxa"/>
          </w:tcPr>
          <w:p w14:paraId="2996F1B7" w14:textId="77777777" w:rsidR="00C861EA" w:rsidRPr="000D3DC5" w:rsidRDefault="00C861EA" w:rsidP="00B02073">
            <w:pPr>
              <w:tabs>
                <w:tab w:val="right" w:pos="9180"/>
              </w:tabs>
            </w:pPr>
          </w:p>
        </w:tc>
        <w:tc>
          <w:tcPr>
            <w:tcW w:w="1620" w:type="dxa"/>
          </w:tcPr>
          <w:p w14:paraId="1EC3C622" w14:textId="75117BF7" w:rsidR="00C861EA" w:rsidRPr="000D3DC5" w:rsidRDefault="00C861EA" w:rsidP="00B02073">
            <w:pPr>
              <w:tabs>
                <w:tab w:val="decimal" w:pos="1152"/>
                <w:tab w:val="right" w:pos="9180"/>
              </w:tabs>
            </w:pPr>
            <w:r>
              <w:t>$</w:t>
            </w:r>
            <w:r>
              <w:tab/>
              <w:t>(1,355,602)</w:t>
            </w:r>
          </w:p>
        </w:tc>
      </w:tr>
      <w:tr w:rsidR="00C861EA" w:rsidRPr="000D3DC5" w14:paraId="2723DE94" w14:textId="77777777" w:rsidTr="00B02073">
        <w:tc>
          <w:tcPr>
            <w:tcW w:w="378" w:type="dxa"/>
          </w:tcPr>
          <w:p w14:paraId="045E3581" w14:textId="77777777" w:rsidR="00C861EA" w:rsidRPr="000D3DC5" w:rsidRDefault="00C861EA" w:rsidP="00B02073"/>
        </w:tc>
        <w:tc>
          <w:tcPr>
            <w:tcW w:w="4475" w:type="dxa"/>
            <w:gridSpan w:val="6"/>
          </w:tcPr>
          <w:p w14:paraId="2D374884" w14:textId="77777777" w:rsidR="00C861EA" w:rsidRPr="000D3DC5" w:rsidRDefault="00C861EA" w:rsidP="00B02073">
            <w:r w:rsidRPr="000D3DC5">
              <w:t>Adjustments to reconcile net loss to net cash</w:t>
            </w:r>
          </w:p>
        </w:tc>
        <w:tc>
          <w:tcPr>
            <w:tcW w:w="1555" w:type="dxa"/>
          </w:tcPr>
          <w:p w14:paraId="3CE5C1B3" w14:textId="77777777" w:rsidR="00C861EA" w:rsidRPr="000D3DC5" w:rsidRDefault="00C861EA" w:rsidP="00B02073">
            <w:pPr>
              <w:tabs>
                <w:tab w:val="right" w:pos="9180"/>
              </w:tabs>
            </w:pPr>
          </w:p>
        </w:tc>
        <w:tc>
          <w:tcPr>
            <w:tcW w:w="1800" w:type="dxa"/>
          </w:tcPr>
          <w:p w14:paraId="5544D062" w14:textId="77777777" w:rsidR="00C861EA" w:rsidRPr="000D3DC5" w:rsidRDefault="00C861EA" w:rsidP="00B02073">
            <w:pPr>
              <w:tabs>
                <w:tab w:val="decimal" w:pos="1044"/>
                <w:tab w:val="right" w:pos="9180"/>
              </w:tabs>
            </w:pPr>
          </w:p>
        </w:tc>
        <w:tc>
          <w:tcPr>
            <w:tcW w:w="360" w:type="dxa"/>
          </w:tcPr>
          <w:p w14:paraId="4BFB3012" w14:textId="77777777" w:rsidR="00C861EA" w:rsidRPr="000D3DC5" w:rsidRDefault="00C861EA" w:rsidP="00B02073">
            <w:pPr>
              <w:tabs>
                <w:tab w:val="right" w:pos="9180"/>
              </w:tabs>
            </w:pPr>
          </w:p>
        </w:tc>
        <w:tc>
          <w:tcPr>
            <w:tcW w:w="1620" w:type="dxa"/>
          </w:tcPr>
          <w:p w14:paraId="7E6FEEAA" w14:textId="77777777" w:rsidR="00C861EA" w:rsidRPr="000D3DC5" w:rsidRDefault="00C861EA" w:rsidP="00B02073">
            <w:pPr>
              <w:tabs>
                <w:tab w:val="decimal" w:pos="1044"/>
                <w:tab w:val="right" w:pos="9180"/>
              </w:tabs>
            </w:pPr>
          </w:p>
        </w:tc>
      </w:tr>
      <w:tr w:rsidR="00C861EA" w:rsidRPr="000D3DC5" w14:paraId="6E628AAC" w14:textId="77777777" w:rsidTr="00B02073">
        <w:tc>
          <w:tcPr>
            <w:tcW w:w="378" w:type="dxa"/>
          </w:tcPr>
          <w:p w14:paraId="261EA01F" w14:textId="77777777" w:rsidR="00C861EA" w:rsidRPr="000D3DC5" w:rsidRDefault="00C861EA" w:rsidP="00B02073"/>
        </w:tc>
        <w:tc>
          <w:tcPr>
            <w:tcW w:w="4475" w:type="dxa"/>
            <w:gridSpan w:val="6"/>
          </w:tcPr>
          <w:p w14:paraId="7FF17C41" w14:textId="77777777" w:rsidR="00C861EA" w:rsidRPr="000D3DC5" w:rsidRDefault="00C861EA" w:rsidP="00B02073">
            <w:r w:rsidRPr="000D3DC5">
              <w:t xml:space="preserve">  used in operating activities:</w:t>
            </w:r>
          </w:p>
        </w:tc>
        <w:tc>
          <w:tcPr>
            <w:tcW w:w="1555" w:type="dxa"/>
          </w:tcPr>
          <w:p w14:paraId="6E38D640" w14:textId="77777777" w:rsidR="00C861EA" w:rsidRPr="000D3DC5" w:rsidRDefault="00C861EA" w:rsidP="00B02073">
            <w:pPr>
              <w:tabs>
                <w:tab w:val="right" w:pos="9180"/>
              </w:tabs>
            </w:pPr>
          </w:p>
        </w:tc>
        <w:tc>
          <w:tcPr>
            <w:tcW w:w="1800" w:type="dxa"/>
          </w:tcPr>
          <w:p w14:paraId="15805335" w14:textId="77777777" w:rsidR="00C861EA" w:rsidRPr="000D3DC5" w:rsidRDefault="00C861EA" w:rsidP="00B02073">
            <w:pPr>
              <w:tabs>
                <w:tab w:val="decimal" w:pos="1044"/>
                <w:tab w:val="right" w:pos="9180"/>
              </w:tabs>
            </w:pPr>
          </w:p>
        </w:tc>
        <w:tc>
          <w:tcPr>
            <w:tcW w:w="360" w:type="dxa"/>
          </w:tcPr>
          <w:p w14:paraId="7704D8C4" w14:textId="77777777" w:rsidR="00C861EA" w:rsidRPr="000D3DC5" w:rsidRDefault="00C861EA" w:rsidP="00B02073">
            <w:pPr>
              <w:tabs>
                <w:tab w:val="right" w:pos="9180"/>
              </w:tabs>
            </w:pPr>
          </w:p>
        </w:tc>
        <w:tc>
          <w:tcPr>
            <w:tcW w:w="1620" w:type="dxa"/>
          </w:tcPr>
          <w:p w14:paraId="0FFCC01B" w14:textId="77777777" w:rsidR="00C861EA" w:rsidRPr="000D3DC5" w:rsidRDefault="00C861EA" w:rsidP="00B02073">
            <w:pPr>
              <w:tabs>
                <w:tab w:val="decimal" w:pos="1044"/>
                <w:tab w:val="right" w:pos="9180"/>
              </w:tabs>
            </w:pPr>
          </w:p>
        </w:tc>
      </w:tr>
      <w:tr w:rsidR="00C861EA" w:rsidRPr="000D3DC5" w14:paraId="7A183AC8" w14:textId="77777777" w:rsidTr="00B02073">
        <w:tc>
          <w:tcPr>
            <w:tcW w:w="378" w:type="dxa"/>
          </w:tcPr>
          <w:p w14:paraId="556ED188" w14:textId="77777777" w:rsidR="00C861EA" w:rsidRPr="000D3DC5" w:rsidRDefault="00C861EA" w:rsidP="00B02073"/>
        </w:tc>
        <w:tc>
          <w:tcPr>
            <w:tcW w:w="425" w:type="dxa"/>
          </w:tcPr>
          <w:p w14:paraId="176941B9" w14:textId="77777777" w:rsidR="00C861EA" w:rsidRPr="000D3DC5" w:rsidRDefault="00C861EA" w:rsidP="00B02073"/>
        </w:tc>
        <w:tc>
          <w:tcPr>
            <w:tcW w:w="4050" w:type="dxa"/>
            <w:gridSpan w:val="5"/>
          </w:tcPr>
          <w:p w14:paraId="3C0B1E97" w14:textId="77777777" w:rsidR="00C861EA" w:rsidRPr="000D3DC5" w:rsidRDefault="00C861EA" w:rsidP="00B02073">
            <w:r w:rsidRPr="000D3DC5">
              <w:t>Depreciation and amortization</w:t>
            </w:r>
          </w:p>
        </w:tc>
        <w:tc>
          <w:tcPr>
            <w:tcW w:w="1555" w:type="dxa"/>
          </w:tcPr>
          <w:p w14:paraId="11A14C2B" w14:textId="77777777" w:rsidR="00C861EA" w:rsidRPr="000D3DC5" w:rsidRDefault="00C861EA" w:rsidP="00B02073">
            <w:pPr>
              <w:tabs>
                <w:tab w:val="right" w:pos="9180"/>
              </w:tabs>
            </w:pPr>
          </w:p>
        </w:tc>
        <w:tc>
          <w:tcPr>
            <w:tcW w:w="1800" w:type="dxa"/>
          </w:tcPr>
          <w:p w14:paraId="73F3C1C5" w14:textId="428B8823" w:rsidR="00C861EA" w:rsidRPr="000D3DC5" w:rsidRDefault="00C861EA" w:rsidP="00B02073">
            <w:pPr>
              <w:tabs>
                <w:tab w:val="decimal" w:pos="1332"/>
                <w:tab w:val="right" w:pos="9180"/>
              </w:tabs>
            </w:pPr>
            <w:r>
              <w:tab/>
            </w:r>
            <w:r w:rsidR="006012A9">
              <w:t>7,033</w:t>
            </w:r>
          </w:p>
        </w:tc>
        <w:tc>
          <w:tcPr>
            <w:tcW w:w="360" w:type="dxa"/>
          </w:tcPr>
          <w:p w14:paraId="695D8C96" w14:textId="77777777" w:rsidR="00C861EA" w:rsidRPr="000D3DC5" w:rsidRDefault="00C861EA" w:rsidP="00B02073">
            <w:pPr>
              <w:tabs>
                <w:tab w:val="right" w:pos="9180"/>
              </w:tabs>
            </w:pPr>
          </w:p>
        </w:tc>
        <w:tc>
          <w:tcPr>
            <w:tcW w:w="1620" w:type="dxa"/>
          </w:tcPr>
          <w:p w14:paraId="44E75798" w14:textId="61B5D61E" w:rsidR="00C861EA" w:rsidRPr="000D3DC5" w:rsidRDefault="00C861EA" w:rsidP="00B02073">
            <w:pPr>
              <w:tabs>
                <w:tab w:val="decimal" w:pos="1152"/>
                <w:tab w:val="right" w:pos="9180"/>
              </w:tabs>
            </w:pPr>
            <w:r>
              <w:tab/>
              <w:t>3,795</w:t>
            </w:r>
          </w:p>
        </w:tc>
      </w:tr>
      <w:tr w:rsidR="00C861EA" w:rsidRPr="000D3DC5" w14:paraId="13574298" w14:textId="77777777" w:rsidTr="00B02073">
        <w:tc>
          <w:tcPr>
            <w:tcW w:w="378" w:type="dxa"/>
          </w:tcPr>
          <w:p w14:paraId="0E93FF53" w14:textId="77777777" w:rsidR="00C861EA" w:rsidRPr="000D3DC5" w:rsidRDefault="00C861EA" w:rsidP="00B02073"/>
        </w:tc>
        <w:tc>
          <w:tcPr>
            <w:tcW w:w="425" w:type="dxa"/>
          </w:tcPr>
          <w:p w14:paraId="5EB6BF95" w14:textId="77777777" w:rsidR="00C861EA" w:rsidRPr="000D3DC5" w:rsidRDefault="00C861EA" w:rsidP="00B02073"/>
        </w:tc>
        <w:tc>
          <w:tcPr>
            <w:tcW w:w="5605" w:type="dxa"/>
            <w:gridSpan w:val="6"/>
          </w:tcPr>
          <w:p w14:paraId="23E0AC52" w14:textId="77777777" w:rsidR="00C861EA" w:rsidRDefault="00C861EA" w:rsidP="00B02073">
            <w:r>
              <w:t>Stock-based compensation expense</w:t>
            </w:r>
          </w:p>
        </w:tc>
        <w:tc>
          <w:tcPr>
            <w:tcW w:w="1800" w:type="dxa"/>
          </w:tcPr>
          <w:p w14:paraId="7D3F7C8F" w14:textId="22D76CF6" w:rsidR="00C861EA" w:rsidRPr="000D3DC5" w:rsidRDefault="00C861EA" w:rsidP="00B02073">
            <w:pPr>
              <w:tabs>
                <w:tab w:val="decimal" w:pos="1332"/>
                <w:tab w:val="right" w:pos="9180"/>
              </w:tabs>
            </w:pPr>
            <w:r>
              <w:tab/>
            </w:r>
            <w:r w:rsidR="006D36EF">
              <w:t>18,000</w:t>
            </w:r>
          </w:p>
        </w:tc>
        <w:tc>
          <w:tcPr>
            <w:tcW w:w="360" w:type="dxa"/>
          </w:tcPr>
          <w:p w14:paraId="079A71B0" w14:textId="77777777" w:rsidR="00C861EA" w:rsidRPr="000D3DC5" w:rsidRDefault="00C861EA" w:rsidP="00B02073">
            <w:pPr>
              <w:tabs>
                <w:tab w:val="right" w:pos="9180"/>
              </w:tabs>
            </w:pPr>
          </w:p>
        </w:tc>
        <w:tc>
          <w:tcPr>
            <w:tcW w:w="1620" w:type="dxa"/>
          </w:tcPr>
          <w:p w14:paraId="4B082A9A" w14:textId="652FBF8D" w:rsidR="00C861EA" w:rsidRPr="000D3DC5" w:rsidRDefault="00C861EA" w:rsidP="00B02073">
            <w:pPr>
              <w:tabs>
                <w:tab w:val="decimal" w:pos="1152"/>
                <w:tab w:val="right" w:pos="9180"/>
              </w:tabs>
            </w:pPr>
            <w:r>
              <w:tab/>
              <w:t>258,396</w:t>
            </w:r>
          </w:p>
        </w:tc>
      </w:tr>
      <w:tr w:rsidR="00C861EA" w:rsidRPr="000D3DC5" w14:paraId="7F27B916" w14:textId="77777777" w:rsidTr="00B02073">
        <w:tc>
          <w:tcPr>
            <w:tcW w:w="378" w:type="dxa"/>
          </w:tcPr>
          <w:p w14:paraId="15A2833C" w14:textId="77777777" w:rsidR="00C861EA" w:rsidRPr="000D3DC5" w:rsidRDefault="00C861EA" w:rsidP="00B02073"/>
        </w:tc>
        <w:tc>
          <w:tcPr>
            <w:tcW w:w="425" w:type="dxa"/>
          </w:tcPr>
          <w:p w14:paraId="16914940" w14:textId="77777777" w:rsidR="00C861EA" w:rsidRPr="000D3DC5" w:rsidRDefault="00C861EA" w:rsidP="00B02073"/>
        </w:tc>
        <w:tc>
          <w:tcPr>
            <w:tcW w:w="4050" w:type="dxa"/>
            <w:gridSpan w:val="5"/>
          </w:tcPr>
          <w:p w14:paraId="5EB3D56B" w14:textId="77777777" w:rsidR="00C861EA" w:rsidRPr="000D3DC5" w:rsidRDefault="00C861EA" w:rsidP="00B02073">
            <w:r w:rsidRPr="000D3DC5">
              <w:t>Changes in assets and liabilities:</w:t>
            </w:r>
          </w:p>
        </w:tc>
        <w:tc>
          <w:tcPr>
            <w:tcW w:w="1555" w:type="dxa"/>
          </w:tcPr>
          <w:p w14:paraId="340F5A6A" w14:textId="77777777" w:rsidR="00C861EA" w:rsidRPr="000D3DC5" w:rsidRDefault="00C861EA" w:rsidP="00B02073">
            <w:pPr>
              <w:tabs>
                <w:tab w:val="right" w:pos="9180"/>
              </w:tabs>
            </w:pPr>
          </w:p>
        </w:tc>
        <w:tc>
          <w:tcPr>
            <w:tcW w:w="1800" w:type="dxa"/>
          </w:tcPr>
          <w:p w14:paraId="4C0C679A" w14:textId="77777777" w:rsidR="00C861EA" w:rsidRPr="000D3DC5" w:rsidRDefault="00C861EA" w:rsidP="00B02073">
            <w:pPr>
              <w:tabs>
                <w:tab w:val="decimal" w:pos="1332"/>
                <w:tab w:val="right" w:pos="9180"/>
              </w:tabs>
            </w:pPr>
          </w:p>
        </w:tc>
        <w:tc>
          <w:tcPr>
            <w:tcW w:w="360" w:type="dxa"/>
          </w:tcPr>
          <w:p w14:paraId="12EF69A5" w14:textId="77777777" w:rsidR="00C861EA" w:rsidRPr="000D3DC5" w:rsidRDefault="00C861EA" w:rsidP="00B02073">
            <w:pPr>
              <w:tabs>
                <w:tab w:val="right" w:pos="9180"/>
              </w:tabs>
            </w:pPr>
          </w:p>
        </w:tc>
        <w:tc>
          <w:tcPr>
            <w:tcW w:w="1620" w:type="dxa"/>
          </w:tcPr>
          <w:p w14:paraId="05B4AB99" w14:textId="77777777" w:rsidR="00C861EA" w:rsidRPr="000D3DC5" w:rsidRDefault="00C861EA" w:rsidP="00B02073">
            <w:pPr>
              <w:tabs>
                <w:tab w:val="decimal" w:pos="1152"/>
                <w:tab w:val="right" w:pos="9180"/>
              </w:tabs>
            </w:pPr>
          </w:p>
        </w:tc>
      </w:tr>
      <w:tr w:rsidR="00C861EA" w:rsidRPr="000D3DC5" w14:paraId="27A37AD1" w14:textId="77777777" w:rsidTr="00B02073">
        <w:tc>
          <w:tcPr>
            <w:tcW w:w="378" w:type="dxa"/>
          </w:tcPr>
          <w:p w14:paraId="31F47D26" w14:textId="77777777" w:rsidR="00C861EA" w:rsidRPr="000D3DC5" w:rsidRDefault="00C861EA" w:rsidP="00B02073"/>
        </w:tc>
        <w:tc>
          <w:tcPr>
            <w:tcW w:w="425" w:type="dxa"/>
          </w:tcPr>
          <w:p w14:paraId="0B71F3E6" w14:textId="77777777" w:rsidR="00C861EA" w:rsidRPr="000D3DC5" w:rsidRDefault="00C861EA" w:rsidP="00B02073"/>
        </w:tc>
        <w:tc>
          <w:tcPr>
            <w:tcW w:w="385" w:type="dxa"/>
            <w:gridSpan w:val="2"/>
          </w:tcPr>
          <w:p w14:paraId="2DA670E8" w14:textId="77777777" w:rsidR="00C861EA" w:rsidRPr="000D3DC5" w:rsidRDefault="00C861EA" w:rsidP="00B02073"/>
        </w:tc>
        <w:tc>
          <w:tcPr>
            <w:tcW w:w="5220" w:type="dxa"/>
            <w:gridSpan w:val="4"/>
          </w:tcPr>
          <w:p w14:paraId="65465084" w14:textId="77777777" w:rsidR="00C861EA" w:rsidRPr="000D3DC5" w:rsidRDefault="00C861EA" w:rsidP="00B02073">
            <w:pPr>
              <w:tabs>
                <w:tab w:val="right" w:pos="9180"/>
              </w:tabs>
            </w:pPr>
            <w:r>
              <w:t>Grant funds and other receivables</w:t>
            </w:r>
          </w:p>
        </w:tc>
        <w:tc>
          <w:tcPr>
            <w:tcW w:w="1800" w:type="dxa"/>
          </w:tcPr>
          <w:p w14:paraId="558BC8CB" w14:textId="316CE9B5" w:rsidR="00C861EA" w:rsidRDefault="00C861EA" w:rsidP="00B02073">
            <w:pPr>
              <w:tabs>
                <w:tab w:val="decimal" w:pos="1332"/>
                <w:tab w:val="right" w:pos="9180"/>
              </w:tabs>
            </w:pPr>
            <w:r>
              <w:tab/>
            </w:r>
            <w:r w:rsidR="006D36EF">
              <w:t>(118,560)</w:t>
            </w:r>
          </w:p>
        </w:tc>
        <w:tc>
          <w:tcPr>
            <w:tcW w:w="360" w:type="dxa"/>
          </w:tcPr>
          <w:p w14:paraId="6EA302B6" w14:textId="77777777" w:rsidR="00C861EA" w:rsidRPr="000D3DC5" w:rsidRDefault="00C861EA" w:rsidP="00B02073">
            <w:pPr>
              <w:tabs>
                <w:tab w:val="right" w:pos="9180"/>
              </w:tabs>
            </w:pPr>
          </w:p>
        </w:tc>
        <w:tc>
          <w:tcPr>
            <w:tcW w:w="1620" w:type="dxa"/>
          </w:tcPr>
          <w:p w14:paraId="7EAC00B1" w14:textId="11B3E334" w:rsidR="00C861EA" w:rsidRDefault="00C861EA" w:rsidP="00B02073">
            <w:pPr>
              <w:tabs>
                <w:tab w:val="decimal" w:pos="1152"/>
                <w:tab w:val="right" w:pos="9180"/>
              </w:tabs>
            </w:pPr>
            <w:r>
              <w:tab/>
              <w:t>57,568</w:t>
            </w:r>
          </w:p>
        </w:tc>
      </w:tr>
      <w:tr w:rsidR="00C861EA" w:rsidRPr="000D3DC5" w14:paraId="29ABD804" w14:textId="77777777" w:rsidTr="00B02073">
        <w:tc>
          <w:tcPr>
            <w:tcW w:w="378" w:type="dxa"/>
          </w:tcPr>
          <w:p w14:paraId="45AB68C9" w14:textId="77777777" w:rsidR="00C861EA" w:rsidRPr="000D3DC5" w:rsidRDefault="00C861EA" w:rsidP="00B02073"/>
        </w:tc>
        <w:tc>
          <w:tcPr>
            <w:tcW w:w="425" w:type="dxa"/>
          </w:tcPr>
          <w:p w14:paraId="5BDFBE16" w14:textId="77777777" w:rsidR="00C861EA" w:rsidRPr="000D3DC5" w:rsidRDefault="00C861EA" w:rsidP="00B02073"/>
        </w:tc>
        <w:tc>
          <w:tcPr>
            <w:tcW w:w="385" w:type="dxa"/>
            <w:gridSpan w:val="2"/>
          </w:tcPr>
          <w:p w14:paraId="318C2E61" w14:textId="77777777" w:rsidR="00C861EA" w:rsidRPr="000D3DC5" w:rsidRDefault="00C861EA" w:rsidP="00B02073"/>
        </w:tc>
        <w:tc>
          <w:tcPr>
            <w:tcW w:w="5220" w:type="dxa"/>
            <w:gridSpan w:val="4"/>
          </w:tcPr>
          <w:p w14:paraId="69DC17A7" w14:textId="77777777" w:rsidR="00C861EA" w:rsidRPr="000D3DC5" w:rsidRDefault="00C861EA" w:rsidP="00B02073">
            <w:pPr>
              <w:tabs>
                <w:tab w:val="right" w:pos="9180"/>
              </w:tabs>
            </w:pPr>
            <w:r w:rsidRPr="000D3DC5">
              <w:t xml:space="preserve">Prepaid expenses </w:t>
            </w:r>
            <w:r>
              <w:t>and other current assets</w:t>
            </w:r>
          </w:p>
        </w:tc>
        <w:tc>
          <w:tcPr>
            <w:tcW w:w="1800" w:type="dxa"/>
          </w:tcPr>
          <w:p w14:paraId="3B844865" w14:textId="7B1E674A" w:rsidR="00C861EA" w:rsidRPr="000D3DC5" w:rsidRDefault="00C861EA" w:rsidP="00B02073">
            <w:pPr>
              <w:tabs>
                <w:tab w:val="decimal" w:pos="1332"/>
                <w:tab w:val="right" w:pos="9180"/>
              </w:tabs>
            </w:pPr>
            <w:r>
              <w:tab/>
            </w:r>
            <w:r w:rsidR="006D36EF">
              <w:t>54,850</w:t>
            </w:r>
          </w:p>
        </w:tc>
        <w:tc>
          <w:tcPr>
            <w:tcW w:w="360" w:type="dxa"/>
          </w:tcPr>
          <w:p w14:paraId="5CDA25A7" w14:textId="77777777" w:rsidR="00C861EA" w:rsidRPr="000D3DC5" w:rsidRDefault="00C861EA" w:rsidP="00B02073">
            <w:pPr>
              <w:tabs>
                <w:tab w:val="right" w:pos="9180"/>
              </w:tabs>
            </w:pPr>
          </w:p>
        </w:tc>
        <w:tc>
          <w:tcPr>
            <w:tcW w:w="1620" w:type="dxa"/>
          </w:tcPr>
          <w:p w14:paraId="37E36524" w14:textId="55D414D6" w:rsidR="00C861EA" w:rsidRPr="000D3DC5" w:rsidRDefault="00C861EA" w:rsidP="00B02073">
            <w:pPr>
              <w:tabs>
                <w:tab w:val="decimal" w:pos="1152"/>
                <w:tab w:val="right" w:pos="9180"/>
              </w:tabs>
            </w:pPr>
            <w:r>
              <w:tab/>
              <w:t>(30)</w:t>
            </w:r>
          </w:p>
        </w:tc>
      </w:tr>
      <w:tr w:rsidR="00C861EA" w:rsidRPr="000D3DC5" w14:paraId="378B95C9" w14:textId="77777777" w:rsidTr="00B02073">
        <w:tc>
          <w:tcPr>
            <w:tcW w:w="378" w:type="dxa"/>
          </w:tcPr>
          <w:p w14:paraId="408AE54C" w14:textId="77777777" w:rsidR="00C861EA" w:rsidRPr="000D3DC5" w:rsidRDefault="00C861EA" w:rsidP="00B02073"/>
        </w:tc>
        <w:tc>
          <w:tcPr>
            <w:tcW w:w="425" w:type="dxa"/>
          </w:tcPr>
          <w:p w14:paraId="2B8B7844" w14:textId="77777777" w:rsidR="00C861EA" w:rsidRPr="000D3DC5" w:rsidRDefault="00C861EA" w:rsidP="00B02073"/>
        </w:tc>
        <w:tc>
          <w:tcPr>
            <w:tcW w:w="385" w:type="dxa"/>
            <w:gridSpan w:val="2"/>
          </w:tcPr>
          <w:p w14:paraId="20919282" w14:textId="77777777" w:rsidR="00C861EA" w:rsidRPr="000D3DC5" w:rsidRDefault="00C861EA" w:rsidP="00B02073"/>
        </w:tc>
        <w:tc>
          <w:tcPr>
            <w:tcW w:w="5220" w:type="dxa"/>
            <w:gridSpan w:val="4"/>
          </w:tcPr>
          <w:p w14:paraId="0BAE5BD9" w14:textId="77777777" w:rsidR="00C861EA" w:rsidRPr="000D3DC5" w:rsidRDefault="00C861EA" w:rsidP="00B02073">
            <w:pPr>
              <w:tabs>
                <w:tab w:val="right" w:pos="9180"/>
              </w:tabs>
            </w:pPr>
            <w:r w:rsidRPr="000D3DC5">
              <w:t>Accounts payable and accrued expenses</w:t>
            </w:r>
          </w:p>
        </w:tc>
        <w:tc>
          <w:tcPr>
            <w:tcW w:w="1800" w:type="dxa"/>
          </w:tcPr>
          <w:p w14:paraId="3B064669" w14:textId="72FFF29B" w:rsidR="00C861EA" w:rsidRPr="000D3DC5" w:rsidRDefault="00C861EA" w:rsidP="00B02073">
            <w:pPr>
              <w:tabs>
                <w:tab w:val="decimal" w:pos="1332"/>
                <w:tab w:val="right" w:pos="9180"/>
              </w:tabs>
            </w:pPr>
            <w:r>
              <w:tab/>
            </w:r>
            <w:r w:rsidR="00EC5343">
              <w:t>164,082</w:t>
            </w:r>
          </w:p>
        </w:tc>
        <w:tc>
          <w:tcPr>
            <w:tcW w:w="360" w:type="dxa"/>
          </w:tcPr>
          <w:p w14:paraId="7AC7F4EB" w14:textId="77777777" w:rsidR="00C861EA" w:rsidRPr="000D3DC5" w:rsidRDefault="00C861EA" w:rsidP="00B02073">
            <w:pPr>
              <w:tabs>
                <w:tab w:val="right" w:pos="9180"/>
              </w:tabs>
            </w:pPr>
          </w:p>
        </w:tc>
        <w:tc>
          <w:tcPr>
            <w:tcW w:w="1620" w:type="dxa"/>
          </w:tcPr>
          <w:p w14:paraId="640BE636" w14:textId="49C1008C" w:rsidR="00C861EA" w:rsidRPr="000D3DC5" w:rsidRDefault="00C861EA" w:rsidP="00B02073">
            <w:pPr>
              <w:tabs>
                <w:tab w:val="decimal" w:pos="1152"/>
                <w:tab w:val="right" w:pos="9180"/>
              </w:tabs>
            </w:pPr>
            <w:r>
              <w:tab/>
              <w:t>262,064</w:t>
            </w:r>
          </w:p>
        </w:tc>
      </w:tr>
      <w:tr w:rsidR="00C861EA" w:rsidRPr="000D3DC5" w14:paraId="6A2D984C" w14:textId="77777777" w:rsidTr="00B02073">
        <w:tc>
          <w:tcPr>
            <w:tcW w:w="378" w:type="dxa"/>
          </w:tcPr>
          <w:p w14:paraId="00FE16A4" w14:textId="77777777" w:rsidR="00C861EA" w:rsidRPr="000D3DC5" w:rsidRDefault="00C861EA" w:rsidP="00B02073"/>
        </w:tc>
        <w:tc>
          <w:tcPr>
            <w:tcW w:w="425" w:type="dxa"/>
          </w:tcPr>
          <w:p w14:paraId="2EB74428" w14:textId="77777777" w:rsidR="00C861EA" w:rsidRPr="000D3DC5" w:rsidRDefault="00C861EA" w:rsidP="00B02073"/>
        </w:tc>
        <w:tc>
          <w:tcPr>
            <w:tcW w:w="385" w:type="dxa"/>
            <w:gridSpan w:val="2"/>
          </w:tcPr>
          <w:p w14:paraId="47BE7D50" w14:textId="77777777" w:rsidR="00C861EA" w:rsidRPr="000D3DC5" w:rsidRDefault="00C861EA" w:rsidP="00B02073"/>
        </w:tc>
        <w:tc>
          <w:tcPr>
            <w:tcW w:w="3665" w:type="dxa"/>
            <w:gridSpan w:val="3"/>
          </w:tcPr>
          <w:p w14:paraId="71DA2FAD" w14:textId="77777777" w:rsidR="00C861EA" w:rsidRPr="000D3DC5" w:rsidRDefault="00C861EA" w:rsidP="00B02073">
            <w:r w:rsidRPr="000D3DC5">
              <w:t>Total adjustments</w:t>
            </w:r>
          </w:p>
        </w:tc>
        <w:tc>
          <w:tcPr>
            <w:tcW w:w="1555" w:type="dxa"/>
          </w:tcPr>
          <w:p w14:paraId="5A63FEA0" w14:textId="77777777" w:rsidR="00C861EA" w:rsidRPr="000D3DC5" w:rsidRDefault="00C861EA" w:rsidP="00B02073">
            <w:pPr>
              <w:tabs>
                <w:tab w:val="right" w:pos="9180"/>
              </w:tabs>
            </w:pPr>
          </w:p>
        </w:tc>
        <w:tc>
          <w:tcPr>
            <w:tcW w:w="1800" w:type="dxa"/>
            <w:tcBorders>
              <w:top w:val="single" w:sz="4" w:space="0" w:color="auto"/>
              <w:bottom w:val="single" w:sz="4" w:space="0" w:color="auto"/>
            </w:tcBorders>
          </w:tcPr>
          <w:p w14:paraId="492C26DA" w14:textId="494292D9" w:rsidR="00C861EA" w:rsidRPr="000D3DC5" w:rsidRDefault="00C861EA" w:rsidP="00B02073">
            <w:pPr>
              <w:tabs>
                <w:tab w:val="decimal" w:pos="1332"/>
                <w:tab w:val="right" w:pos="9180"/>
              </w:tabs>
            </w:pPr>
            <w:r>
              <w:tab/>
            </w:r>
            <w:r w:rsidR="006012A9">
              <w:t>125,405</w:t>
            </w:r>
          </w:p>
        </w:tc>
        <w:tc>
          <w:tcPr>
            <w:tcW w:w="360" w:type="dxa"/>
          </w:tcPr>
          <w:p w14:paraId="3DDB5429" w14:textId="77777777" w:rsidR="00C861EA" w:rsidRPr="000D3DC5" w:rsidRDefault="00C861EA" w:rsidP="00B02073">
            <w:pPr>
              <w:tabs>
                <w:tab w:val="right" w:pos="9180"/>
              </w:tabs>
            </w:pPr>
          </w:p>
        </w:tc>
        <w:tc>
          <w:tcPr>
            <w:tcW w:w="1620" w:type="dxa"/>
            <w:tcBorders>
              <w:top w:val="single" w:sz="4" w:space="0" w:color="auto"/>
              <w:bottom w:val="single" w:sz="4" w:space="0" w:color="auto"/>
            </w:tcBorders>
          </w:tcPr>
          <w:p w14:paraId="22387001" w14:textId="36BB7218" w:rsidR="00C861EA" w:rsidRPr="000D3DC5" w:rsidRDefault="00C861EA" w:rsidP="00B02073">
            <w:pPr>
              <w:tabs>
                <w:tab w:val="decimal" w:pos="1152"/>
                <w:tab w:val="right" w:pos="9180"/>
              </w:tabs>
            </w:pPr>
            <w:r>
              <w:tab/>
              <w:t>581,793</w:t>
            </w:r>
          </w:p>
        </w:tc>
      </w:tr>
      <w:tr w:rsidR="00C861EA" w:rsidRPr="000D3DC5" w14:paraId="1F1AF1E3" w14:textId="77777777" w:rsidTr="00B02073">
        <w:tc>
          <w:tcPr>
            <w:tcW w:w="378" w:type="dxa"/>
          </w:tcPr>
          <w:p w14:paraId="723895D1" w14:textId="77777777" w:rsidR="00C861EA" w:rsidRPr="000D3DC5" w:rsidRDefault="00C861EA" w:rsidP="00B02073"/>
        </w:tc>
        <w:tc>
          <w:tcPr>
            <w:tcW w:w="4475" w:type="dxa"/>
            <w:gridSpan w:val="6"/>
          </w:tcPr>
          <w:p w14:paraId="7FD85694" w14:textId="77777777" w:rsidR="00C861EA" w:rsidRPr="000D3DC5" w:rsidRDefault="00C861EA" w:rsidP="00B02073">
            <w:r>
              <w:t>Net cash used in operating activities</w:t>
            </w:r>
          </w:p>
        </w:tc>
        <w:tc>
          <w:tcPr>
            <w:tcW w:w="1555" w:type="dxa"/>
          </w:tcPr>
          <w:p w14:paraId="297E5C16" w14:textId="77777777" w:rsidR="00C861EA" w:rsidRPr="000D3DC5" w:rsidRDefault="00C861EA" w:rsidP="00B02073">
            <w:pPr>
              <w:tabs>
                <w:tab w:val="right" w:pos="9180"/>
              </w:tabs>
            </w:pPr>
          </w:p>
        </w:tc>
        <w:tc>
          <w:tcPr>
            <w:tcW w:w="1800" w:type="dxa"/>
            <w:tcBorders>
              <w:top w:val="single" w:sz="4" w:space="0" w:color="auto"/>
            </w:tcBorders>
          </w:tcPr>
          <w:p w14:paraId="6F9F7641" w14:textId="52A0FDC1" w:rsidR="00C861EA" w:rsidRDefault="00C861EA" w:rsidP="00B02073">
            <w:pPr>
              <w:tabs>
                <w:tab w:val="decimal" w:pos="1332"/>
                <w:tab w:val="right" w:pos="9180"/>
              </w:tabs>
            </w:pPr>
            <w:r>
              <w:tab/>
            </w:r>
            <w:r w:rsidR="006D36EF">
              <w:t>(9</w:t>
            </w:r>
            <w:r w:rsidR="006012A9">
              <w:t>2</w:t>
            </w:r>
            <w:r w:rsidR="006D36EF">
              <w:t>5,493)</w:t>
            </w:r>
          </w:p>
        </w:tc>
        <w:tc>
          <w:tcPr>
            <w:tcW w:w="360" w:type="dxa"/>
          </w:tcPr>
          <w:p w14:paraId="538899A4" w14:textId="77777777" w:rsidR="00C861EA" w:rsidRPr="000D3DC5" w:rsidRDefault="00C861EA" w:rsidP="00B02073">
            <w:pPr>
              <w:tabs>
                <w:tab w:val="right" w:pos="9180"/>
              </w:tabs>
            </w:pPr>
          </w:p>
        </w:tc>
        <w:tc>
          <w:tcPr>
            <w:tcW w:w="1620" w:type="dxa"/>
            <w:tcBorders>
              <w:top w:val="single" w:sz="4" w:space="0" w:color="auto"/>
            </w:tcBorders>
          </w:tcPr>
          <w:p w14:paraId="3A7B1680" w14:textId="373779B1" w:rsidR="00C861EA" w:rsidRDefault="00C861EA" w:rsidP="00B02073">
            <w:pPr>
              <w:tabs>
                <w:tab w:val="decimal" w:pos="1152"/>
                <w:tab w:val="right" w:pos="9180"/>
              </w:tabs>
            </w:pPr>
            <w:r>
              <w:tab/>
              <w:t>(773,809)</w:t>
            </w:r>
          </w:p>
        </w:tc>
      </w:tr>
      <w:tr w:rsidR="00C861EA" w:rsidRPr="000D3DC5" w14:paraId="7344665C" w14:textId="77777777" w:rsidTr="00B02073">
        <w:tc>
          <w:tcPr>
            <w:tcW w:w="378" w:type="dxa"/>
          </w:tcPr>
          <w:p w14:paraId="67BE4C95" w14:textId="77777777" w:rsidR="00C861EA" w:rsidRPr="000D3DC5" w:rsidRDefault="00C861EA" w:rsidP="00B02073"/>
        </w:tc>
        <w:tc>
          <w:tcPr>
            <w:tcW w:w="425" w:type="dxa"/>
          </w:tcPr>
          <w:p w14:paraId="0A8CD609" w14:textId="77777777" w:rsidR="00C861EA" w:rsidRPr="000D3DC5" w:rsidRDefault="00C861EA" w:rsidP="00B02073"/>
        </w:tc>
        <w:tc>
          <w:tcPr>
            <w:tcW w:w="789" w:type="dxa"/>
            <w:gridSpan w:val="3"/>
          </w:tcPr>
          <w:p w14:paraId="57FBCBF1" w14:textId="77777777" w:rsidR="00C861EA" w:rsidRPr="000D3DC5" w:rsidRDefault="00C861EA" w:rsidP="00B02073"/>
        </w:tc>
        <w:tc>
          <w:tcPr>
            <w:tcW w:w="620" w:type="dxa"/>
          </w:tcPr>
          <w:p w14:paraId="71CBD0FD" w14:textId="77777777" w:rsidR="00C861EA" w:rsidRPr="000D3DC5" w:rsidRDefault="00C861EA" w:rsidP="00B02073"/>
        </w:tc>
        <w:tc>
          <w:tcPr>
            <w:tcW w:w="2641" w:type="dxa"/>
          </w:tcPr>
          <w:p w14:paraId="331D5E17" w14:textId="77777777" w:rsidR="00C861EA" w:rsidRPr="000D3DC5" w:rsidRDefault="00C861EA" w:rsidP="00B02073"/>
        </w:tc>
        <w:tc>
          <w:tcPr>
            <w:tcW w:w="1555" w:type="dxa"/>
          </w:tcPr>
          <w:p w14:paraId="08AF6CA7" w14:textId="77777777" w:rsidR="00C861EA" w:rsidRPr="000D3DC5" w:rsidRDefault="00C861EA" w:rsidP="00B02073">
            <w:pPr>
              <w:tabs>
                <w:tab w:val="right" w:pos="9180"/>
              </w:tabs>
            </w:pPr>
          </w:p>
        </w:tc>
        <w:tc>
          <w:tcPr>
            <w:tcW w:w="1800" w:type="dxa"/>
          </w:tcPr>
          <w:p w14:paraId="4CE80368" w14:textId="77777777" w:rsidR="00C861EA" w:rsidRPr="000D3DC5" w:rsidRDefault="00C861EA" w:rsidP="00B02073">
            <w:pPr>
              <w:tabs>
                <w:tab w:val="decimal" w:pos="1044"/>
                <w:tab w:val="decimal" w:pos="1332"/>
                <w:tab w:val="right" w:pos="9180"/>
              </w:tabs>
            </w:pPr>
          </w:p>
        </w:tc>
        <w:tc>
          <w:tcPr>
            <w:tcW w:w="360" w:type="dxa"/>
          </w:tcPr>
          <w:p w14:paraId="7BD78438" w14:textId="77777777" w:rsidR="00C861EA" w:rsidRPr="000D3DC5" w:rsidRDefault="00C861EA" w:rsidP="00B02073">
            <w:pPr>
              <w:tabs>
                <w:tab w:val="right" w:pos="9180"/>
              </w:tabs>
            </w:pPr>
          </w:p>
        </w:tc>
        <w:tc>
          <w:tcPr>
            <w:tcW w:w="1620" w:type="dxa"/>
          </w:tcPr>
          <w:p w14:paraId="15F85793" w14:textId="77777777" w:rsidR="00C861EA" w:rsidRPr="000D3DC5" w:rsidRDefault="00C861EA" w:rsidP="00B02073">
            <w:pPr>
              <w:tabs>
                <w:tab w:val="decimal" w:pos="1044"/>
                <w:tab w:val="right" w:pos="9180"/>
              </w:tabs>
            </w:pPr>
          </w:p>
        </w:tc>
      </w:tr>
      <w:tr w:rsidR="00C861EA" w:rsidRPr="000D3DC5" w14:paraId="30420BF0" w14:textId="77777777" w:rsidTr="00B02073">
        <w:tc>
          <w:tcPr>
            <w:tcW w:w="4853" w:type="dxa"/>
            <w:gridSpan w:val="7"/>
          </w:tcPr>
          <w:p w14:paraId="2217CDF6" w14:textId="77777777" w:rsidR="00C861EA" w:rsidRPr="000D3DC5" w:rsidRDefault="00C861EA" w:rsidP="00B02073">
            <w:r w:rsidRPr="000D3DC5">
              <w:t>Cash flows from investing activities:</w:t>
            </w:r>
          </w:p>
        </w:tc>
        <w:tc>
          <w:tcPr>
            <w:tcW w:w="1555" w:type="dxa"/>
          </w:tcPr>
          <w:p w14:paraId="064517A2" w14:textId="77777777" w:rsidR="00C861EA" w:rsidRPr="000D3DC5" w:rsidRDefault="00C861EA" w:rsidP="00B02073">
            <w:pPr>
              <w:tabs>
                <w:tab w:val="right" w:pos="9180"/>
              </w:tabs>
            </w:pPr>
          </w:p>
        </w:tc>
        <w:tc>
          <w:tcPr>
            <w:tcW w:w="1800" w:type="dxa"/>
          </w:tcPr>
          <w:p w14:paraId="23A85D59" w14:textId="77777777" w:rsidR="00C861EA" w:rsidRPr="000D3DC5" w:rsidRDefault="00C861EA" w:rsidP="00B02073">
            <w:pPr>
              <w:tabs>
                <w:tab w:val="decimal" w:pos="1044"/>
                <w:tab w:val="decimal" w:pos="1332"/>
                <w:tab w:val="right" w:pos="9180"/>
              </w:tabs>
            </w:pPr>
          </w:p>
        </w:tc>
        <w:tc>
          <w:tcPr>
            <w:tcW w:w="360" w:type="dxa"/>
          </w:tcPr>
          <w:p w14:paraId="0D11DB5A" w14:textId="77777777" w:rsidR="00C861EA" w:rsidRPr="000D3DC5" w:rsidRDefault="00C861EA" w:rsidP="00B02073">
            <w:pPr>
              <w:tabs>
                <w:tab w:val="right" w:pos="9180"/>
              </w:tabs>
            </w:pPr>
          </w:p>
        </w:tc>
        <w:tc>
          <w:tcPr>
            <w:tcW w:w="1620" w:type="dxa"/>
          </w:tcPr>
          <w:p w14:paraId="0118D222" w14:textId="77777777" w:rsidR="00C861EA" w:rsidRPr="000D3DC5" w:rsidRDefault="00C861EA" w:rsidP="00B02073">
            <w:pPr>
              <w:tabs>
                <w:tab w:val="decimal" w:pos="1044"/>
                <w:tab w:val="right" w:pos="9180"/>
              </w:tabs>
              <w:ind w:right="-18"/>
            </w:pPr>
          </w:p>
        </w:tc>
      </w:tr>
      <w:tr w:rsidR="00C861EA" w:rsidRPr="000D3DC5" w14:paraId="51459B23" w14:textId="77777777" w:rsidTr="00B02073">
        <w:tc>
          <w:tcPr>
            <w:tcW w:w="378" w:type="dxa"/>
          </w:tcPr>
          <w:p w14:paraId="70D0C8C2" w14:textId="77777777" w:rsidR="00C861EA" w:rsidRPr="000D3DC5" w:rsidRDefault="00C861EA" w:rsidP="00B02073"/>
        </w:tc>
        <w:tc>
          <w:tcPr>
            <w:tcW w:w="4475" w:type="dxa"/>
            <w:gridSpan w:val="6"/>
          </w:tcPr>
          <w:p w14:paraId="14B2A644" w14:textId="77777777" w:rsidR="00C861EA" w:rsidRPr="000D3DC5" w:rsidRDefault="00C861EA" w:rsidP="00B02073">
            <w:r w:rsidRPr="000D3DC5">
              <w:t>Purchase of property and equipment</w:t>
            </w:r>
          </w:p>
        </w:tc>
        <w:tc>
          <w:tcPr>
            <w:tcW w:w="1555" w:type="dxa"/>
          </w:tcPr>
          <w:p w14:paraId="24A12A3D" w14:textId="77777777" w:rsidR="00C861EA" w:rsidRPr="000D3DC5" w:rsidRDefault="00C861EA" w:rsidP="00B02073">
            <w:pPr>
              <w:tabs>
                <w:tab w:val="right" w:pos="9180"/>
              </w:tabs>
            </w:pPr>
          </w:p>
        </w:tc>
        <w:tc>
          <w:tcPr>
            <w:tcW w:w="1800" w:type="dxa"/>
            <w:tcBorders>
              <w:bottom w:val="single" w:sz="4" w:space="0" w:color="auto"/>
            </w:tcBorders>
          </w:tcPr>
          <w:p w14:paraId="55DE2E17" w14:textId="7C0612B5" w:rsidR="00C861EA" w:rsidRPr="000D3DC5" w:rsidRDefault="00C861EA" w:rsidP="00B02073">
            <w:pPr>
              <w:tabs>
                <w:tab w:val="decimal" w:pos="1332"/>
                <w:tab w:val="right" w:pos="9180"/>
              </w:tabs>
            </w:pPr>
            <w:r>
              <w:tab/>
            </w:r>
            <w:r w:rsidR="006D36EF">
              <w:t>-</w:t>
            </w:r>
          </w:p>
        </w:tc>
        <w:tc>
          <w:tcPr>
            <w:tcW w:w="360" w:type="dxa"/>
          </w:tcPr>
          <w:p w14:paraId="479B1095" w14:textId="77777777" w:rsidR="00C861EA" w:rsidRPr="000D3DC5" w:rsidRDefault="00C861EA" w:rsidP="00B02073">
            <w:pPr>
              <w:tabs>
                <w:tab w:val="right" w:pos="9180"/>
              </w:tabs>
            </w:pPr>
          </w:p>
        </w:tc>
        <w:tc>
          <w:tcPr>
            <w:tcW w:w="1620" w:type="dxa"/>
            <w:tcBorders>
              <w:bottom w:val="single" w:sz="4" w:space="0" w:color="auto"/>
            </w:tcBorders>
          </w:tcPr>
          <w:p w14:paraId="22D7F102" w14:textId="59680B80" w:rsidR="00C861EA" w:rsidRPr="000D3DC5" w:rsidRDefault="00C861EA" w:rsidP="00B02073">
            <w:pPr>
              <w:tabs>
                <w:tab w:val="decimal" w:pos="1152"/>
                <w:tab w:val="right" w:pos="9180"/>
              </w:tabs>
            </w:pPr>
            <w:r>
              <w:tab/>
              <w:t>(4,272)</w:t>
            </w:r>
          </w:p>
        </w:tc>
      </w:tr>
      <w:tr w:rsidR="00C861EA" w:rsidRPr="000D3DC5" w14:paraId="6ACF03D4" w14:textId="77777777" w:rsidTr="00B02073">
        <w:tc>
          <w:tcPr>
            <w:tcW w:w="378" w:type="dxa"/>
          </w:tcPr>
          <w:p w14:paraId="765D7D81" w14:textId="77777777" w:rsidR="00C861EA" w:rsidRPr="000D3DC5" w:rsidRDefault="00C861EA" w:rsidP="00B02073"/>
        </w:tc>
        <w:tc>
          <w:tcPr>
            <w:tcW w:w="4475" w:type="dxa"/>
            <w:gridSpan w:val="6"/>
          </w:tcPr>
          <w:p w14:paraId="7BA4BE5D" w14:textId="77777777" w:rsidR="00C861EA" w:rsidRPr="000D3DC5" w:rsidRDefault="00C861EA" w:rsidP="00B02073">
            <w:r>
              <w:t>Net cash used in investing activities</w:t>
            </w:r>
          </w:p>
        </w:tc>
        <w:tc>
          <w:tcPr>
            <w:tcW w:w="1555" w:type="dxa"/>
          </w:tcPr>
          <w:p w14:paraId="7A27E367" w14:textId="77777777" w:rsidR="00C861EA" w:rsidRPr="000D3DC5" w:rsidRDefault="00C861EA" w:rsidP="00B02073">
            <w:pPr>
              <w:tabs>
                <w:tab w:val="right" w:pos="9180"/>
              </w:tabs>
            </w:pPr>
          </w:p>
        </w:tc>
        <w:tc>
          <w:tcPr>
            <w:tcW w:w="1800" w:type="dxa"/>
          </w:tcPr>
          <w:p w14:paraId="674BDCBA" w14:textId="2834874B" w:rsidR="00C861EA" w:rsidRDefault="00C861EA" w:rsidP="00B02073">
            <w:pPr>
              <w:tabs>
                <w:tab w:val="decimal" w:pos="1332"/>
                <w:tab w:val="right" w:pos="9180"/>
              </w:tabs>
            </w:pPr>
            <w:r>
              <w:tab/>
            </w:r>
            <w:r w:rsidR="006D36EF">
              <w:t>-</w:t>
            </w:r>
          </w:p>
        </w:tc>
        <w:tc>
          <w:tcPr>
            <w:tcW w:w="360" w:type="dxa"/>
          </w:tcPr>
          <w:p w14:paraId="645FC494" w14:textId="77777777" w:rsidR="00C861EA" w:rsidRPr="000D3DC5" w:rsidRDefault="00C861EA" w:rsidP="00B02073">
            <w:pPr>
              <w:tabs>
                <w:tab w:val="right" w:pos="9180"/>
              </w:tabs>
            </w:pPr>
          </w:p>
        </w:tc>
        <w:tc>
          <w:tcPr>
            <w:tcW w:w="1620" w:type="dxa"/>
            <w:tcBorders>
              <w:top w:val="single" w:sz="4" w:space="0" w:color="auto"/>
            </w:tcBorders>
          </w:tcPr>
          <w:p w14:paraId="49054904" w14:textId="4CEACD3B" w:rsidR="00C861EA" w:rsidRDefault="00C861EA" w:rsidP="00B02073">
            <w:pPr>
              <w:tabs>
                <w:tab w:val="decimal" w:pos="1152"/>
                <w:tab w:val="right" w:pos="9180"/>
              </w:tabs>
            </w:pPr>
            <w:r>
              <w:tab/>
              <w:t>(4,272)</w:t>
            </w:r>
          </w:p>
        </w:tc>
      </w:tr>
      <w:tr w:rsidR="00C861EA" w:rsidRPr="000D3DC5" w14:paraId="3FA1DD8B" w14:textId="77777777" w:rsidTr="00B02073">
        <w:tc>
          <w:tcPr>
            <w:tcW w:w="378" w:type="dxa"/>
          </w:tcPr>
          <w:p w14:paraId="22D2D301" w14:textId="77777777" w:rsidR="00C861EA" w:rsidRPr="000D3DC5" w:rsidRDefault="00C861EA" w:rsidP="00B02073"/>
        </w:tc>
        <w:tc>
          <w:tcPr>
            <w:tcW w:w="425" w:type="dxa"/>
          </w:tcPr>
          <w:p w14:paraId="0CF591ED" w14:textId="77777777" w:rsidR="00C861EA" w:rsidRPr="000D3DC5" w:rsidRDefault="00C861EA" w:rsidP="00B02073"/>
        </w:tc>
        <w:tc>
          <w:tcPr>
            <w:tcW w:w="789" w:type="dxa"/>
            <w:gridSpan w:val="3"/>
          </w:tcPr>
          <w:p w14:paraId="43EBEC4B" w14:textId="77777777" w:rsidR="00C861EA" w:rsidRPr="000D3DC5" w:rsidRDefault="00C861EA" w:rsidP="00B02073"/>
        </w:tc>
        <w:tc>
          <w:tcPr>
            <w:tcW w:w="620" w:type="dxa"/>
          </w:tcPr>
          <w:p w14:paraId="4CD4BFC1" w14:textId="77777777" w:rsidR="00C861EA" w:rsidRPr="000D3DC5" w:rsidRDefault="00C861EA" w:rsidP="00B02073"/>
        </w:tc>
        <w:tc>
          <w:tcPr>
            <w:tcW w:w="2641" w:type="dxa"/>
          </w:tcPr>
          <w:p w14:paraId="18CD2608" w14:textId="77777777" w:rsidR="00C861EA" w:rsidRPr="000D3DC5" w:rsidRDefault="00C861EA" w:rsidP="00B02073"/>
        </w:tc>
        <w:tc>
          <w:tcPr>
            <w:tcW w:w="1555" w:type="dxa"/>
          </w:tcPr>
          <w:p w14:paraId="1138CF5C" w14:textId="77777777" w:rsidR="00C861EA" w:rsidRPr="000D3DC5" w:rsidRDefault="00C861EA" w:rsidP="00B02073">
            <w:pPr>
              <w:tabs>
                <w:tab w:val="right" w:pos="9180"/>
              </w:tabs>
            </w:pPr>
          </w:p>
        </w:tc>
        <w:tc>
          <w:tcPr>
            <w:tcW w:w="1800" w:type="dxa"/>
          </w:tcPr>
          <w:p w14:paraId="4B77B6B7" w14:textId="77777777" w:rsidR="00C861EA" w:rsidRPr="000D3DC5" w:rsidRDefault="00C861EA" w:rsidP="00B02073">
            <w:pPr>
              <w:tabs>
                <w:tab w:val="decimal" w:pos="1044"/>
                <w:tab w:val="decimal" w:pos="1332"/>
                <w:tab w:val="right" w:pos="9180"/>
              </w:tabs>
            </w:pPr>
          </w:p>
        </w:tc>
        <w:tc>
          <w:tcPr>
            <w:tcW w:w="360" w:type="dxa"/>
          </w:tcPr>
          <w:p w14:paraId="4AA97075" w14:textId="77777777" w:rsidR="00C861EA" w:rsidRPr="000D3DC5" w:rsidRDefault="00C861EA" w:rsidP="00B02073">
            <w:pPr>
              <w:tabs>
                <w:tab w:val="right" w:pos="9180"/>
              </w:tabs>
            </w:pPr>
          </w:p>
        </w:tc>
        <w:tc>
          <w:tcPr>
            <w:tcW w:w="1620" w:type="dxa"/>
          </w:tcPr>
          <w:p w14:paraId="614C1A82" w14:textId="77777777" w:rsidR="00C861EA" w:rsidRPr="000D3DC5" w:rsidRDefault="00C861EA" w:rsidP="00B02073">
            <w:pPr>
              <w:tabs>
                <w:tab w:val="decimal" w:pos="1044"/>
                <w:tab w:val="right" w:pos="9180"/>
              </w:tabs>
            </w:pPr>
          </w:p>
        </w:tc>
      </w:tr>
      <w:tr w:rsidR="00C861EA" w:rsidRPr="000D3DC5" w14:paraId="08837765" w14:textId="77777777" w:rsidTr="00B02073">
        <w:tc>
          <w:tcPr>
            <w:tcW w:w="4853" w:type="dxa"/>
            <w:gridSpan w:val="7"/>
          </w:tcPr>
          <w:p w14:paraId="3FBD020D" w14:textId="77777777" w:rsidR="00C861EA" w:rsidRPr="000D3DC5" w:rsidRDefault="00C861EA" w:rsidP="00B02073">
            <w:r w:rsidRPr="000D3DC5">
              <w:t>Cash flows from financing activities:</w:t>
            </w:r>
          </w:p>
        </w:tc>
        <w:tc>
          <w:tcPr>
            <w:tcW w:w="1555" w:type="dxa"/>
          </w:tcPr>
          <w:p w14:paraId="51047D6B" w14:textId="77777777" w:rsidR="00C861EA" w:rsidRPr="000D3DC5" w:rsidRDefault="00C861EA" w:rsidP="00B02073">
            <w:pPr>
              <w:tabs>
                <w:tab w:val="right" w:pos="9180"/>
              </w:tabs>
            </w:pPr>
          </w:p>
        </w:tc>
        <w:tc>
          <w:tcPr>
            <w:tcW w:w="1800" w:type="dxa"/>
          </w:tcPr>
          <w:p w14:paraId="344C63C3" w14:textId="77777777" w:rsidR="00C861EA" w:rsidRPr="000D3DC5" w:rsidRDefault="00C861EA" w:rsidP="00B02073">
            <w:pPr>
              <w:tabs>
                <w:tab w:val="decimal" w:pos="1044"/>
                <w:tab w:val="decimal" w:pos="1332"/>
                <w:tab w:val="right" w:pos="9180"/>
              </w:tabs>
            </w:pPr>
          </w:p>
        </w:tc>
        <w:tc>
          <w:tcPr>
            <w:tcW w:w="360" w:type="dxa"/>
          </w:tcPr>
          <w:p w14:paraId="719C0D46" w14:textId="77777777" w:rsidR="00C861EA" w:rsidRPr="000D3DC5" w:rsidRDefault="00C861EA" w:rsidP="00B02073">
            <w:pPr>
              <w:tabs>
                <w:tab w:val="right" w:pos="9180"/>
              </w:tabs>
            </w:pPr>
          </w:p>
        </w:tc>
        <w:tc>
          <w:tcPr>
            <w:tcW w:w="1620" w:type="dxa"/>
          </w:tcPr>
          <w:p w14:paraId="0AB623AE" w14:textId="77777777" w:rsidR="00C861EA" w:rsidRPr="000D3DC5" w:rsidRDefault="00C861EA" w:rsidP="00B02073">
            <w:pPr>
              <w:tabs>
                <w:tab w:val="decimal" w:pos="1044"/>
                <w:tab w:val="right" w:pos="9180"/>
              </w:tabs>
            </w:pPr>
          </w:p>
        </w:tc>
      </w:tr>
      <w:tr w:rsidR="00C861EA" w:rsidRPr="000D3DC5" w14:paraId="75A47931" w14:textId="77777777" w:rsidTr="00B02073">
        <w:tc>
          <w:tcPr>
            <w:tcW w:w="378" w:type="dxa"/>
          </w:tcPr>
          <w:p w14:paraId="36882579" w14:textId="77777777" w:rsidR="00C861EA" w:rsidRPr="000D3DC5" w:rsidRDefault="00C861EA" w:rsidP="00B02073">
            <w:bookmarkStart w:id="11" w:name="_Hlk511051769"/>
          </w:p>
        </w:tc>
        <w:tc>
          <w:tcPr>
            <w:tcW w:w="4475" w:type="dxa"/>
            <w:gridSpan w:val="6"/>
          </w:tcPr>
          <w:p w14:paraId="20126D3F" w14:textId="77777777" w:rsidR="00C861EA" w:rsidRPr="000D3DC5" w:rsidRDefault="00C861EA" w:rsidP="00B02073">
            <w:r>
              <w:t>Net proceeds from sale of preferred stock</w:t>
            </w:r>
          </w:p>
        </w:tc>
        <w:tc>
          <w:tcPr>
            <w:tcW w:w="1555" w:type="dxa"/>
          </w:tcPr>
          <w:p w14:paraId="7DF5DF00" w14:textId="77777777" w:rsidR="00C861EA" w:rsidRPr="000D3DC5" w:rsidRDefault="00C861EA" w:rsidP="00B02073">
            <w:pPr>
              <w:tabs>
                <w:tab w:val="right" w:pos="9180"/>
              </w:tabs>
            </w:pPr>
          </w:p>
        </w:tc>
        <w:tc>
          <w:tcPr>
            <w:tcW w:w="1800" w:type="dxa"/>
          </w:tcPr>
          <w:p w14:paraId="5C791063" w14:textId="39A1F0C1" w:rsidR="00C861EA" w:rsidRDefault="00C861EA" w:rsidP="00B02073">
            <w:pPr>
              <w:tabs>
                <w:tab w:val="decimal" w:pos="1332"/>
                <w:tab w:val="right" w:pos="9180"/>
              </w:tabs>
            </w:pPr>
            <w:r>
              <w:tab/>
            </w:r>
            <w:r w:rsidR="006D36EF">
              <w:t>300,000</w:t>
            </w:r>
          </w:p>
        </w:tc>
        <w:tc>
          <w:tcPr>
            <w:tcW w:w="360" w:type="dxa"/>
          </w:tcPr>
          <w:p w14:paraId="2B769CE1" w14:textId="77777777" w:rsidR="00C861EA" w:rsidRPr="000D3DC5" w:rsidRDefault="00C861EA" w:rsidP="00B02073">
            <w:pPr>
              <w:pStyle w:val="ListParagraph"/>
              <w:numPr>
                <w:ilvl w:val="0"/>
                <w:numId w:val="6"/>
              </w:numPr>
              <w:tabs>
                <w:tab w:val="right" w:pos="9180"/>
              </w:tabs>
            </w:pPr>
          </w:p>
        </w:tc>
        <w:tc>
          <w:tcPr>
            <w:tcW w:w="1620" w:type="dxa"/>
          </w:tcPr>
          <w:p w14:paraId="006D2155" w14:textId="74B36715" w:rsidR="00C861EA" w:rsidRDefault="00C861EA" w:rsidP="00B02073">
            <w:pPr>
              <w:tabs>
                <w:tab w:val="decimal" w:pos="1152"/>
                <w:tab w:val="right" w:pos="9180"/>
              </w:tabs>
            </w:pPr>
            <w:r>
              <w:tab/>
              <w:t>740,000</w:t>
            </w:r>
          </w:p>
        </w:tc>
      </w:tr>
      <w:tr w:rsidR="00C861EA" w:rsidRPr="000D3DC5" w14:paraId="5FDD3450" w14:textId="77777777" w:rsidTr="00B02073">
        <w:tc>
          <w:tcPr>
            <w:tcW w:w="378" w:type="dxa"/>
          </w:tcPr>
          <w:p w14:paraId="41CA394C" w14:textId="77777777" w:rsidR="00C861EA" w:rsidRPr="000D3DC5" w:rsidRDefault="00C861EA" w:rsidP="00B02073"/>
        </w:tc>
        <w:tc>
          <w:tcPr>
            <w:tcW w:w="4475" w:type="dxa"/>
            <w:gridSpan w:val="6"/>
          </w:tcPr>
          <w:p w14:paraId="0604FE97" w14:textId="69FB8CF1" w:rsidR="00C861EA" w:rsidRDefault="006D36EF" w:rsidP="00B02073">
            <w:r>
              <w:t>Net p</w:t>
            </w:r>
            <w:r w:rsidR="00C861EA">
              <w:t>roceeds from issuance of note payable</w:t>
            </w:r>
          </w:p>
        </w:tc>
        <w:tc>
          <w:tcPr>
            <w:tcW w:w="1555" w:type="dxa"/>
          </w:tcPr>
          <w:p w14:paraId="08A7A281" w14:textId="77777777" w:rsidR="00C861EA" w:rsidRPr="000D3DC5" w:rsidRDefault="00C861EA" w:rsidP="00B02073">
            <w:pPr>
              <w:tabs>
                <w:tab w:val="right" w:pos="9180"/>
              </w:tabs>
            </w:pPr>
          </w:p>
        </w:tc>
        <w:tc>
          <w:tcPr>
            <w:tcW w:w="1800" w:type="dxa"/>
          </w:tcPr>
          <w:p w14:paraId="2211D275" w14:textId="3ED85897" w:rsidR="00C861EA" w:rsidRDefault="00C861EA" w:rsidP="00B02073">
            <w:pPr>
              <w:tabs>
                <w:tab w:val="decimal" w:pos="1332"/>
                <w:tab w:val="right" w:pos="9180"/>
              </w:tabs>
            </w:pPr>
            <w:r>
              <w:tab/>
            </w:r>
            <w:r w:rsidR="006D36EF">
              <w:t>170,200</w:t>
            </w:r>
          </w:p>
        </w:tc>
        <w:tc>
          <w:tcPr>
            <w:tcW w:w="360" w:type="dxa"/>
          </w:tcPr>
          <w:p w14:paraId="20C390B2" w14:textId="77777777" w:rsidR="00C861EA" w:rsidRPr="000D3DC5" w:rsidRDefault="00C861EA" w:rsidP="00B02073">
            <w:pPr>
              <w:pStyle w:val="ListParagraph"/>
              <w:numPr>
                <w:ilvl w:val="0"/>
                <w:numId w:val="6"/>
              </w:numPr>
              <w:tabs>
                <w:tab w:val="right" w:pos="9180"/>
              </w:tabs>
            </w:pPr>
          </w:p>
        </w:tc>
        <w:tc>
          <w:tcPr>
            <w:tcW w:w="1620" w:type="dxa"/>
          </w:tcPr>
          <w:p w14:paraId="0992CD5E" w14:textId="78DF760E" w:rsidR="00C861EA" w:rsidRDefault="00C861EA" w:rsidP="00B02073">
            <w:pPr>
              <w:tabs>
                <w:tab w:val="decimal" w:pos="1152"/>
                <w:tab w:val="right" w:pos="9180"/>
              </w:tabs>
            </w:pPr>
            <w:r>
              <w:tab/>
              <w:t>-</w:t>
            </w:r>
          </w:p>
        </w:tc>
      </w:tr>
      <w:tr w:rsidR="006D36EF" w:rsidRPr="000D3DC5" w14:paraId="5BE70C3A" w14:textId="77777777" w:rsidTr="00B02073">
        <w:tc>
          <w:tcPr>
            <w:tcW w:w="378" w:type="dxa"/>
          </w:tcPr>
          <w:p w14:paraId="5AE10638" w14:textId="77777777" w:rsidR="006D36EF" w:rsidRPr="000D3DC5" w:rsidRDefault="006D36EF" w:rsidP="00B02073"/>
        </w:tc>
        <w:tc>
          <w:tcPr>
            <w:tcW w:w="4475" w:type="dxa"/>
            <w:gridSpan w:val="6"/>
          </w:tcPr>
          <w:p w14:paraId="05B86A04" w14:textId="1E897B7C" w:rsidR="006D36EF" w:rsidRPr="008B4164" w:rsidRDefault="006D36EF" w:rsidP="00B02073">
            <w:r w:rsidRPr="008B4164">
              <w:t>Net proceeds from bridge financing</w:t>
            </w:r>
          </w:p>
        </w:tc>
        <w:tc>
          <w:tcPr>
            <w:tcW w:w="1555" w:type="dxa"/>
          </w:tcPr>
          <w:p w14:paraId="0EC7BC80" w14:textId="77777777" w:rsidR="006D36EF" w:rsidRPr="008B4164" w:rsidRDefault="006D36EF" w:rsidP="00B02073">
            <w:pPr>
              <w:tabs>
                <w:tab w:val="right" w:pos="9180"/>
              </w:tabs>
            </w:pPr>
          </w:p>
        </w:tc>
        <w:tc>
          <w:tcPr>
            <w:tcW w:w="1800" w:type="dxa"/>
          </w:tcPr>
          <w:p w14:paraId="1F9731F3" w14:textId="6A0B38F6" w:rsidR="006D36EF" w:rsidRPr="008B4164" w:rsidRDefault="006D36EF" w:rsidP="00B02073">
            <w:pPr>
              <w:tabs>
                <w:tab w:val="decimal" w:pos="1332"/>
                <w:tab w:val="right" w:pos="9180"/>
              </w:tabs>
            </w:pPr>
            <w:r w:rsidRPr="008B4164">
              <w:tab/>
            </w:r>
            <w:r w:rsidR="00F46637">
              <w:t>8</w:t>
            </w:r>
            <w:r w:rsidR="006012A9">
              <w:t>88</w:t>
            </w:r>
            <w:r w:rsidRPr="008B4164">
              <w:t>,500</w:t>
            </w:r>
          </w:p>
        </w:tc>
        <w:tc>
          <w:tcPr>
            <w:tcW w:w="360" w:type="dxa"/>
          </w:tcPr>
          <w:p w14:paraId="0663FAA4" w14:textId="77777777" w:rsidR="006D36EF" w:rsidRPr="008B4164" w:rsidRDefault="006D36EF" w:rsidP="00B02073">
            <w:pPr>
              <w:pStyle w:val="ListParagraph"/>
              <w:numPr>
                <w:ilvl w:val="0"/>
                <w:numId w:val="6"/>
              </w:numPr>
              <w:tabs>
                <w:tab w:val="right" w:pos="9180"/>
              </w:tabs>
            </w:pPr>
          </w:p>
        </w:tc>
        <w:tc>
          <w:tcPr>
            <w:tcW w:w="1620" w:type="dxa"/>
          </w:tcPr>
          <w:p w14:paraId="4493245E" w14:textId="44C13046" w:rsidR="006D36EF" w:rsidRDefault="006D36EF" w:rsidP="00B02073">
            <w:pPr>
              <w:tabs>
                <w:tab w:val="decimal" w:pos="1152"/>
                <w:tab w:val="right" w:pos="9180"/>
              </w:tabs>
            </w:pPr>
            <w:r w:rsidRPr="008B4164">
              <w:tab/>
              <w:t>-</w:t>
            </w:r>
          </w:p>
        </w:tc>
      </w:tr>
      <w:bookmarkEnd w:id="11"/>
      <w:tr w:rsidR="00C861EA" w:rsidRPr="000D3DC5" w14:paraId="6DF4005E" w14:textId="77777777" w:rsidTr="00B02073">
        <w:tc>
          <w:tcPr>
            <w:tcW w:w="378" w:type="dxa"/>
          </w:tcPr>
          <w:p w14:paraId="442CBE80" w14:textId="77777777" w:rsidR="00C861EA" w:rsidRPr="000D3DC5" w:rsidRDefault="00C861EA" w:rsidP="00B02073"/>
        </w:tc>
        <w:tc>
          <w:tcPr>
            <w:tcW w:w="4475" w:type="dxa"/>
            <w:gridSpan w:val="6"/>
          </w:tcPr>
          <w:p w14:paraId="0394FB63" w14:textId="77777777" w:rsidR="00C861EA" w:rsidRPr="00E0298C" w:rsidRDefault="00C861EA" w:rsidP="00B02073">
            <w:r w:rsidRPr="00E0298C">
              <w:t>Principal repayment of note payable</w:t>
            </w:r>
          </w:p>
        </w:tc>
        <w:tc>
          <w:tcPr>
            <w:tcW w:w="1555" w:type="dxa"/>
          </w:tcPr>
          <w:p w14:paraId="057CB200" w14:textId="77777777" w:rsidR="00C861EA" w:rsidRPr="00E0298C" w:rsidRDefault="00C861EA" w:rsidP="00B02073">
            <w:pPr>
              <w:tabs>
                <w:tab w:val="right" w:pos="9180"/>
              </w:tabs>
            </w:pPr>
          </w:p>
        </w:tc>
        <w:tc>
          <w:tcPr>
            <w:tcW w:w="1800" w:type="dxa"/>
            <w:tcBorders>
              <w:bottom w:val="single" w:sz="4" w:space="0" w:color="auto"/>
            </w:tcBorders>
          </w:tcPr>
          <w:p w14:paraId="1BC563D9" w14:textId="5FCB417E" w:rsidR="00C861EA" w:rsidRPr="00E0298C" w:rsidRDefault="00C861EA" w:rsidP="00B02073">
            <w:pPr>
              <w:tabs>
                <w:tab w:val="decimal" w:pos="1332"/>
                <w:tab w:val="right" w:pos="9180"/>
              </w:tabs>
            </w:pPr>
            <w:r w:rsidRPr="00E0298C">
              <w:tab/>
            </w:r>
            <w:r w:rsidR="006D36EF">
              <w:t>(5,866)</w:t>
            </w:r>
          </w:p>
        </w:tc>
        <w:tc>
          <w:tcPr>
            <w:tcW w:w="360" w:type="dxa"/>
          </w:tcPr>
          <w:p w14:paraId="7E9437FF" w14:textId="77777777" w:rsidR="00C861EA" w:rsidRPr="00E0298C" w:rsidRDefault="00C861EA" w:rsidP="00B02073">
            <w:pPr>
              <w:pStyle w:val="ListParagraph"/>
              <w:numPr>
                <w:ilvl w:val="0"/>
                <w:numId w:val="6"/>
              </w:numPr>
              <w:tabs>
                <w:tab w:val="right" w:pos="9180"/>
              </w:tabs>
            </w:pPr>
          </w:p>
        </w:tc>
        <w:tc>
          <w:tcPr>
            <w:tcW w:w="1620" w:type="dxa"/>
            <w:tcBorders>
              <w:bottom w:val="single" w:sz="4" w:space="0" w:color="auto"/>
            </w:tcBorders>
          </w:tcPr>
          <w:p w14:paraId="17352C5F" w14:textId="2536816E" w:rsidR="00C861EA" w:rsidRDefault="00C861EA" w:rsidP="00B02073">
            <w:pPr>
              <w:tabs>
                <w:tab w:val="decimal" w:pos="1152"/>
                <w:tab w:val="right" w:pos="9180"/>
              </w:tabs>
            </w:pPr>
            <w:r w:rsidRPr="00E0298C">
              <w:tab/>
            </w:r>
            <w:r>
              <w:t>(5,209)</w:t>
            </w:r>
          </w:p>
        </w:tc>
      </w:tr>
      <w:tr w:rsidR="00C861EA" w:rsidRPr="000D3DC5" w14:paraId="6E98E75A" w14:textId="77777777" w:rsidTr="00B02073">
        <w:tc>
          <w:tcPr>
            <w:tcW w:w="378" w:type="dxa"/>
          </w:tcPr>
          <w:p w14:paraId="44BEF768" w14:textId="77777777" w:rsidR="00C861EA" w:rsidRPr="000D3DC5" w:rsidRDefault="00C861EA" w:rsidP="00B02073"/>
        </w:tc>
        <w:tc>
          <w:tcPr>
            <w:tcW w:w="4475" w:type="dxa"/>
            <w:gridSpan w:val="6"/>
          </w:tcPr>
          <w:p w14:paraId="6D2621ED" w14:textId="77777777" w:rsidR="00C861EA" w:rsidRDefault="00C861EA" w:rsidP="00B02073">
            <w:r>
              <w:t>Net cash provided by financing activities</w:t>
            </w:r>
          </w:p>
        </w:tc>
        <w:tc>
          <w:tcPr>
            <w:tcW w:w="1555" w:type="dxa"/>
          </w:tcPr>
          <w:p w14:paraId="6AF0766F" w14:textId="77777777" w:rsidR="00C861EA" w:rsidRPr="000D3DC5" w:rsidRDefault="00C861EA" w:rsidP="00B02073">
            <w:pPr>
              <w:tabs>
                <w:tab w:val="right" w:pos="9180"/>
              </w:tabs>
            </w:pPr>
          </w:p>
        </w:tc>
        <w:tc>
          <w:tcPr>
            <w:tcW w:w="1800" w:type="dxa"/>
            <w:tcBorders>
              <w:top w:val="single" w:sz="4" w:space="0" w:color="auto"/>
            </w:tcBorders>
          </w:tcPr>
          <w:p w14:paraId="25FC6B8C" w14:textId="42E2F82E" w:rsidR="00C861EA" w:rsidRDefault="00C861EA" w:rsidP="00B02073">
            <w:pPr>
              <w:tabs>
                <w:tab w:val="decimal" w:pos="1332"/>
                <w:tab w:val="right" w:pos="9180"/>
              </w:tabs>
            </w:pPr>
            <w:r>
              <w:tab/>
            </w:r>
            <w:r w:rsidR="006D36EF">
              <w:t>1,</w:t>
            </w:r>
            <w:r w:rsidR="006012A9">
              <w:t>352</w:t>
            </w:r>
            <w:r w:rsidR="006D36EF">
              <w:t>,834</w:t>
            </w:r>
          </w:p>
        </w:tc>
        <w:tc>
          <w:tcPr>
            <w:tcW w:w="360" w:type="dxa"/>
          </w:tcPr>
          <w:p w14:paraId="5FB6B100" w14:textId="77777777" w:rsidR="00C861EA" w:rsidRPr="000D3DC5" w:rsidRDefault="00C861EA" w:rsidP="00B02073">
            <w:pPr>
              <w:pStyle w:val="ListParagraph"/>
              <w:numPr>
                <w:ilvl w:val="0"/>
                <w:numId w:val="6"/>
              </w:numPr>
              <w:tabs>
                <w:tab w:val="right" w:pos="9180"/>
              </w:tabs>
            </w:pPr>
          </w:p>
        </w:tc>
        <w:tc>
          <w:tcPr>
            <w:tcW w:w="1620" w:type="dxa"/>
            <w:tcBorders>
              <w:top w:val="single" w:sz="4" w:space="0" w:color="auto"/>
            </w:tcBorders>
          </w:tcPr>
          <w:p w14:paraId="7EB1305A" w14:textId="1E392746" w:rsidR="00C861EA" w:rsidRDefault="00C861EA" w:rsidP="00B02073">
            <w:pPr>
              <w:tabs>
                <w:tab w:val="decimal" w:pos="1152"/>
                <w:tab w:val="right" w:pos="9180"/>
              </w:tabs>
            </w:pPr>
            <w:r>
              <w:tab/>
              <w:t>734,791</w:t>
            </w:r>
          </w:p>
        </w:tc>
      </w:tr>
      <w:tr w:rsidR="00C861EA" w:rsidRPr="000D3DC5" w14:paraId="6ABC2EB7" w14:textId="77777777" w:rsidTr="00B02073">
        <w:tc>
          <w:tcPr>
            <w:tcW w:w="378" w:type="dxa"/>
          </w:tcPr>
          <w:p w14:paraId="7AF04EDE" w14:textId="77777777" w:rsidR="00C861EA" w:rsidRPr="000D3DC5" w:rsidRDefault="00C861EA" w:rsidP="00B02073"/>
        </w:tc>
        <w:tc>
          <w:tcPr>
            <w:tcW w:w="425" w:type="dxa"/>
          </w:tcPr>
          <w:p w14:paraId="700E9F7E" w14:textId="77777777" w:rsidR="00C861EA" w:rsidRPr="000D3DC5" w:rsidRDefault="00C861EA" w:rsidP="00B02073"/>
        </w:tc>
        <w:tc>
          <w:tcPr>
            <w:tcW w:w="789" w:type="dxa"/>
            <w:gridSpan w:val="3"/>
          </w:tcPr>
          <w:p w14:paraId="7C09A6EC" w14:textId="77777777" w:rsidR="00C861EA" w:rsidRPr="000D3DC5" w:rsidRDefault="00C861EA" w:rsidP="00B02073"/>
        </w:tc>
        <w:tc>
          <w:tcPr>
            <w:tcW w:w="620" w:type="dxa"/>
          </w:tcPr>
          <w:p w14:paraId="19559935" w14:textId="77777777" w:rsidR="00C861EA" w:rsidRPr="000D3DC5" w:rsidRDefault="00C861EA" w:rsidP="00B02073"/>
        </w:tc>
        <w:tc>
          <w:tcPr>
            <w:tcW w:w="2641" w:type="dxa"/>
          </w:tcPr>
          <w:p w14:paraId="03E34845" w14:textId="77777777" w:rsidR="00C861EA" w:rsidRPr="000D3DC5" w:rsidRDefault="00C861EA" w:rsidP="00B02073"/>
        </w:tc>
        <w:tc>
          <w:tcPr>
            <w:tcW w:w="1555" w:type="dxa"/>
          </w:tcPr>
          <w:p w14:paraId="41583384" w14:textId="77777777" w:rsidR="00C861EA" w:rsidRPr="000D3DC5" w:rsidRDefault="00C861EA" w:rsidP="00B02073">
            <w:pPr>
              <w:tabs>
                <w:tab w:val="right" w:pos="9180"/>
              </w:tabs>
            </w:pPr>
          </w:p>
        </w:tc>
        <w:tc>
          <w:tcPr>
            <w:tcW w:w="1800" w:type="dxa"/>
            <w:tcBorders>
              <w:top w:val="single" w:sz="4" w:space="0" w:color="auto"/>
            </w:tcBorders>
          </w:tcPr>
          <w:p w14:paraId="6FBD2E7C" w14:textId="77777777" w:rsidR="00C861EA" w:rsidRPr="000D3DC5" w:rsidRDefault="00C861EA" w:rsidP="00B02073">
            <w:pPr>
              <w:tabs>
                <w:tab w:val="decimal" w:pos="1332"/>
                <w:tab w:val="right" w:pos="9180"/>
              </w:tabs>
            </w:pPr>
          </w:p>
        </w:tc>
        <w:tc>
          <w:tcPr>
            <w:tcW w:w="360" w:type="dxa"/>
          </w:tcPr>
          <w:p w14:paraId="47AD3B97" w14:textId="77777777" w:rsidR="00C861EA" w:rsidRPr="000D3DC5" w:rsidRDefault="00C861EA" w:rsidP="00B02073">
            <w:pPr>
              <w:tabs>
                <w:tab w:val="right" w:pos="9180"/>
              </w:tabs>
            </w:pPr>
          </w:p>
        </w:tc>
        <w:tc>
          <w:tcPr>
            <w:tcW w:w="1620" w:type="dxa"/>
            <w:tcBorders>
              <w:top w:val="single" w:sz="4" w:space="0" w:color="auto"/>
            </w:tcBorders>
          </w:tcPr>
          <w:p w14:paraId="5BD3E319" w14:textId="77777777" w:rsidR="00C861EA" w:rsidRPr="000D3DC5" w:rsidRDefault="00C861EA" w:rsidP="00B02073">
            <w:pPr>
              <w:tabs>
                <w:tab w:val="decimal" w:pos="1044"/>
                <w:tab w:val="right" w:pos="9180"/>
              </w:tabs>
            </w:pPr>
          </w:p>
        </w:tc>
      </w:tr>
      <w:tr w:rsidR="00C861EA" w:rsidRPr="000D3DC5" w14:paraId="43BD6D09" w14:textId="77777777" w:rsidTr="00B02073">
        <w:tc>
          <w:tcPr>
            <w:tcW w:w="6408" w:type="dxa"/>
            <w:gridSpan w:val="8"/>
          </w:tcPr>
          <w:p w14:paraId="50590D41" w14:textId="7D15773F" w:rsidR="00C861EA" w:rsidRPr="000D3DC5" w:rsidRDefault="00C861EA" w:rsidP="00B02073">
            <w:pPr>
              <w:tabs>
                <w:tab w:val="right" w:pos="9180"/>
              </w:tabs>
            </w:pPr>
            <w:r w:rsidRPr="000D3DC5">
              <w:t xml:space="preserve">Net </w:t>
            </w:r>
            <w:r w:rsidR="00747A8C">
              <w:t>increase (</w:t>
            </w:r>
            <w:r>
              <w:t>decrease</w:t>
            </w:r>
            <w:r w:rsidR="00747A8C">
              <w:t>)</w:t>
            </w:r>
            <w:r w:rsidRPr="000D3DC5">
              <w:t xml:space="preserve"> in cash and cash equivalents</w:t>
            </w:r>
          </w:p>
        </w:tc>
        <w:tc>
          <w:tcPr>
            <w:tcW w:w="1800" w:type="dxa"/>
          </w:tcPr>
          <w:p w14:paraId="035E4A3D" w14:textId="58CC1B4D" w:rsidR="00C861EA" w:rsidRPr="000D3DC5" w:rsidRDefault="00C861EA" w:rsidP="00B02073">
            <w:pPr>
              <w:tabs>
                <w:tab w:val="decimal" w:pos="1332"/>
                <w:tab w:val="right" w:pos="9180"/>
              </w:tabs>
            </w:pPr>
            <w:r>
              <w:tab/>
            </w:r>
            <w:r w:rsidR="006D36EF">
              <w:t>427,341</w:t>
            </w:r>
          </w:p>
        </w:tc>
        <w:tc>
          <w:tcPr>
            <w:tcW w:w="360" w:type="dxa"/>
          </w:tcPr>
          <w:p w14:paraId="5352AE8C" w14:textId="77777777" w:rsidR="00C861EA" w:rsidRPr="000D3DC5" w:rsidRDefault="00C861EA" w:rsidP="00B02073">
            <w:pPr>
              <w:tabs>
                <w:tab w:val="right" w:pos="9180"/>
              </w:tabs>
            </w:pPr>
          </w:p>
        </w:tc>
        <w:tc>
          <w:tcPr>
            <w:tcW w:w="1620" w:type="dxa"/>
          </w:tcPr>
          <w:p w14:paraId="25FF0707" w14:textId="1A570CC9" w:rsidR="00C861EA" w:rsidRPr="000D3DC5" w:rsidRDefault="00C861EA" w:rsidP="00B02073">
            <w:pPr>
              <w:tabs>
                <w:tab w:val="decimal" w:pos="1152"/>
                <w:tab w:val="right" w:pos="9180"/>
              </w:tabs>
            </w:pPr>
            <w:r>
              <w:tab/>
              <w:t>(43,290)</w:t>
            </w:r>
          </w:p>
        </w:tc>
      </w:tr>
      <w:tr w:rsidR="00C861EA" w:rsidRPr="000D3DC5" w14:paraId="3E72BC3C" w14:textId="77777777" w:rsidTr="00B02073">
        <w:tc>
          <w:tcPr>
            <w:tcW w:w="6408" w:type="dxa"/>
            <w:gridSpan w:val="8"/>
          </w:tcPr>
          <w:p w14:paraId="550CD5C6" w14:textId="77777777" w:rsidR="00C861EA" w:rsidRPr="000D3DC5" w:rsidRDefault="00C861EA" w:rsidP="00B02073">
            <w:pPr>
              <w:tabs>
                <w:tab w:val="right" w:pos="9180"/>
              </w:tabs>
            </w:pPr>
            <w:r w:rsidRPr="000D3DC5">
              <w:t>Cash and cash equivalents at beginning of period</w:t>
            </w:r>
          </w:p>
        </w:tc>
        <w:tc>
          <w:tcPr>
            <w:tcW w:w="1800" w:type="dxa"/>
            <w:tcBorders>
              <w:bottom w:val="single" w:sz="4" w:space="0" w:color="auto"/>
            </w:tcBorders>
          </w:tcPr>
          <w:p w14:paraId="6871EF29" w14:textId="33DB64FE" w:rsidR="00C861EA" w:rsidRPr="000D3DC5" w:rsidRDefault="00C861EA" w:rsidP="00B02073">
            <w:pPr>
              <w:tabs>
                <w:tab w:val="decimal" w:pos="1332"/>
                <w:tab w:val="right" w:pos="9180"/>
              </w:tabs>
            </w:pPr>
            <w:r>
              <w:tab/>
            </w:r>
            <w:r w:rsidR="006D36EF">
              <w:t>283,341</w:t>
            </w:r>
          </w:p>
        </w:tc>
        <w:tc>
          <w:tcPr>
            <w:tcW w:w="360" w:type="dxa"/>
          </w:tcPr>
          <w:p w14:paraId="75F0D6C0" w14:textId="77777777" w:rsidR="00C861EA" w:rsidRPr="000D3DC5" w:rsidRDefault="00C861EA" w:rsidP="00B02073">
            <w:pPr>
              <w:tabs>
                <w:tab w:val="right" w:pos="9180"/>
              </w:tabs>
            </w:pPr>
          </w:p>
        </w:tc>
        <w:tc>
          <w:tcPr>
            <w:tcW w:w="1620" w:type="dxa"/>
            <w:tcBorders>
              <w:bottom w:val="single" w:sz="4" w:space="0" w:color="auto"/>
            </w:tcBorders>
          </w:tcPr>
          <w:p w14:paraId="336B824E" w14:textId="51927917" w:rsidR="00C861EA" w:rsidRPr="000D3DC5" w:rsidRDefault="00C861EA" w:rsidP="00B02073">
            <w:pPr>
              <w:tabs>
                <w:tab w:val="decimal" w:pos="1152"/>
                <w:tab w:val="right" w:pos="9180"/>
              </w:tabs>
            </w:pPr>
            <w:r>
              <w:tab/>
              <w:t>259,701</w:t>
            </w:r>
          </w:p>
        </w:tc>
      </w:tr>
      <w:tr w:rsidR="00C861EA" w:rsidRPr="000D3DC5" w14:paraId="54619DA4" w14:textId="77777777" w:rsidTr="00B02073">
        <w:tc>
          <w:tcPr>
            <w:tcW w:w="378" w:type="dxa"/>
          </w:tcPr>
          <w:p w14:paraId="52AC11BA" w14:textId="77777777" w:rsidR="00C861EA" w:rsidRPr="000D3DC5" w:rsidRDefault="00C861EA" w:rsidP="00B02073"/>
        </w:tc>
        <w:tc>
          <w:tcPr>
            <w:tcW w:w="620" w:type="dxa"/>
            <w:gridSpan w:val="2"/>
          </w:tcPr>
          <w:p w14:paraId="2E30F4CC" w14:textId="77777777" w:rsidR="00C861EA" w:rsidRPr="000D3DC5" w:rsidRDefault="00C861EA" w:rsidP="00B02073"/>
        </w:tc>
        <w:tc>
          <w:tcPr>
            <w:tcW w:w="594" w:type="dxa"/>
            <w:gridSpan w:val="2"/>
          </w:tcPr>
          <w:p w14:paraId="272C02FD" w14:textId="77777777" w:rsidR="00C861EA" w:rsidRPr="000D3DC5" w:rsidRDefault="00C861EA" w:rsidP="00B02073"/>
        </w:tc>
        <w:tc>
          <w:tcPr>
            <w:tcW w:w="620" w:type="dxa"/>
          </w:tcPr>
          <w:p w14:paraId="5E7B6552" w14:textId="77777777" w:rsidR="00C861EA" w:rsidRPr="000D3DC5" w:rsidRDefault="00C861EA" w:rsidP="00B02073"/>
        </w:tc>
        <w:tc>
          <w:tcPr>
            <w:tcW w:w="2641" w:type="dxa"/>
          </w:tcPr>
          <w:p w14:paraId="3EEAEA95" w14:textId="77777777" w:rsidR="00C861EA" w:rsidRPr="000D3DC5" w:rsidRDefault="00C861EA" w:rsidP="00B02073"/>
        </w:tc>
        <w:tc>
          <w:tcPr>
            <w:tcW w:w="1555" w:type="dxa"/>
          </w:tcPr>
          <w:p w14:paraId="55363044" w14:textId="77777777" w:rsidR="00C861EA" w:rsidRPr="000D3DC5" w:rsidRDefault="00C861EA" w:rsidP="00B02073">
            <w:pPr>
              <w:tabs>
                <w:tab w:val="right" w:pos="9180"/>
              </w:tabs>
            </w:pPr>
          </w:p>
        </w:tc>
        <w:tc>
          <w:tcPr>
            <w:tcW w:w="1800" w:type="dxa"/>
            <w:tcBorders>
              <w:top w:val="single" w:sz="4" w:space="0" w:color="auto"/>
            </w:tcBorders>
          </w:tcPr>
          <w:p w14:paraId="1AE68E40" w14:textId="77777777" w:rsidR="00C861EA" w:rsidRPr="000D3DC5" w:rsidRDefault="00C861EA" w:rsidP="00B02073">
            <w:pPr>
              <w:tabs>
                <w:tab w:val="decimal" w:pos="1044"/>
                <w:tab w:val="right" w:pos="9180"/>
              </w:tabs>
            </w:pPr>
          </w:p>
        </w:tc>
        <w:tc>
          <w:tcPr>
            <w:tcW w:w="360" w:type="dxa"/>
          </w:tcPr>
          <w:p w14:paraId="19EBF628" w14:textId="77777777" w:rsidR="00C861EA" w:rsidRPr="000D3DC5" w:rsidRDefault="00C861EA" w:rsidP="00B02073">
            <w:pPr>
              <w:tabs>
                <w:tab w:val="right" w:pos="9180"/>
              </w:tabs>
            </w:pPr>
          </w:p>
        </w:tc>
        <w:tc>
          <w:tcPr>
            <w:tcW w:w="1620" w:type="dxa"/>
            <w:tcBorders>
              <w:top w:val="single" w:sz="4" w:space="0" w:color="auto"/>
            </w:tcBorders>
          </w:tcPr>
          <w:p w14:paraId="0C4F2C42" w14:textId="77777777" w:rsidR="00C861EA" w:rsidRPr="000D3DC5" w:rsidRDefault="00C861EA" w:rsidP="00B02073">
            <w:pPr>
              <w:tabs>
                <w:tab w:val="decimal" w:pos="1044"/>
                <w:tab w:val="right" w:pos="9180"/>
              </w:tabs>
            </w:pPr>
          </w:p>
        </w:tc>
      </w:tr>
      <w:tr w:rsidR="00C861EA" w:rsidRPr="000D3DC5" w14:paraId="472632BF" w14:textId="77777777" w:rsidTr="00B02073">
        <w:tc>
          <w:tcPr>
            <w:tcW w:w="6408" w:type="dxa"/>
            <w:gridSpan w:val="8"/>
          </w:tcPr>
          <w:p w14:paraId="3FE98939" w14:textId="77777777" w:rsidR="00C861EA" w:rsidRPr="000D3DC5" w:rsidRDefault="00C861EA" w:rsidP="00B02073">
            <w:pPr>
              <w:tabs>
                <w:tab w:val="right" w:pos="9180"/>
              </w:tabs>
            </w:pPr>
            <w:r w:rsidRPr="000D3DC5">
              <w:t>Cash and cash equivalents at end of period</w:t>
            </w:r>
          </w:p>
        </w:tc>
        <w:tc>
          <w:tcPr>
            <w:tcW w:w="1800" w:type="dxa"/>
            <w:tcBorders>
              <w:bottom w:val="double" w:sz="4" w:space="0" w:color="auto"/>
            </w:tcBorders>
          </w:tcPr>
          <w:p w14:paraId="7D423814" w14:textId="30593C87" w:rsidR="00C861EA" w:rsidRPr="000D3DC5" w:rsidRDefault="00C861EA" w:rsidP="00B02073">
            <w:pPr>
              <w:tabs>
                <w:tab w:val="decimal" w:pos="1332"/>
                <w:tab w:val="right" w:pos="9180"/>
              </w:tabs>
            </w:pPr>
            <w:r>
              <w:t>$</w:t>
            </w:r>
            <w:r>
              <w:tab/>
            </w:r>
            <w:r w:rsidR="006D36EF">
              <w:t>710,682</w:t>
            </w:r>
          </w:p>
        </w:tc>
        <w:tc>
          <w:tcPr>
            <w:tcW w:w="360" w:type="dxa"/>
          </w:tcPr>
          <w:p w14:paraId="706E5870" w14:textId="77777777" w:rsidR="00C861EA" w:rsidRPr="000D3DC5" w:rsidRDefault="00C861EA" w:rsidP="00B02073">
            <w:pPr>
              <w:tabs>
                <w:tab w:val="right" w:pos="9180"/>
              </w:tabs>
            </w:pPr>
          </w:p>
        </w:tc>
        <w:tc>
          <w:tcPr>
            <w:tcW w:w="1620" w:type="dxa"/>
            <w:tcBorders>
              <w:bottom w:val="double" w:sz="4" w:space="0" w:color="auto"/>
            </w:tcBorders>
          </w:tcPr>
          <w:p w14:paraId="5443C695" w14:textId="333FFA0E" w:rsidR="00C861EA" w:rsidRPr="000D3DC5" w:rsidRDefault="00C861EA" w:rsidP="00B02073">
            <w:pPr>
              <w:tabs>
                <w:tab w:val="decimal" w:pos="1152"/>
                <w:tab w:val="right" w:pos="9180"/>
              </w:tabs>
            </w:pPr>
            <w:r>
              <w:t>$</w:t>
            </w:r>
            <w:r>
              <w:tab/>
              <w:t>216,411</w:t>
            </w:r>
          </w:p>
        </w:tc>
      </w:tr>
      <w:tr w:rsidR="00C861EA" w:rsidRPr="000D3DC5" w14:paraId="280ADD6D" w14:textId="77777777" w:rsidTr="00B02073">
        <w:tc>
          <w:tcPr>
            <w:tcW w:w="378" w:type="dxa"/>
          </w:tcPr>
          <w:p w14:paraId="1F75A374" w14:textId="77777777" w:rsidR="00C861EA" w:rsidRPr="000D3DC5" w:rsidRDefault="00C861EA" w:rsidP="00B02073"/>
        </w:tc>
        <w:tc>
          <w:tcPr>
            <w:tcW w:w="620" w:type="dxa"/>
            <w:gridSpan w:val="2"/>
          </w:tcPr>
          <w:p w14:paraId="7F0C595A" w14:textId="77777777" w:rsidR="00C861EA" w:rsidRPr="000D3DC5" w:rsidRDefault="00C861EA" w:rsidP="00B02073"/>
        </w:tc>
        <w:tc>
          <w:tcPr>
            <w:tcW w:w="594" w:type="dxa"/>
            <w:gridSpan w:val="2"/>
          </w:tcPr>
          <w:p w14:paraId="17CCC516" w14:textId="77777777" w:rsidR="00C861EA" w:rsidRPr="000D3DC5" w:rsidRDefault="00C861EA" w:rsidP="00B02073"/>
        </w:tc>
        <w:tc>
          <w:tcPr>
            <w:tcW w:w="620" w:type="dxa"/>
          </w:tcPr>
          <w:p w14:paraId="25B1AC58" w14:textId="77777777" w:rsidR="00C861EA" w:rsidRPr="000D3DC5" w:rsidRDefault="00C861EA" w:rsidP="00B02073"/>
        </w:tc>
        <w:tc>
          <w:tcPr>
            <w:tcW w:w="2641" w:type="dxa"/>
          </w:tcPr>
          <w:p w14:paraId="2C2D6D28" w14:textId="77777777" w:rsidR="00C861EA" w:rsidRPr="000D3DC5" w:rsidRDefault="00C861EA" w:rsidP="00B02073"/>
        </w:tc>
        <w:tc>
          <w:tcPr>
            <w:tcW w:w="1555" w:type="dxa"/>
          </w:tcPr>
          <w:p w14:paraId="65C1726B" w14:textId="77777777" w:rsidR="00C861EA" w:rsidRPr="000D3DC5" w:rsidRDefault="00C861EA" w:rsidP="00B02073">
            <w:pPr>
              <w:tabs>
                <w:tab w:val="right" w:pos="9180"/>
              </w:tabs>
            </w:pPr>
          </w:p>
        </w:tc>
        <w:tc>
          <w:tcPr>
            <w:tcW w:w="1800" w:type="dxa"/>
          </w:tcPr>
          <w:p w14:paraId="494F595F" w14:textId="77777777" w:rsidR="00C861EA" w:rsidRPr="000D3DC5" w:rsidRDefault="00C861EA" w:rsidP="00B02073">
            <w:pPr>
              <w:tabs>
                <w:tab w:val="decimal" w:pos="1044"/>
                <w:tab w:val="right" w:pos="9180"/>
              </w:tabs>
            </w:pPr>
          </w:p>
        </w:tc>
        <w:tc>
          <w:tcPr>
            <w:tcW w:w="360" w:type="dxa"/>
          </w:tcPr>
          <w:p w14:paraId="04247DF0" w14:textId="77777777" w:rsidR="00C861EA" w:rsidRPr="000D3DC5" w:rsidRDefault="00C861EA" w:rsidP="00B02073">
            <w:pPr>
              <w:tabs>
                <w:tab w:val="right" w:pos="9180"/>
              </w:tabs>
            </w:pPr>
          </w:p>
        </w:tc>
        <w:tc>
          <w:tcPr>
            <w:tcW w:w="1620" w:type="dxa"/>
          </w:tcPr>
          <w:p w14:paraId="07000D4C" w14:textId="77777777" w:rsidR="00C861EA" w:rsidRPr="000D3DC5" w:rsidRDefault="00C861EA" w:rsidP="00B02073">
            <w:pPr>
              <w:tabs>
                <w:tab w:val="right" w:pos="9180"/>
              </w:tabs>
            </w:pPr>
          </w:p>
        </w:tc>
      </w:tr>
    </w:tbl>
    <w:p w14:paraId="44D6D3D3" w14:textId="77777777" w:rsidR="00C861EA" w:rsidRDefault="00C861EA" w:rsidP="00DF2BA6"/>
    <w:p w14:paraId="272DFA96" w14:textId="77777777" w:rsidR="00C861EA" w:rsidRDefault="00C861EA" w:rsidP="00DF2BA6"/>
    <w:p w14:paraId="6CEADA5F" w14:textId="00891D1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010DB6EC" w14:textId="46A63909" w:rsidR="00587925" w:rsidRDefault="00587925" w:rsidP="002575DB">
      <w:pPr>
        <w:ind w:left="360"/>
      </w:pPr>
      <w:r>
        <w:t xml:space="preserve">During the </w:t>
      </w:r>
      <w:r w:rsidR="00C861EA">
        <w:t>six</w:t>
      </w:r>
      <w:r>
        <w:t xml:space="preserve"> months ended </w:t>
      </w:r>
      <w:r w:rsidR="00C861EA">
        <w:t>June</w:t>
      </w:r>
      <w:r>
        <w:t xml:space="preserve"> 3</w:t>
      </w:r>
      <w:r w:rsidR="00C861EA">
        <w:t>0</w:t>
      </w:r>
      <w:r>
        <w:t xml:space="preserve">, 2020, </w:t>
      </w:r>
      <w:bookmarkStart w:id="12" w:name="_Hlk36563170"/>
      <w:r w:rsidR="00E53694">
        <w:t>1,686</w:t>
      </w:r>
      <w:r>
        <w:t xml:space="preserve"> shares of Series H Convertible Preferred Stock were converted into </w:t>
      </w:r>
      <w:r w:rsidR="00E53694">
        <w:t>9,393,937</w:t>
      </w:r>
      <w:r>
        <w:t xml:space="preserve"> shares of common stock </w:t>
      </w:r>
      <w:bookmarkEnd w:id="12"/>
      <w:r>
        <w:t xml:space="preserve">and </w:t>
      </w:r>
      <w:r w:rsidR="00E53694">
        <w:t xml:space="preserve">700 </w:t>
      </w:r>
      <w:r>
        <w:t xml:space="preserve">shares of Series I Convertible Preferred Stock were converted into </w:t>
      </w:r>
      <w:r w:rsidR="00E53694">
        <w:t>4,087,412</w:t>
      </w:r>
      <w:r>
        <w:t xml:space="preserve"> shares of common stock. </w:t>
      </w:r>
    </w:p>
    <w:p w14:paraId="0E17395F" w14:textId="19E7DDEF" w:rsidR="00C861EA" w:rsidRDefault="00C861EA" w:rsidP="00C861EA">
      <w:pPr>
        <w:ind w:left="360"/>
      </w:pPr>
      <w:r>
        <w:t xml:space="preserve">During the six months ended June 30, 2019, 1,563 shares of Series C Convertible Preferred Stock and 1,200 shares of Series E Convertible Preferred Stock were exchanged for 2,763 shares of Series F Convertible Preferred Stock, 250 shares of Series G Convertible Preferred Stock were issued in exchange for cancellation of $250,000 of term notes payable, 587 shares of Series C Convertible Preferred Stock were converted into </w:t>
      </w:r>
      <w:r w:rsidR="008B4164">
        <w:t>39</w:t>
      </w:r>
      <w:r>
        <w:t xml:space="preserve"> shares of common stock, and 461 shares of Series F Convertible Preferred Stock were converted into </w:t>
      </w:r>
      <w:r w:rsidR="008B4164">
        <w:t>147</w:t>
      </w:r>
      <w:r>
        <w:t xml:space="preserve"> shares of common stock. </w:t>
      </w:r>
    </w:p>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63246DC6" w:rsidR="00277F5A" w:rsidRDefault="00C861EA" w:rsidP="00277F5A">
      <w:pPr>
        <w:jc w:val="center"/>
        <w:rPr>
          <w:b/>
        </w:rPr>
      </w:pPr>
      <w:r>
        <w:rPr>
          <w:b/>
        </w:rPr>
        <w:t>June</w:t>
      </w:r>
      <w:r w:rsidR="00F415DC">
        <w:rPr>
          <w:b/>
        </w:rPr>
        <w:t xml:space="preserve"> 3</w:t>
      </w:r>
      <w:r>
        <w:rPr>
          <w:b/>
        </w:rPr>
        <w:t>0</w:t>
      </w:r>
      <w:r w:rsidR="00277F5A" w:rsidRPr="001C6303">
        <w:rPr>
          <w:b/>
        </w:rPr>
        <w:t>, 20</w:t>
      </w:r>
      <w:r w:rsidR="00CE1FF4">
        <w:rPr>
          <w:b/>
        </w:rPr>
        <w:t>20</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77777777"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24E71BAC" w14:textId="77777777" w:rsidR="000A55AE" w:rsidRDefault="000A55AE" w:rsidP="000A55AE"/>
    <w:p w14:paraId="002AFA3C" w14:textId="0F9F76EF" w:rsidR="00E576BB" w:rsidRPr="00E576BB" w:rsidRDefault="00E576BB" w:rsidP="00E576BB">
      <w:proofErr w:type="spellStart"/>
      <w:r w:rsidRPr="00E576BB">
        <w:t>GeoVax</w:t>
      </w:r>
      <w:proofErr w:type="spellEnd"/>
      <w:r w:rsidRPr="00E576BB">
        <w:t xml:space="preserve"> Labs, Inc. (“</w:t>
      </w:r>
      <w:proofErr w:type="spellStart"/>
      <w:r w:rsidRPr="00E576BB">
        <w:t>GeoVax</w:t>
      </w:r>
      <w:proofErr w:type="spellEnd"/>
      <w:r w:rsidRPr="00E576BB">
        <w:t>” or the “Company”), is a clinical-stage biotechnology company developing human vaccines and immunotherapies against infectious diseases and cancers using a novel patented Modified Vaccinia Ankara</w:t>
      </w:r>
      <w:r w:rsidR="002D1A5A">
        <w:t xml:space="preserve"> (MVA)</w:t>
      </w:r>
      <w:r w:rsidRPr="00E576BB">
        <w:t xml:space="preserve"> Virus-Like Particle</w:t>
      </w:r>
      <w:r w:rsidR="002D1A5A">
        <w:t xml:space="preserve"> (VLP)</w:t>
      </w:r>
      <w:r w:rsidRPr="00E576BB">
        <w:t xml:space="preserve"> vaccine platform</w:t>
      </w:r>
      <w:r w:rsidR="002D1A5A">
        <w:t xml:space="preserve"> (GV-MVA-VLP</w:t>
      </w:r>
      <w:r w:rsidR="002D1A5A" w:rsidRPr="002D1A5A">
        <w:rPr>
          <w:vertAlign w:val="superscript"/>
        </w:rPr>
        <w:t>TM</w:t>
      </w:r>
      <w:r w:rsidR="002D1A5A">
        <w:t>)</w:t>
      </w:r>
      <w:r w:rsidRPr="00E576BB">
        <w:t>.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elicit durable immune responses in the host similar to a live attenuated virus, while providing the safety characteristics of a replication-defective vector.</w:t>
      </w:r>
    </w:p>
    <w:p w14:paraId="0BCE7DE2" w14:textId="77777777" w:rsidR="00E576BB" w:rsidRPr="00E576BB" w:rsidRDefault="00E576BB" w:rsidP="00E576BB"/>
    <w:p w14:paraId="0BBFEF6B" w14:textId="30F09F15" w:rsidR="00E576BB" w:rsidRPr="00E576BB" w:rsidRDefault="00E576BB" w:rsidP="00E576BB">
      <w:r w:rsidRPr="00E576BB">
        <w:t>Our current development programs are focused on preventive vaccines against</w:t>
      </w:r>
      <w:r w:rsidR="002D1A5A">
        <w:t xml:space="preserve"> novel</w:t>
      </w:r>
      <w:r w:rsidRPr="00E576BB">
        <w:t xml:space="preserve"> coronavirus (COVID-19), Human Immunodeficiency Virus (HIV), Zika Virus, hemorrhagic fever viruses (Ebola, Sudan, Marburg, Lassa), and malaria, as well as therapeutic vaccines for chronic Hepatitis B infections and cancers. We believe our technology and vaccine development expertise are well-suited for a variety of human infectious diseases and we intend to pursue further expansion of our product pipeline. </w:t>
      </w:r>
    </w:p>
    <w:p w14:paraId="5D509315" w14:textId="77777777" w:rsidR="00E576BB" w:rsidRPr="00E576BB" w:rsidRDefault="00E576BB" w:rsidP="00E576BB"/>
    <w:p w14:paraId="4DBF4189" w14:textId="31259E90" w:rsidR="002D1A5A" w:rsidRPr="0025217A" w:rsidRDefault="002D1A5A" w:rsidP="002D1A5A">
      <w:r w:rsidRPr="0025217A">
        <w:t xml:space="preserve">Our corporate strategy is to improve the health of patients worldwide by advancing our vaccine platform, using its unique capabilities to design and develop an array of products addressing unmet medical needs in the areas of infectious diseases and oncology. We </w:t>
      </w:r>
      <w:r>
        <w:t>intend</w:t>
      </w:r>
      <w:r w:rsidRPr="0025217A">
        <w:t xml:space="preserve"> to advance products through to human clinical testing, and to seek partnership or licensing arrangements for commercialization. We also leverage third party resources through government, academic and corporate research collaborations and partnerships for preclinical and clinical testing.</w:t>
      </w:r>
    </w:p>
    <w:p w14:paraId="4048B00F" w14:textId="77777777" w:rsidR="00E576BB" w:rsidRPr="00E576BB" w:rsidRDefault="00E576BB" w:rsidP="00E576BB"/>
    <w:p w14:paraId="3F970C96" w14:textId="77777777" w:rsidR="00E576BB" w:rsidRPr="00E576BB" w:rsidRDefault="00E576BB" w:rsidP="00E576BB">
      <w:r w:rsidRPr="00E576BB">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20CAA7DE" w14:textId="77777777" w:rsidR="00E576BB" w:rsidRPr="00E576BB" w:rsidRDefault="00E576BB" w:rsidP="00E576BB"/>
    <w:p w14:paraId="1996AD2B" w14:textId="77777777" w:rsidR="00E576BB" w:rsidRPr="00E576BB" w:rsidRDefault="00E576BB" w:rsidP="00E576BB">
      <w:pPr>
        <w:autoSpaceDE w:val="0"/>
        <w:autoSpaceDN w:val="0"/>
        <w:adjustRightInd w:val="0"/>
      </w:pPr>
      <w:r w:rsidRPr="00E576BB">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7883BA35" w14:textId="77777777" w:rsidR="000A55AE" w:rsidRPr="000A55AE" w:rsidRDefault="000A55AE" w:rsidP="000A55AE">
      <w:pPr>
        <w:autoSpaceDE w:val="0"/>
        <w:autoSpaceDN w:val="0"/>
        <w:adjustRightInd w:val="0"/>
      </w:pPr>
    </w:p>
    <w:p w14:paraId="708B6914" w14:textId="42643746" w:rsidR="000A55AE" w:rsidRDefault="000A55AE" w:rsidP="000A55AE">
      <w:proofErr w:type="spellStart"/>
      <w:r w:rsidRPr="000A55AE">
        <w:t>GeoVax</w:t>
      </w:r>
      <w:proofErr w:type="spellEnd"/>
      <w:r w:rsidRPr="000A55AE">
        <w:t xml:space="preserve">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4A75A78B"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at </w:t>
      </w:r>
      <w:r w:rsidR="00C861EA">
        <w:t>June</w:t>
      </w:r>
      <w:r w:rsidR="00F415DC">
        <w:t xml:space="preserve"> 3</w:t>
      </w:r>
      <w:r w:rsidR="00C861EA">
        <w:t>0</w:t>
      </w:r>
      <w:r w:rsidRPr="001C6303">
        <w:t>,</w:t>
      </w:r>
      <w:r w:rsidR="00F415DC">
        <w:t xml:space="preserve"> 20</w:t>
      </w:r>
      <w:r w:rsidR="00E576BB">
        <w:t>20</w:t>
      </w:r>
      <w:r w:rsidRPr="001C6303">
        <w:t xml:space="preserve"> and for the three</w:t>
      </w:r>
      <w:r w:rsidR="00CC2136">
        <w:t>-</w:t>
      </w:r>
      <w:r>
        <w:t xml:space="preserve">month </w:t>
      </w:r>
      <w:r w:rsidR="002A07F3">
        <w:t xml:space="preserve">and six-month </w:t>
      </w:r>
      <w:r w:rsidRPr="001C6303">
        <w:t xml:space="preserve">periods ended </w:t>
      </w:r>
      <w:r w:rsidR="002A07F3">
        <w:t>June</w:t>
      </w:r>
      <w:r w:rsidR="00E74795">
        <w:t xml:space="preserve"> 3</w:t>
      </w:r>
      <w:r w:rsidR="002A07F3">
        <w:t>0</w:t>
      </w:r>
      <w:r w:rsidR="00F415DC">
        <w:t>, 20</w:t>
      </w:r>
      <w:r w:rsidR="00E576BB">
        <w:t>20</w:t>
      </w:r>
      <w:r w:rsidR="00F415DC">
        <w:t xml:space="preserve"> and 201</w:t>
      </w:r>
      <w:r w:rsidR="00E576BB">
        <w:t>9</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201</w:t>
      </w:r>
      <w:r w:rsidR="00E576BB">
        <w:t>9</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44EA382E" w14:textId="77777777" w:rsidR="00E576BB" w:rsidRPr="00C5141A" w:rsidRDefault="00E576BB" w:rsidP="00BE61F2">
      <w:pPr>
        <w:autoSpaceDE w:val="0"/>
        <w:autoSpaceDN w:val="0"/>
        <w:adjustRightInd w:val="0"/>
      </w:pPr>
    </w:p>
    <w:p w14:paraId="1D3EA59B" w14:textId="0CA0C2B0" w:rsidR="00E576BB" w:rsidRPr="00E576BB" w:rsidRDefault="00E576BB" w:rsidP="00E576BB">
      <w:pPr>
        <w:autoSpaceDE w:val="0"/>
        <w:autoSpaceDN w:val="0"/>
        <w:adjustRightInd w:val="0"/>
      </w:pPr>
      <w:r w:rsidRPr="00E576BB">
        <w:t xml:space="preserve">As described </w:t>
      </w:r>
      <w:r w:rsidRPr="004872E4">
        <w:t xml:space="preserve">in Note </w:t>
      </w:r>
      <w:r w:rsidR="00ED7E6A">
        <w:t>10</w:t>
      </w:r>
      <w:r w:rsidRPr="004872E4">
        <w:t>, effective April 30, 2019, we enacted a one-for-five hundred reverse stock split of our common stock, and effective January</w:t>
      </w:r>
      <w:r w:rsidRPr="00E576BB">
        <w:t xml:space="preserve"> 21, 2020, we further enacted a one-for-two thousand reverse split.  The accompanying financial statements, and all share and per share information contained herein, have been retroactively restated to reflect the reverse stock splits.</w:t>
      </w:r>
    </w:p>
    <w:p w14:paraId="4EF76CE3" w14:textId="77777777" w:rsidR="000A55AE" w:rsidRDefault="000A55AE" w:rsidP="000A55AE">
      <w:pPr>
        <w:pStyle w:val="BodyText"/>
        <w:spacing w:after="0"/>
      </w:pPr>
    </w:p>
    <w:p w14:paraId="1D2DDB96" w14:textId="33652890" w:rsidR="001B548C" w:rsidRDefault="00297C39" w:rsidP="000A55AE">
      <w:pPr>
        <w:autoSpaceDE w:val="0"/>
        <w:autoSpaceDN w:val="0"/>
        <w:adjustRightInd w:val="0"/>
      </w:pPr>
      <w:r>
        <w:t>Our</w:t>
      </w:r>
      <w:r w:rsidR="001B548C">
        <w:t xml:space="preserve"> </w:t>
      </w:r>
      <w:r w:rsidR="001B548C" w:rsidRPr="001C6303">
        <w:t xml:space="preserve">financial statements </w:t>
      </w:r>
      <w:r w:rsidR="001B548C">
        <w:t>have been prepared assuming that we will continue as a going concern, which contemplates realization of assets and the satisfaction of liabilities in the normal course</w:t>
      </w:r>
      <w:r w:rsidR="001B548C" w:rsidRPr="00645890">
        <w:t xml:space="preserve"> </w:t>
      </w:r>
      <w:r w:rsidR="001B548C">
        <w:t>of business for the twelve-month period following the date th</w:t>
      </w:r>
      <w:r>
        <w:t>e</w:t>
      </w:r>
      <w:r w:rsidR="001B548C">
        <w:t xml:space="preserve"> financial statements</w:t>
      </w:r>
      <w:r w:rsidR="001B5554">
        <w:t xml:space="preserve"> are issued</w:t>
      </w:r>
      <w:r w:rsidR="001B548C">
        <w:t>.  W</w:t>
      </w:r>
      <w:r w:rsidR="001B548C" w:rsidRPr="00EB7BF0">
        <w:t>e are devoting substantially all of our present effort</w:t>
      </w:r>
      <w:r>
        <w:t>s to research and development</w:t>
      </w:r>
      <w:r w:rsidR="0030310F">
        <w:t xml:space="preserve"> of our vaccine candidates</w:t>
      </w:r>
      <w:r>
        <w:t xml:space="preserve">. </w:t>
      </w:r>
      <w:r w:rsidR="001B548C" w:rsidRPr="00EB7BF0">
        <w:t xml:space="preserve">We have funded our activities to date </w:t>
      </w:r>
      <w:r w:rsidR="001B548C">
        <w:t>from</w:t>
      </w:r>
      <w:r w:rsidR="001B548C" w:rsidRPr="00EB7BF0">
        <w:t xml:space="preserve"> government grants</w:t>
      </w:r>
      <w:r w:rsidR="001B548C">
        <w:t xml:space="preserve"> and clinical trial </w:t>
      </w:r>
      <w:r w:rsidR="001B548C">
        <w:lastRenderedPageBreak/>
        <w:t>assistance, and from sales of our</w:t>
      </w:r>
      <w:r w:rsidR="001B5554">
        <w:t xml:space="preserve"> debt and</w:t>
      </w:r>
      <w:r w:rsidR="001B548C">
        <w:t xml:space="preserve"> equity securities. W</w:t>
      </w:r>
      <w:r w:rsidR="001B548C" w:rsidRPr="00EB7BF0">
        <w:t xml:space="preserve">e will continue to require substantial funds to continue these activities.  </w:t>
      </w:r>
    </w:p>
    <w:p w14:paraId="7A072B9B" w14:textId="77777777" w:rsidR="002A36E7" w:rsidRDefault="002A36E7" w:rsidP="000A55AE">
      <w:pPr>
        <w:autoSpaceDE w:val="0"/>
        <w:autoSpaceDN w:val="0"/>
        <w:adjustRightInd w:val="0"/>
      </w:pPr>
    </w:p>
    <w:p w14:paraId="4E7C3187" w14:textId="58520F21" w:rsidR="002A07F3" w:rsidRDefault="00C5141A" w:rsidP="00C5141A">
      <w:pPr>
        <w:autoSpaceDE w:val="0"/>
        <w:autoSpaceDN w:val="0"/>
        <w:adjustRightInd w:val="0"/>
      </w:pPr>
      <w:r w:rsidRPr="00C5141A">
        <w:t>We believe that our existing cash resources</w:t>
      </w:r>
      <w:r w:rsidR="00B53172">
        <w:t xml:space="preserve"> </w:t>
      </w:r>
      <w:r w:rsidR="00B53172" w:rsidRPr="004872E4">
        <w:t>together with our</w:t>
      </w:r>
      <w:r w:rsidRPr="004872E4">
        <w:t xml:space="preserve"> government </w:t>
      </w:r>
      <w:r w:rsidR="00B53172" w:rsidRPr="004872E4">
        <w:t xml:space="preserve">and collaborative </w:t>
      </w:r>
      <w:r w:rsidRPr="004872E4">
        <w:t xml:space="preserve">funding commitments, will be sufficient to continue our planned operations into the </w:t>
      </w:r>
      <w:r w:rsidR="004872E4" w:rsidRPr="004872E4">
        <w:t>fourth</w:t>
      </w:r>
      <w:r w:rsidR="00B53172" w:rsidRPr="004872E4">
        <w:t xml:space="preserve"> quarter of 2020</w:t>
      </w:r>
      <w:r w:rsidRPr="004872E4">
        <w:t>. Due to our history of operating losses and our continuing need for capital to conduct our research and development activities, there is substantial doubt concerning our ability to operate as a going concern beyond that date. We are currently</w:t>
      </w:r>
      <w:r w:rsidRPr="00C5141A">
        <w:t xml:space="preserve"> exploring sources of capital through additional government grants and corporate collaborations. We also intend to secure additional funds through sales of our equity securitie</w:t>
      </w:r>
      <w:r w:rsidR="00780B16">
        <w:t>s, including a planned public offering</w:t>
      </w:r>
      <w:r w:rsidRPr="00C5141A">
        <w:t>. Management believes that we will be successful in securing the additional capital required to continue the Company’s planned operations, but that our plans do not</w:t>
      </w:r>
      <w:r w:rsidR="00780B16">
        <w:t xml:space="preserve"> currently</w:t>
      </w:r>
      <w:r w:rsidRPr="00C5141A">
        <w:t xml:space="preserve"> fully alleviate the substantial doubt about the Company’s ability to operate as a going concern. Additional funding may not be available on favorable terms or at all. If we fail to obtain additional capital when needed, we will be required to delay, scale back, or eliminate some or all of our research and development programs as well as reduce our general and administrative expenses.</w:t>
      </w:r>
    </w:p>
    <w:p w14:paraId="48BF6569" w14:textId="77777777" w:rsidR="000A55AE" w:rsidRPr="00685606" w:rsidRDefault="000A55AE"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73E4EB1D" w14:textId="55351282" w:rsidR="001939DD"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the year ended December 31, 201</w:t>
      </w:r>
      <w:r w:rsidR="00E576BB">
        <w:t>9</w:t>
      </w:r>
      <w:r w:rsidRPr="001C6303">
        <w:t xml:space="preserve"> those accounting policies that </w:t>
      </w:r>
      <w:r>
        <w:t>we consider</w:t>
      </w:r>
      <w:r w:rsidRPr="001C6303">
        <w:t xml:space="preserve"> significant in determining </w:t>
      </w:r>
      <w:r>
        <w:t>our</w:t>
      </w:r>
      <w:r w:rsidRPr="001C6303">
        <w:t xml:space="preserve"> results of oper</w:t>
      </w:r>
      <w:r w:rsidR="000251EA">
        <w:t xml:space="preserve">ations and financial position. </w:t>
      </w:r>
      <w:r w:rsidR="000F0F0D">
        <w:t>Other than as described below, t</w:t>
      </w:r>
      <w:r w:rsidRPr="001C6303">
        <w:t xml:space="preserve">here have been no material changes to, or in the application of, the accounting policies previously identified </w:t>
      </w:r>
      <w:r>
        <w:t>and described in the Form 10-K.</w:t>
      </w:r>
    </w:p>
    <w:p w14:paraId="7B4620A2" w14:textId="77777777" w:rsidR="00EC1997" w:rsidRDefault="00EC1997" w:rsidP="000A55AE"/>
    <w:p w14:paraId="587402D3" w14:textId="25642C08" w:rsidR="006B69BF" w:rsidRDefault="00BA1860" w:rsidP="000A55AE">
      <w:pPr>
        <w:pStyle w:val="BodyText"/>
        <w:spacing w:after="0"/>
      </w:pPr>
      <w:r>
        <w:t>T</w:t>
      </w:r>
      <w:r w:rsidRPr="005F0851">
        <w:t xml:space="preserve">here have been no </w:t>
      </w:r>
      <w:r w:rsidR="009736ED">
        <w:t xml:space="preserve">other </w:t>
      </w:r>
      <w:r w:rsidRPr="005F0851">
        <w:t>recent accounting pronouncements or changes in accounting pronouncements during</w:t>
      </w:r>
      <w:r>
        <w:t xml:space="preserve"> the </w:t>
      </w:r>
      <w:r w:rsidR="002A07F3">
        <w:t>six</w:t>
      </w:r>
      <w:r>
        <w:t xml:space="preserve"> months ended </w:t>
      </w:r>
      <w:r w:rsidR="002A07F3">
        <w:t>June</w:t>
      </w:r>
      <w:r w:rsidR="00F415DC">
        <w:t xml:space="preserve"> 3</w:t>
      </w:r>
      <w:r w:rsidR="002A07F3">
        <w:t>0</w:t>
      </w:r>
      <w:r w:rsidR="006B69BF">
        <w:t>,</w:t>
      </w:r>
      <w:r w:rsidR="00F415DC">
        <w:t xml:space="preserve"> 20</w:t>
      </w:r>
      <w:r w:rsidR="00E576BB">
        <w:t>20</w:t>
      </w:r>
      <w:r w:rsidRPr="005F0851">
        <w:t xml:space="preserve">, as compared to the recent accounting </w:t>
      </w:r>
      <w:r w:rsidR="00BD0DB6">
        <w:t xml:space="preserve">pronouncements described in our </w:t>
      </w:r>
      <w:r w:rsidR="00DC085C">
        <w:t>Annual Report on Form 10</w:t>
      </w:r>
      <w:r w:rsidR="002A3612">
        <w:noBreakHyphen/>
      </w:r>
      <w:r w:rsidRPr="005F0851">
        <w:t>K for t</w:t>
      </w:r>
      <w:r>
        <w:t>he fiscal year ended December 31</w:t>
      </w:r>
      <w:r w:rsidR="00F415DC">
        <w:t>, 201</w:t>
      </w:r>
      <w:r w:rsidR="00E576BB">
        <w:t>9</w:t>
      </w:r>
      <w:r w:rsidRPr="005F0851">
        <w:t xml:space="preserve">,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77777777" w:rsidR="0016206A" w:rsidRPr="001C6303" w:rsidRDefault="009157AA" w:rsidP="000A55AE">
      <w:pPr>
        <w:pStyle w:val="ListNumbering"/>
        <w:spacing w:after="0"/>
      </w:pPr>
      <w:bookmarkStart w:id="13"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F26A2C8" w14:textId="21331AA8" w:rsidR="00E576BB" w:rsidRPr="00E576BB" w:rsidRDefault="00E576BB" w:rsidP="00E576BB">
      <w:pPr>
        <w:rPr>
          <w:b/>
        </w:rPr>
      </w:pPr>
      <w:bookmarkStart w:id="14" w:name="_Hlk5353616"/>
      <w:r w:rsidRPr="00E576BB">
        <w:t xml:space="preserve">Basic and diluted loss per common share are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w:t>
      </w:r>
      <w:r w:rsidRPr="002D1A5A">
        <w:t xml:space="preserve">average number of common share equivalents which were excluded from the computation of diluted loss per share, </w:t>
      </w:r>
      <w:r w:rsidR="002A07F3" w:rsidRPr="001C6303">
        <w:t xml:space="preserve">totaled </w:t>
      </w:r>
      <w:r w:rsidR="00153174">
        <w:t>1,340,187</w:t>
      </w:r>
      <w:r w:rsidR="002A07F3">
        <w:t xml:space="preserve"> and </w:t>
      </w:r>
      <w:r w:rsidR="00153174">
        <w:t>1,103,815</w:t>
      </w:r>
      <w:r w:rsidR="002A07F3" w:rsidRPr="001C6303">
        <w:t xml:space="preserve"> shares </w:t>
      </w:r>
      <w:r w:rsidR="002A07F3">
        <w:t>for the three-month and six-month periods ended</w:t>
      </w:r>
      <w:r w:rsidR="002A07F3" w:rsidRPr="001C6303">
        <w:t xml:space="preserve"> </w:t>
      </w:r>
      <w:r w:rsidR="002A07F3">
        <w:t xml:space="preserve">June 30, 2020, respectively, as compared to </w:t>
      </w:r>
      <w:r w:rsidR="00153174">
        <w:t>188</w:t>
      </w:r>
      <w:r w:rsidR="002A07F3">
        <w:t xml:space="preserve"> and </w:t>
      </w:r>
      <w:r w:rsidR="00153174">
        <w:t>176</w:t>
      </w:r>
      <w:r w:rsidR="002A07F3">
        <w:t xml:space="preserve"> shares for the three-month and six-month periods ended</w:t>
      </w:r>
      <w:r w:rsidR="002A07F3" w:rsidRPr="001C6303">
        <w:t xml:space="preserve"> </w:t>
      </w:r>
      <w:r w:rsidR="002A07F3">
        <w:t xml:space="preserve">June 30, 2019, respectively. </w:t>
      </w:r>
      <w:r w:rsidRPr="002D1A5A">
        <w:t xml:space="preserve"> </w:t>
      </w:r>
      <w:r w:rsidRPr="00780B16">
        <w:t xml:space="preserve">See Note </w:t>
      </w:r>
      <w:r w:rsidR="00ED7E6A">
        <w:t>10</w:t>
      </w:r>
      <w:r w:rsidRPr="00780B16">
        <w:t xml:space="preserve"> for more information concerning our outstanding common share equivalents </w:t>
      </w:r>
      <w:proofErr w:type="gramStart"/>
      <w:r w:rsidRPr="00780B16">
        <w:t>at</w:t>
      </w:r>
      <w:proofErr w:type="gramEnd"/>
      <w:r w:rsidRPr="00780B16">
        <w:t xml:space="preserve"> </w:t>
      </w:r>
      <w:r w:rsidR="002A07F3" w:rsidRPr="00780B16">
        <w:t>June</w:t>
      </w:r>
      <w:r w:rsidRPr="00780B16">
        <w:t xml:space="preserve"> 3</w:t>
      </w:r>
      <w:r w:rsidR="002A07F3" w:rsidRPr="00780B16">
        <w:t>0</w:t>
      </w:r>
      <w:r w:rsidRPr="00780B16">
        <w:t>, 2020 that could potentially dilute earnings</w:t>
      </w:r>
      <w:r w:rsidRPr="00E576BB">
        <w:t xml:space="preserve"> per share in the future.</w:t>
      </w:r>
    </w:p>
    <w:p w14:paraId="11EADC99" w14:textId="77777777" w:rsidR="00E576BB" w:rsidRDefault="00E576BB" w:rsidP="000A55AE">
      <w:pPr>
        <w:pStyle w:val="BodyText"/>
        <w:spacing w:after="0"/>
      </w:pPr>
    </w:p>
    <w:bookmarkEnd w:id="13"/>
    <w:bookmarkEnd w:id="14"/>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0052AAEF"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2A07F3">
        <w:t>June</w:t>
      </w:r>
      <w:r w:rsidR="00F415DC">
        <w:t xml:space="preserve"> 3</w:t>
      </w:r>
      <w:r w:rsidR="002A07F3">
        <w:t>0</w:t>
      </w:r>
      <w:r w:rsidR="00F415DC">
        <w:t>, 20</w:t>
      </w:r>
      <w:r w:rsidR="00E576BB">
        <w:t>20</w:t>
      </w:r>
      <w:r w:rsidR="00F415DC">
        <w:t xml:space="preserve"> and December 31, 201</w:t>
      </w:r>
      <w:r w:rsidR="00E576BB">
        <w:t>9</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292189A2" w:rsidR="00B06A21" w:rsidRDefault="002A07F3" w:rsidP="000A55AE">
            <w:pPr>
              <w:jc w:val="center"/>
            </w:pPr>
            <w:r>
              <w:t>June</w:t>
            </w:r>
            <w:r w:rsidR="00F415DC">
              <w:t xml:space="preserve"> 3</w:t>
            </w:r>
            <w:r>
              <w:t>0</w:t>
            </w:r>
            <w:r w:rsidR="00B06A21">
              <w:t>,</w:t>
            </w:r>
          </w:p>
          <w:p w14:paraId="23AB651E" w14:textId="20101564" w:rsidR="004B5B77" w:rsidRPr="00EB7BF0" w:rsidRDefault="004B5B77" w:rsidP="000A55AE">
            <w:pPr>
              <w:jc w:val="center"/>
            </w:pPr>
            <w:r>
              <w:t>20</w:t>
            </w:r>
            <w:r w:rsidR="00E576BB">
              <w:t>20</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0E66A13B" w:rsidR="004B5B77" w:rsidRPr="00EB7BF0" w:rsidRDefault="00B06A21" w:rsidP="000A55AE">
            <w:pPr>
              <w:jc w:val="center"/>
            </w:pPr>
            <w:r>
              <w:t>201</w:t>
            </w:r>
            <w:r w:rsidR="00E576BB">
              <w:t>9</w:t>
            </w:r>
          </w:p>
        </w:tc>
      </w:tr>
      <w:tr w:rsidR="004B5B77" w:rsidRPr="00EB7BF0" w14:paraId="7654121A" w14:textId="77777777" w:rsidTr="002B05F2">
        <w:tc>
          <w:tcPr>
            <w:tcW w:w="6055" w:type="dxa"/>
          </w:tcPr>
          <w:p w14:paraId="3BC8BA6E" w14:textId="77777777" w:rsidR="004B5B77" w:rsidRPr="00EB7BF0" w:rsidRDefault="004B5B77" w:rsidP="000A55AE">
            <w:pPr>
              <w:ind w:left="162"/>
            </w:pPr>
            <w:r w:rsidRPr="00EB7BF0">
              <w:t>Laboratory equipment</w:t>
            </w:r>
          </w:p>
        </w:tc>
        <w:tc>
          <w:tcPr>
            <w:tcW w:w="1842" w:type="dxa"/>
          </w:tcPr>
          <w:p w14:paraId="1EA4D72B" w14:textId="0C492AA0" w:rsidR="004B5B77" w:rsidRPr="00FA15F9" w:rsidRDefault="004B5B77" w:rsidP="000A55AE">
            <w:pPr>
              <w:tabs>
                <w:tab w:val="decimal" w:pos="1332"/>
              </w:tabs>
            </w:pPr>
            <w:proofErr w:type="gramStart"/>
            <w:r w:rsidRPr="00FA15F9">
              <w:t>$</w:t>
            </w:r>
            <w:r w:rsidR="00685606" w:rsidRPr="00FA15F9">
              <w:t xml:space="preserve"> </w:t>
            </w:r>
            <w:r w:rsidRPr="00FA15F9">
              <w:t xml:space="preserve"> </w:t>
            </w:r>
            <w:r w:rsidR="00D127E4">
              <w:t>53</w:t>
            </w:r>
            <w:r w:rsidR="002D1A5A">
              <w:t>4</w:t>
            </w:r>
            <w:r w:rsidR="00D127E4">
              <w:t>,577</w:t>
            </w:r>
            <w:proofErr w:type="gramEnd"/>
          </w:p>
        </w:tc>
        <w:tc>
          <w:tcPr>
            <w:tcW w:w="1841" w:type="dxa"/>
          </w:tcPr>
          <w:p w14:paraId="34DF51DB" w14:textId="61222214" w:rsidR="004B5B77" w:rsidRPr="00EB7BF0" w:rsidRDefault="00B06A21" w:rsidP="000A55AE">
            <w:pPr>
              <w:tabs>
                <w:tab w:val="decimal" w:pos="1287"/>
              </w:tabs>
            </w:pPr>
            <w:r>
              <w:t xml:space="preserve">$   </w:t>
            </w:r>
            <w:r w:rsidR="00E576BB">
              <w:t>534,577</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6B9B0290" w:rsidR="004B5B77" w:rsidRPr="00FA15F9" w:rsidRDefault="00D127E4" w:rsidP="000A55AE">
            <w:pPr>
              <w:tabs>
                <w:tab w:val="decimal" w:pos="1332"/>
              </w:tabs>
            </w:pPr>
            <w:r>
              <w:t>115,605</w:t>
            </w:r>
          </w:p>
        </w:tc>
        <w:tc>
          <w:tcPr>
            <w:tcW w:w="1841" w:type="dxa"/>
          </w:tcPr>
          <w:p w14:paraId="27EED44E" w14:textId="0C3764FF" w:rsidR="004B5B77" w:rsidRPr="00EB7BF0" w:rsidRDefault="00B06A21" w:rsidP="000A55AE">
            <w:pPr>
              <w:tabs>
                <w:tab w:val="decimal" w:pos="1287"/>
              </w:tabs>
            </w:pPr>
            <w:r>
              <w:t>1</w:t>
            </w:r>
            <w:r w:rsidR="00E576BB">
              <w:t>15,605</w:t>
            </w:r>
          </w:p>
        </w:tc>
      </w:tr>
      <w:tr w:rsidR="004B5B77" w:rsidRPr="00EB7BF0" w14:paraId="1AAB25BD" w14:textId="77777777" w:rsidTr="002B05F2">
        <w:tc>
          <w:tcPr>
            <w:tcW w:w="6055" w:type="dxa"/>
          </w:tcPr>
          <w:p w14:paraId="6B801FB2" w14:textId="77777777" w:rsidR="004B5B77" w:rsidRPr="00EB7BF0" w:rsidRDefault="004B5B77" w:rsidP="000A55AE">
            <w:pPr>
              <w:ind w:left="162"/>
            </w:pPr>
            <w:r w:rsidRPr="00EB7BF0">
              <w:t>Other furniture, fixtures &amp; equipment</w:t>
            </w:r>
          </w:p>
        </w:tc>
        <w:tc>
          <w:tcPr>
            <w:tcW w:w="1842" w:type="dxa"/>
            <w:tcBorders>
              <w:bottom w:val="single" w:sz="4" w:space="0" w:color="auto"/>
            </w:tcBorders>
          </w:tcPr>
          <w:p w14:paraId="2D4CEBF9" w14:textId="462C394F" w:rsidR="004B5B77" w:rsidRPr="00FA15F9" w:rsidRDefault="00D127E4" w:rsidP="000A55AE">
            <w:pPr>
              <w:tabs>
                <w:tab w:val="decimal" w:pos="1332"/>
              </w:tabs>
            </w:pPr>
            <w:r>
              <w:t>11,736</w:t>
            </w:r>
          </w:p>
        </w:tc>
        <w:tc>
          <w:tcPr>
            <w:tcW w:w="1841" w:type="dxa"/>
            <w:tcBorders>
              <w:bottom w:val="single" w:sz="4" w:space="0" w:color="auto"/>
            </w:tcBorders>
          </w:tcPr>
          <w:p w14:paraId="7B05701E" w14:textId="2849C8A1" w:rsidR="004B5B77" w:rsidRPr="00EB7BF0" w:rsidRDefault="00E576BB" w:rsidP="000A55AE">
            <w:pPr>
              <w:tabs>
                <w:tab w:val="decimal" w:pos="1287"/>
              </w:tabs>
            </w:pPr>
            <w:r>
              <w:t>11,736</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3394B503" w:rsidR="004B5B77" w:rsidRPr="00FA15F9" w:rsidRDefault="00D127E4" w:rsidP="000A55AE">
            <w:pPr>
              <w:tabs>
                <w:tab w:val="decimal" w:pos="1332"/>
              </w:tabs>
            </w:pPr>
            <w:r>
              <w:t>661,918</w:t>
            </w:r>
          </w:p>
        </w:tc>
        <w:tc>
          <w:tcPr>
            <w:tcW w:w="1841" w:type="dxa"/>
            <w:tcBorders>
              <w:top w:val="single" w:sz="4" w:space="0" w:color="auto"/>
            </w:tcBorders>
          </w:tcPr>
          <w:p w14:paraId="6309218B" w14:textId="33A7FD5F" w:rsidR="004B5B77" w:rsidRPr="00EB7BF0" w:rsidRDefault="00E576BB" w:rsidP="000A55AE">
            <w:pPr>
              <w:tabs>
                <w:tab w:val="decimal" w:pos="1287"/>
              </w:tabs>
            </w:pPr>
            <w:r>
              <w:t>661,918</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6EE33969" w:rsidR="004B5B77" w:rsidRPr="00780B16" w:rsidRDefault="000467AD" w:rsidP="000A55AE">
            <w:pPr>
              <w:tabs>
                <w:tab w:val="decimal" w:pos="1332"/>
              </w:tabs>
            </w:pPr>
            <w:r w:rsidRPr="00780B16">
              <w:t>(</w:t>
            </w:r>
            <w:r w:rsidR="00D127E4" w:rsidRPr="00780B16">
              <w:t>6</w:t>
            </w:r>
            <w:r w:rsidR="00780B16" w:rsidRPr="00780B16">
              <w:t>53,300</w:t>
            </w:r>
            <w:r w:rsidRPr="00780B16">
              <w:t>)</w:t>
            </w:r>
          </w:p>
        </w:tc>
        <w:tc>
          <w:tcPr>
            <w:tcW w:w="1841" w:type="dxa"/>
            <w:tcBorders>
              <w:bottom w:val="single" w:sz="4" w:space="0" w:color="auto"/>
            </w:tcBorders>
          </w:tcPr>
          <w:p w14:paraId="675271A9" w14:textId="3D91DEEA" w:rsidR="004B5B77" w:rsidRPr="00452D3C" w:rsidRDefault="00F415DC" w:rsidP="000A55AE">
            <w:pPr>
              <w:tabs>
                <w:tab w:val="decimal" w:pos="1287"/>
              </w:tabs>
            </w:pPr>
            <w:r>
              <w:t>(</w:t>
            </w:r>
            <w:r w:rsidR="00E576BB">
              <w:t>651,312</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1E1E5254" w:rsidR="004B5B77" w:rsidRPr="00780B16" w:rsidRDefault="00B06A21" w:rsidP="000A55AE">
            <w:pPr>
              <w:tabs>
                <w:tab w:val="decimal" w:pos="1332"/>
              </w:tabs>
            </w:pPr>
            <w:r w:rsidRPr="00780B16">
              <w:t xml:space="preserve">$ </w:t>
            </w:r>
            <w:r w:rsidR="005776D5" w:rsidRPr="00780B16">
              <w:t xml:space="preserve"> </w:t>
            </w:r>
            <w:r w:rsidRPr="00780B16">
              <w:t xml:space="preserve"> </w:t>
            </w:r>
            <w:r w:rsidR="00780B16" w:rsidRPr="00780B16">
              <w:t xml:space="preserve"> </w:t>
            </w:r>
            <w:r w:rsidRPr="00780B16">
              <w:t xml:space="preserve"> </w:t>
            </w:r>
            <w:r w:rsidR="00780B16" w:rsidRPr="00780B16">
              <w:t>8,618</w:t>
            </w:r>
          </w:p>
        </w:tc>
        <w:tc>
          <w:tcPr>
            <w:tcW w:w="1841" w:type="dxa"/>
            <w:tcBorders>
              <w:top w:val="single" w:sz="4" w:space="0" w:color="auto"/>
              <w:bottom w:val="double" w:sz="4" w:space="0" w:color="auto"/>
            </w:tcBorders>
          </w:tcPr>
          <w:p w14:paraId="3FB8FADE" w14:textId="0A7EE76C" w:rsidR="004B5B77" w:rsidRPr="00EB7BF0" w:rsidRDefault="00B06A21" w:rsidP="000A55AE">
            <w:pPr>
              <w:tabs>
                <w:tab w:val="decimal" w:pos="1287"/>
              </w:tabs>
            </w:pPr>
            <w:r w:rsidRPr="00452D3C">
              <w:t xml:space="preserve">$   </w:t>
            </w:r>
            <w:r w:rsidR="009157AA" w:rsidRPr="00452D3C">
              <w:t xml:space="preserve"> </w:t>
            </w:r>
            <w:r w:rsidR="002B05F2">
              <w:t xml:space="preserve"> </w:t>
            </w:r>
            <w:r w:rsidR="00E576BB">
              <w:t>10,606</w:t>
            </w:r>
          </w:p>
        </w:tc>
      </w:tr>
    </w:tbl>
    <w:p w14:paraId="55D101AD" w14:textId="77777777" w:rsidR="000A55AE" w:rsidRDefault="000A55AE" w:rsidP="000A55AE">
      <w:pPr>
        <w:pStyle w:val="BodyText"/>
        <w:spacing w:after="0"/>
      </w:pPr>
    </w:p>
    <w:p w14:paraId="03CEE78D" w14:textId="77777777" w:rsidR="005922F5" w:rsidRDefault="005922F5">
      <w:pPr>
        <w:rPr>
          <w:b/>
        </w:rPr>
      </w:pPr>
      <w:r>
        <w:br w:type="page"/>
      </w:r>
    </w:p>
    <w:p w14:paraId="7014B4BF" w14:textId="1D63415A" w:rsidR="002B05F2" w:rsidRDefault="002B05F2" w:rsidP="000A55AE">
      <w:pPr>
        <w:pStyle w:val="ListNumbering"/>
        <w:spacing w:after="0"/>
      </w:pPr>
      <w:r>
        <w:lastRenderedPageBreak/>
        <w:t>6</w:t>
      </w:r>
      <w:r w:rsidRPr="001C6303">
        <w:t>.</w:t>
      </w:r>
      <w:r w:rsidRPr="001C6303">
        <w:tab/>
      </w:r>
      <w:r>
        <w:t>Accrued Expenses</w:t>
      </w:r>
    </w:p>
    <w:p w14:paraId="275B29E8" w14:textId="77777777" w:rsidR="000A55AE" w:rsidRDefault="000A55AE" w:rsidP="000A55AE">
      <w:pPr>
        <w:pStyle w:val="BodyText"/>
        <w:spacing w:after="0"/>
      </w:pPr>
    </w:p>
    <w:p w14:paraId="6566F606" w14:textId="4AD1F028" w:rsidR="000E74A1" w:rsidRPr="000E74A1" w:rsidRDefault="000E74A1" w:rsidP="000A55AE">
      <w:pPr>
        <w:pStyle w:val="BodyText"/>
        <w:spacing w:after="0"/>
      </w:pPr>
      <w:r>
        <w:t xml:space="preserve">Accrued expenses as shown on the accompanying Condensed Consolidated Balance Sheets </w:t>
      </w:r>
      <w:r w:rsidR="001B5554">
        <w:t xml:space="preserve">are </w:t>
      </w:r>
      <w:r>
        <w:t xml:space="preserve">composed of the following as of </w:t>
      </w:r>
      <w:r w:rsidR="002A07F3">
        <w:t>June</w:t>
      </w:r>
      <w:r w:rsidR="009941FA">
        <w:t xml:space="preserve"> 3</w:t>
      </w:r>
      <w:r w:rsidR="002A07F3">
        <w:t>0</w:t>
      </w:r>
      <w:r w:rsidR="009941FA">
        <w:t>, 20</w:t>
      </w:r>
      <w:r w:rsidR="00717940">
        <w:t>20</w:t>
      </w:r>
      <w:r w:rsidR="009941FA">
        <w:t xml:space="preserve"> and December 31, 201</w:t>
      </w:r>
      <w:r w:rsidR="00717940">
        <w:t>9</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157CD2DC" w:rsidR="002B05F2" w:rsidRDefault="002A07F3" w:rsidP="000A55AE">
            <w:pPr>
              <w:jc w:val="center"/>
            </w:pPr>
            <w:r>
              <w:t>June</w:t>
            </w:r>
            <w:r w:rsidR="009941FA">
              <w:t xml:space="preserve"> 3</w:t>
            </w:r>
            <w:r>
              <w:t>0</w:t>
            </w:r>
            <w:r w:rsidR="002B05F2">
              <w:t>,</w:t>
            </w:r>
          </w:p>
          <w:p w14:paraId="5D0B64A1" w14:textId="55256D50" w:rsidR="002B05F2" w:rsidRPr="00EB7BF0" w:rsidRDefault="002B05F2" w:rsidP="000A55AE">
            <w:pPr>
              <w:jc w:val="center"/>
            </w:pPr>
            <w:r>
              <w:t>20</w:t>
            </w:r>
            <w:r w:rsidR="00717940">
              <w:t>20</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74143528" w:rsidR="002B05F2" w:rsidRPr="00EB7BF0" w:rsidRDefault="002B05F2" w:rsidP="000A55AE">
            <w:pPr>
              <w:jc w:val="center"/>
            </w:pPr>
            <w:r>
              <w:t>201</w:t>
            </w:r>
            <w:r w:rsidR="00717940">
              <w:t>9</w:t>
            </w:r>
          </w:p>
        </w:tc>
      </w:tr>
      <w:tr w:rsidR="002B05F2" w:rsidRPr="00EB7BF0" w14:paraId="62D03BE8" w14:textId="77777777" w:rsidTr="002B05F2">
        <w:tc>
          <w:tcPr>
            <w:tcW w:w="6055" w:type="dxa"/>
          </w:tcPr>
          <w:p w14:paraId="54134F05" w14:textId="12C2A16D" w:rsidR="002B05F2" w:rsidRPr="00EB7BF0" w:rsidRDefault="002B05F2" w:rsidP="000A55AE">
            <w:pPr>
              <w:ind w:left="162"/>
            </w:pPr>
            <w:r>
              <w:t xml:space="preserve">Accrued </w:t>
            </w:r>
            <w:r w:rsidR="00780B16">
              <w:t>payroll</w:t>
            </w:r>
          </w:p>
        </w:tc>
        <w:tc>
          <w:tcPr>
            <w:tcW w:w="1842" w:type="dxa"/>
          </w:tcPr>
          <w:p w14:paraId="03CB4ED6" w14:textId="76F1C430" w:rsidR="002B05F2" w:rsidRPr="001A4CBD" w:rsidRDefault="009941FA" w:rsidP="000A55AE">
            <w:pPr>
              <w:tabs>
                <w:tab w:val="decimal" w:pos="1199"/>
              </w:tabs>
            </w:pPr>
            <w:r>
              <w:t xml:space="preserve">$ </w:t>
            </w:r>
            <w:r w:rsidR="00780B16">
              <w:t>1,508,903</w:t>
            </w:r>
          </w:p>
        </w:tc>
        <w:tc>
          <w:tcPr>
            <w:tcW w:w="1841" w:type="dxa"/>
          </w:tcPr>
          <w:p w14:paraId="299C0DF5" w14:textId="33073ABB" w:rsidR="002B05F2" w:rsidRPr="00EB7BF0" w:rsidRDefault="002B05F2" w:rsidP="000A55AE">
            <w:pPr>
              <w:tabs>
                <w:tab w:val="decimal" w:pos="1157"/>
              </w:tabs>
            </w:pPr>
            <w:r>
              <w:t>$</w:t>
            </w:r>
            <w:r w:rsidR="00C67C3F">
              <w:t xml:space="preserve"> </w:t>
            </w:r>
            <w:r w:rsidR="00717940">
              <w:t>1,323,483</w:t>
            </w:r>
          </w:p>
        </w:tc>
      </w:tr>
      <w:tr w:rsidR="002B05F2" w:rsidRPr="00EB7BF0" w14:paraId="303A0569" w14:textId="77777777" w:rsidTr="002B05F2">
        <w:tc>
          <w:tcPr>
            <w:tcW w:w="6055" w:type="dxa"/>
          </w:tcPr>
          <w:p w14:paraId="69970D31" w14:textId="77777777" w:rsidR="002B05F2" w:rsidRPr="00EB7BF0" w:rsidRDefault="002B05F2" w:rsidP="000A55AE">
            <w:pPr>
              <w:ind w:left="162"/>
            </w:pPr>
            <w:r>
              <w:t>Accrued directors’ fees</w:t>
            </w:r>
          </w:p>
        </w:tc>
        <w:tc>
          <w:tcPr>
            <w:tcW w:w="1842" w:type="dxa"/>
          </w:tcPr>
          <w:p w14:paraId="62E20FCD" w14:textId="62ABEFD3" w:rsidR="002B05F2" w:rsidRPr="001A4CBD" w:rsidRDefault="00780B16" w:rsidP="000A55AE">
            <w:pPr>
              <w:tabs>
                <w:tab w:val="decimal" w:pos="1199"/>
              </w:tabs>
            </w:pPr>
            <w:r>
              <w:t>463,170</w:t>
            </w:r>
          </w:p>
        </w:tc>
        <w:tc>
          <w:tcPr>
            <w:tcW w:w="1841" w:type="dxa"/>
          </w:tcPr>
          <w:p w14:paraId="1585271B" w14:textId="6C4EE9DD" w:rsidR="002B05F2" w:rsidRPr="00EB7BF0" w:rsidRDefault="00717940" w:rsidP="000A55AE">
            <w:pPr>
              <w:tabs>
                <w:tab w:val="decimal" w:pos="1157"/>
              </w:tabs>
            </w:pPr>
            <w:r>
              <w:t>409,219</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7D9D6497" w:rsidR="002B05F2" w:rsidRPr="001A4CBD" w:rsidRDefault="00F46637" w:rsidP="000A55AE">
            <w:pPr>
              <w:tabs>
                <w:tab w:val="decimal" w:pos="1199"/>
              </w:tabs>
            </w:pPr>
            <w:r>
              <w:t>104,286</w:t>
            </w:r>
          </w:p>
        </w:tc>
        <w:tc>
          <w:tcPr>
            <w:tcW w:w="1841" w:type="dxa"/>
            <w:tcBorders>
              <w:bottom w:val="single" w:sz="4" w:space="0" w:color="auto"/>
            </w:tcBorders>
          </w:tcPr>
          <w:p w14:paraId="366C406E" w14:textId="14067B76" w:rsidR="002B05F2" w:rsidRPr="00452D3C" w:rsidRDefault="00717940" w:rsidP="000A55AE">
            <w:pPr>
              <w:tabs>
                <w:tab w:val="decimal" w:pos="1157"/>
              </w:tabs>
            </w:pPr>
            <w:r>
              <w:t>118,338</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4621490F" w:rsidR="002B05F2" w:rsidRPr="001A4CBD" w:rsidRDefault="009941FA" w:rsidP="000A55AE">
            <w:pPr>
              <w:tabs>
                <w:tab w:val="decimal" w:pos="1199"/>
              </w:tabs>
            </w:pPr>
            <w:r>
              <w:t xml:space="preserve">$ </w:t>
            </w:r>
            <w:r w:rsidR="00780B16">
              <w:t>2,0</w:t>
            </w:r>
            <w:r w:rsidR="00F46637">
              <w:t>76,359</w:t>
            </w:r>
          </w:p>
        </w:tc>
        <w:tc>
          <w:tcPr>
            <w:tcW w:w="1841" w:type="dxa"/>
            <w:tcBorders>
              <w:top w:val="single" w:sz="4" w:space="0" w:color="auto"/>
              <w:bottom w:val="double" w:sz="4" w:space="0" w:color="auto"/>
            </w:tcBorders>
          </w:tcPr>
          <w:p w14:paraId="27A7728F" w14:textId="48F3260A" w:rsidR="002B05F2" w:rsidRPr="00EB7BF0" w:rsidRDefault="009941FA" w:rsidP="000A55AE">
            <w:pPr>
              <w:tabs>
                <w:tab w:val="decimal" w:pos="1157"/>
              </w:tabs>
            </w:pPr>
            <w:r>
              <w:t xml:space="preserve">$ </w:t>
            </w:r>
            <w:r w:rsidR="00717940">
              <w:t>1,851,040</w:t>
            </w:r>
          </w:p>
        </w:tc>
      </w:tr>
    </w:tbl>
    <w:p w14:paraId="3A7C2485" w14:textId="77777777" w:rsidR="000A55AE" w:rsidRDefault="000A55AE" w:rsidP="000A55AE">
      <w:pPr>
        <w:pStyle w:val="BodyText"/>
        <w:spacing w:after="0"/>
      </w:pPr>
    </w:p>
    <w:p w14:paraId="318042A1" w14:textId="7F949E36"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7B8A794D" w14:textId="77777777" w:rsidR="00780B16" w:rsidRDefault="00780B16" w:rsidP="000A55AE">
      <w:pPr>
        <w:suppressAutoHyphens/>
        <w:spacing w:line="240" w:lineRule="exact"/>
        <w:rPr>
          <w:rFonts w:ascii="CG Times (WN)" w:hAnsi="CG Times (WN)"/>
        </w:rPr>
      </w:pPr>
      <w:bookmarkStart w:id="15" w:name="_Hlk511052867"/>
    </w:p>
    <w:p w14:paraId="3F790DD7" w14:textId="77777777" w:rsidR="002A07F3" w:rsidRPr="002A07F3" w:rsidRDefault="002A07F3" w:rsidP="00C5141A">
      <w:pPr>
        <w:suppressAutoHyphens/>
        <w:spacing w:line="240" w:lineRule="exact"/>
        <w:rPr>
          <w:rFonts w:ascii="CG Times (WN)" w:hAnsi="CG Times (WN)"/>
          <w:i/>
          <w:iCs/>
        </w:rPr>
      </w:pPr>
      <w:bookmarkStart w:id="16" w:name="_Hlk536784938"/>
      <w:bookmarkEnd w:id="15"/>
      <w:r w:rsidRPr="002A07F3">
        <w:rPr>
          <w:rFonts w:ascii="CG Times (WN)" w:hAnsi="CG Times (WN)"/>
          <w:i/>
          <w:iCs/>
        </w:rPr>
        <w:t>GRA Note</w:t>
      </w:r>
    </w:p>
    <w:p w14:paraId="148942C4" w14:textId="77777777" w:rsidR="002A07F3" w:rsidRDefault="002A07F3" w:rsidP="00C5141A">
      <w:pPr>
        <w:suppressAutoHyphens/>
        <w:spacing w:line="240" w:lineRule="exact"/>
        <w:rPr>
          <w:rFonts w:ascii="CG Times (WN)" w:hAnsi="CG Times (WN)"/>
        </w:rPr>
      </w:pPr>
    </w:p>
    <w:p w14:paraId="78272D87" w14:textId="7357FB32" w:rsidR="00C5141A" w:rsidRDefault="00C5141A" w:rsidP="00C5141A">
      <w:pPr>
        <w:suppressAutoHyphens/>
        <w:spacing w:line="240" w:lineRule="exact"/>
        <w:rPr>
          <w:rFonts w:ascii="CG Times (WN)" w:hAnsi="CG Times (WN)"/>
        </w:rPr>
      </w:pPr>
      <w:r w:rsidRPr="00C5141A">
        <w:rPr>
          <w:rFonts w:ascii="CG Times (WN)" w:hAnsi="CG Times (WN)"/>
        </w:rPr>
        <w:t xml:space="preserve">On February 28, 2018, we entered into a Senior Note Purchase Agreement with Georgia Research Alliance, Inc. (GRA) pursuant to which we issued a five-year Senior Promissory Note (the “GRA Note”) to GRA in exchange for $50,000. The GRA Note bears an annual interest rate of 5%, payable monthly. </w:t>
      </w:r>
      <w:r w:rsidR="002D1A5A">
        <w:rPr>
          <w:rFonts w:ascii="CG Times (WN)" w:hAnsi="CG Times (WN)"/>
        </w:rPr>
        <w:t>Future p</w:t>
      </w:r>
      <w:r w:rsidRPr="00C5141A">
        <w:rPr>
          <w:rFonts w:ascii="CG Times (WN)" w:hAnsi="CG Times (WN)"/>
        </w:rPr>
        <w:t xml:space="preserve">rincipal repayments are expected to be </w:t>
      </w:r>
      <w:r w:rsidR="002A07F3">
        <w:rPr>
          <w:rFonts w:ascii="CG Times (WN)" w:hAnsi="CG Times (WN)"/>
        </w:rPr>
        <w:t>$</w:t>
      </w:r>
      <w:r w:rsidR="00780B16">
        <w:rPr>
          <w:rFonts w:ascii="CG Times (WN)" w:hAnsi="CG Times (WN)"/>
        </w:rPr>
        <w:t>6,013</w:t>
      </w:r>
      <w:r w:rsidRPr="00C5141A">
        <w:rPr>
          <w:rFonts w:ascii="CG Times (WN)" w:hAnsi="CG Times (WN)"/>
        </w:rPr>
        <w:t xml:space="preserve"> </w:t>
      </w:r>
      <w:r>
        <w:rPr>
          <w:rFonts w:ascii="CG Times (WN)" w:hAnsi="CG Times (WN)"/>
        </w:rPr>
        <w:t>for the remainder of</w:t>
      </w:r>
      <w:r w:rsidRPr="00C5141A">
        <w:rPr>
          <w:rFonts w:ascii="CG Times (WN)" w:hAnsi="CG Times (WN)"/>
        </w:rPr>
        <w:t xml:space="preserve"> 20</w:t>
      </w:r>
      <w:r w:rsidR="00CD2A74">
        <w:rPr>
          <w:rFonts w:ascii="CG Times (WN)" w:hAnsi="CG Times (WN)"/>
        </w:rPr>
        <w:t>20</w:t>
      </w:r>
      <w:r w:rsidR="00EC50DD">
        <w:rPr>
          <w:rFonts w:ascii="CG Times (WN)" w:hAnsi="CG Times (WN)"/>
        </w:rPr>
        <w:t>.</w:t>
      </w:r>
      <w:r w:rsidRPr="00C5141A">
        <w:rPr>
          <w:rFonts w:ascii="CG Times (WN)" w:hAnsi="CG Times (WN)"/>
        </w:rPr>
        <w:t xml:space="preserve"> $</w:t>
      </w:r>
      <w:r w:rsidR="00CD2A74">
        <w:rPr>
          <w:rFonts w:ascii="CG Times (WN)" w:hAnsi="CG Times (WN)"/>
        </w:rPr>
        <w:t>12,487</w:t>
      </w:r>
      <w:r w:rsidRPr="00C5141A">
        <w:rPr>
          <w:rFonts w:ascii="CG Times (WN)" w:hAnsi="CG Times (WN)"/>
        </w:rPr>
        <w:t xml:space="preserve"> in 202</w:t>
      </w:r>
      <w:r w:rsidR="00CD2A74">
        <w:rPr>
          <w:rFonts w:ascii="CG Times (WN)" w:hAnsi="CG Times (WN)"/>
        </w:rPr>
        <w:t>1</w:t>
      </w:r>
      <w:r w:rsidRPr="00C5141A">
        <w:rPr>
          <w:rFonts w:ascii="CG Times (WN)" w:hAnsi="CG Times (WN)"/>
        </w:rPr>
        <w:t xml:space="preserve">, </w:t>
      </w:r>
      <w:r w:rsidR="00CD2A74">
        <w:rPr>
          <w:rFonts w:ascii="CG Times (WN)" w:hAnsi="CG Times (WN)"/>
        </w:rPr>
        <w:t xml:space="preserve">$13,126 in </w:t>
      </w:r>
      <w:r w:rsidRPr="00C5141A">
        <w:rPr>
          <w:rFonts w:ascii="CG Times (WN)" w:hAnsi="CG Times (WN)"/>
        </w:rPr>
        <w:t>2022, and $2,</w:t>
      </w:r>
      <w:r w:rsidR="00CD2A74">
        <w:rPr>
          <w:rFonts w:ascii="CG Times (WN)" w:hAnsi="CG Times (WN)"/>
        </w:rPr>
        <w:t>252</w:t>
      </w:r>
      <w:r w:rsidRPr="00C5141A">
        <w:rPr>
          <w:rFonts w:ascii="CG Times (WN)" w:hAnsi="CG Times (WN)"/>
        </w:rPr>
        <w:t xml:space="preserve"> in 2023. </w:t>
      </w:r>
      <w:r w:rsidR="002A07F3" w:rsidRPr="00C5141A">
        <w:rPr>
          <w:rFonts w:ascii="CG Times (WN)" w:hAnsi="CG Times (WN)"/>
        </w:rPr>
        <w:t xml:space="preserve">Interest expense related to the GRA Note </w:t>
      </w:r>
      <w:bookmarkStart w:id="17" w:name="_Hlk5354743"/>
      <w:r w:rsidR="002A07F3" w:rsidRPr="00C5141A">
        <w:rPr>
          <w:rFonts w:ascii="CG Times (WN)" w:hAnsi="CG Times (WN)"/>
        </w:rPr>
        <w:t xml:space="preserve">for </w:t>
      </w:r>
      <w:r w:rsidR="002A07F3">
        <w:rPr>
          <w:rFonts w:ascii="CG Times (WN)" w:hAnsi="CG Times (WN)"/>
        </w:rPr>
        <w:t xml:space="preserve">the three-month and six-month periods ended June 30, 2020 </w:t>
      </w:r>
      <w:r w:rsidR="002A07F3" w:rsidRPr="00C5141A">
        <w:rPr>
          <w:rFonts w:ascii="CG Times (WN)" w:hAnsi="CG Times (WN)"/>
        </w:rPr>
        <w:t xml:space="preserve">was </w:t>
      </w:r>
      <w:r w:rsidR="002A07F3">
        <w:rPr>
          <w:rFonts w:ascii="CG Times (WN)" w:hAnsi="CG Times (WN)"/>
        </w:rPr>
        <w:t>$</w:t>
      </w:r>
      <w:r w:rsidR="00780B16">
        <w:rPr>
          <w:rFonts w:ascii="CG Times (WN)" w:hAnsi="CG Times (WN)"/>
        </w:rPr>
        <w:t>448</w:t>
      </w:r>
      <w:r w:rsidR="002A07F3">
        <w:rPr>
          <w:rFonts w:ascii="CG Times (WN)" w:hAnsi="CG Times (WN)"/>
        </w:rPr>
        <w:t xml:space="preserve"> and </w:t>
      </w:r>
      <w:r w:rsidR="002A07F3" w:rsidRPr="00C5141A">
        <w:rPr>
          <w:rFonts w:ascii="CG Times (WN)" w:hAnsi="CG Times (WN)"/>
        </w:rPr>
        <w:t>$</w:t>
      </w:r>
      <w:bookmarkEnd w:id="17"/>
      <w:r w:rsidR="00780B16">
        <w:rPr>
          <w:rFonts w:ascii="CG Times (WN)" w:hAnsi="CG Times (WN)"/>
        </w:rPr>
        <w:t>933</w:t>
      </w:r>
      <w:r w:rsidR="002A07F3">
        <w:rPr>
          <w:rFonts w:ascii="CG Times (WN)" w:hAnsi="CG Times (WN)"/>
        </w:rPr>
        <w:t xml:space="preserve">, respectively, </w:t>
      </w:r>
      <w:bookmarkStart w:id="18" w:name="_Hlk12612730"/>
      <w:r w:rsidR="002A07F3">
        <w:rPr>
          <w:rFonts w:ascii="CG Times (WN)" w:hAnsi="CG Times (WN)"/>
        </w:rPr>
        <w:t>as compared to $586 and $1,207, respectively, for the same periods of 201</w:t>
      </w:r>
      <w:bookmarkEnd w:id="18"/>
      <w:r w:rsidR="002A07F3">
        <w:rPr>
          <w:rFonts w:ascii="CG Times (WN)" w:hAnsi="CG Times (WN)"/>
        </w:rPr>
        <w:t>9</w:t>
      </w:r>
      <w:r w:rsidRPr="00C5141A">
        <w:rPr>
          <w:rFonts w:ascii="CG Times (WN)" w:hAnsi="CG Times (WN)"/>
        </w:rPr>
        <w:t>.</w:t>
      </w:r>
    </w:p>
    <w:p w14:paraId="324B24E9" w14:textId="1FB02185" w:rsidR="002A07F3" w:rsidRDefault="002A07F3" w:rsidP="00C5141A">
      <w:pPr>
        <w:suppressAutoHyphens/>
        <w:spacing w:line="240" w:lineRule="exact"/>
        <w:rPr>
          <w:rFonts w:ascii="CG Times (WN)" w:hAnsi="CG Times (WN)"/>
        </w:rPr>
      </w:pPr>
    </w:p>
    <w:p w14:paraId="04A5F0EB" w14:textId="77777777" w:rsidR="001F207F" w:rsidRDefault="001F207F" w:rsidP="001F207F">
      <w:pPr>
        <w:rPr>
          <w:i/>
        </w:rPr>
      </w:pPr>
      <w:r>
        <w:rPr>
          <w:i/>
        </w:rPr>
        <w:t>CARES Act Paycheck Protection Program Loan</w:t>
      </w:r>
    </w:p>
    <w:p w14:paraId="6D182735" w14:textId="77777777" w:rsidR="001F207F" w:rsidRDefault="001F207F" w:rsidP="001F207F">
      <w:pPr>
        <w:rPr>
          <w:i/>
        </w:rPr>
      </w:pPr>
    </w:p>
    <w:p w14:paraId="48BF6BC2" w14:textId="0A9B90B5" w:rsidR="00780B16" w:rsidRDefault="001F207F" w:rsidP="001F207F">
      <w:r>
        <w:rPr>
          <w:iCs/>
        </w:rPr>
        <w:t xml:space="preserve">On April 17, 2020, we received a $170,200 bank loan backed by the United States Small Business Administration pursuant to the Paycheck Protection Program (PPP) provisions of the Coronavirus Aid, Relief, and Economic Security (CARES) Act. </w:t>
      </w:r>
      <w:r>
        <w:t xml:space="preserve">The loan bears an annual interest rate of one percent and is due April 17, 2022. No payments of principal or interest will be due until 180 days after the disbursement date.  Commencing November 17, 2020, monthly payments of $9,578.16 will be due. Amounts due may be prepaid without penalty. We </w:t>
      </w:r>
      <w:r w:rsidR="00A07459">
        <w:t>intend to</w:t>
      </w:r>
      <w:r>
        <w:t xml:space="preserve"> apply to the lender to have the principal amount reduced</w:t>
      </w:r>
      <w:r w:rsidR="001B5554">
        <w:t>, or possibly totally forgiven,</w:t>
      </w:r>
      <w:r>
        <w:t xml:space="preserve"> upon providing qualifying information regarding eligible expenses.</w:t>
      </w:r>
      <w:r w:rsidR="00B04966" w:rsidRPr="00B04966">
        <w:t xml:space="preserve"> </w:t>
      </w:r>
      <w:r w:rsidR="00B04966">
        <w:t>We recorded accrued interest expense associated with the PPP Loan of $345 for the three-month period ended June 30, 2020.</w:t>
      </w:r>
    </w:p>
    <w:p w14:paraId="28E63DBF" w14:textId="77777777" w:rsidR="002A07F3" w:rsidRDefault="002A07F3" w:rsidP="00C5141A">
      <w:pPr>
        <w:suppressAutoHyphens/>
        <w:spacing w:line="240" w:lineRule="exact"/>
        <w:rPr>
          <w:rFonts w:ascii="CG Times (WN)" w:hAnsi="CG Times (WN)"/>
        </w:rPr>
      </w:pPr>
    </w:p>
    <w:p w14:paraId="0702A7F7" w14:textId="47A70244" w:rsidR="002A07F3" w:rsidRPr="005E38F4" w:rsidRDefault="005E38F4" w:rsidP="005E38F4">
      <w:pPr>
        <w:suppressAutoHyphens/>
        <w:spacing w:line="240" w:lineRule="exact"/>
        <w:rPr>
          <w:rFonts w:ascii="CG Times (WN)" w:hAnsi="CG Times (WN)"/>
          <w:b/>
          <w:bCs/>
        </w:rPr>
      </w:pPr>
      <w:r>
        <w:rPr>
          <w:rFonts w:ascii="CG Times (WN)" w:hAnsi="CG Times (WN)"/>
          <w:b/>
          <w:bCs/>
        </w:rPr>
        <w:t>8.</w:t>
      </w:r>
      <w:r>
        <w:rPr>
          <w:rFonts w:ascii="CG Times (WN)" w:hAnsi="CG Times (WN)"/>
          <w:b/>
          <w:bCs/>
        </w:rPr>
        <w:tab/>
      </w:r>
      <w:r w:rsidR="002A07F3" w:rsidRPr="005E38F4">
        <w:rPr>
          <w:rFonts w:ascii="CG Times (WN)" w:hAnsi="CG Times (WN)"/>
          <w:b/>
          <w:bCs/>
        </w:rPr>
        <w:t>Bridge Financing</w:t>
      </w:r>
      <w:r w:rsidR="00AC579D" w:rsidRPr="005E38F4">
        <w:rPr>
          <w:rFonts w:ascii="CG Times (WN)" w:hAnsi="CG Times (WN)"/>
          <w:b/>
          <w:bCs/>
        </w:rPr>
        <w:t xml:space="preserve"> – Convertible Debentures</w:t>
      </w:r>
    </w:p>
    <w:p w14:paraId="4FFF5BD4" w14:textId="77777777" w:rsidR="002A07F3" w:rsidRDefault="002A07F3" w:rsidP="00C5141A">
      <w:pPr>
        <w:suppressAutoHyphens/>
        <w:spacing w:line="240" w:lineRule="exact"/>
        <w:rPr>
          <w:rFonts w:ascii="CG Times (WN)" w:hAnsi="CG Times (WN)"/>
        </w:rPr>
      </w:pPr>
    </w:p>
    <w:p w14:paraId="3BFBF895" w14:textId="27640A50" w:rsidR="00B10608" w:rsidRPr="00B10608" w:rsidRDefault="00B10608" w:rsidP="00B10608">
      <w:r w:rsidRPr="00210E53">
        <w:t xml:space="preserve">On June </w:t>
      </w:r>
      <w:r>
        <w:t>26</w:t>
      </w:r>
      <w:r w:rsidRPr="00210E53">
        <w:t xml:space="preserve"> 2020, </w:t>
      </w:r>
      <w:r>
        <w:t>we</w:t>
      </w:r>
      <w:r w:rsidRPr="00210E53">
        <w:t xml:space="preserve"> entered into a Securities Purchase Agreement with </w:t>
      </w:r>
      <w:r w:rsidR="00747A8C">
        <w:t xml:space="preserve">two </w:t>
      </w:r>
      <w:r>
        <w:t>institutional investor</w:t>
      </w:r>
      <w:r w:rsidR="00747A8C">
        <w:t>s</w:t>
      </w:r>
      <w:r>
        <w:t>,</w:t>
      </w:r>
      <w:r w:rsidRPr="00210E53">
        <w:t xml:space="preserve"> pursuant to which </w:t>
      </w:r>
      <w:r>
        <w:t>we</w:t>
      </w:r>
      <w:r w:rsidRPr="00210E53">
        <w:t xml:space="preserve"> received </w:t>
      </w:r>
      <w:r>
        <w:t xml:space="preserve">gross proceeds of </w:t>
      </w:r>
      <w:r w:rsidRPr="00210E53">
        <w:t>$1,050,000 in exchange for the issuance of:</w:t>
      </w:r>
      <w:r>
        <w:t xml:space="preserve">(i) </w:t>
      </w:r>
      <w:r w:rsidRPr="00B10608">
        <w:t>5% Original Issue Discount Senior Secured Convertible Debenture</w:t>
      </w:r>
      <w:r w:rsidR="00EC50DD">
        <w:t>s</w:t>
      </w:r>
      <w:r w:rsidRPr="00B10608">
        <w:t xml:space="preserve"> (the “</w:t>
      </w:r>
      <w:r w:rsidR="00747A8C">
        <w:t xml:space="preserve">Convertible </w:t>
      </w:r>
      <w:r w:rsidRPr="00B10608">
        <w:t>Debenture</w:t>
      </w:r>
      <w:r w:rsidR="00747A8C">
        <w:t>s</w:t>
      </w:r>
      <w:r w:rsidRPr="00B10608">
        <w:t xml:space="preserve">”) in the </w:t>
      </w:r>
      <w:r w:rsidR="00EC50DD">
        <w:t xml:space="preserve">aggregate </w:t>
      </w:r>
      <w:r w:rsidRPr="00B10608">
        <w:t>principal amount of $1,200,000; and</w:t>
      </w:r>
      <w:r>
        <w:t xml:space="preserve"> (ii) </w:t>
      </w:r>
      <w:proofErr w:type="spellStart"/>
      <w:r w:rsidRPr="00B10608">
        <w:t>ive</w:t>
      </w:r>
      <w:proofErr w:type="spellEnd"/>
      <w:r w:rsidRPr="00B10608">
        <w:t>-year warrant</w:t>
      </w:r>
      <w:r w:rsidR="00EC50DD">
        <w:t>s</w:t>
      </w:r>
      <w:r w:rsidRPr="00B10608">
        <w:t xml:space="preserve"> (the “</w:t>
      </w:r>
      <w:r w:rsidR="00747A8C">
        <w:t xml:space="preserve">June 2020 </w:t>
      </w:r>
      <w:r w:rsidRPr="00B10608">
        <w:t>Warrant</w:t>
      </w:r>
      <w:r w:rsidR="00747A8C">
        <w:t>s</w:t>
      </w:r>
      <w:r w:rsidRPr="00B10608">
        <w:t>”) to purchase</w:t>
      </w:r>
      <w:r w:rsidR="00EC50DD">
        <w:t xml:space="preserve"> an aggregate of</w:t>
      </w:r>
      <w:r w:rsidRPr="00B10608">
        <w:t xml:space="preserve"> 2,400,000 shares of </w:t>
      </w:r>
      <w:r>
        <w:t>our</w:t>
      </w:r>
      <w:r w:rsidRPr="00B10608">
        <w:t xml:space="preserve"> common stock at an exercise price of $0.50 per share.</w:t>
      </w:r>
      <w:r>
        <w:t xml:space="preserve"> The </w:t>
      </w:r>
      <w:r w:rsidR="00747A8C">
        <w:t xml:space="preserve">Convertible </w:t>
      </w:r>
      <w:r>
        <w:t>Debenture</w:t>
      </w:r>
      <w:r w:rsidR="00747A8C">
        <w:t>s</w:t>
      </w:r>
      <w:r>
        <w:t xml:space="preserve"> </w:t>
      </w:r>
      <w:r w:rsidR="00747A8C">
        <w:t>are</w:t>
      </w:r>
      <w:r>
        <w:t xml:space="preserve"> secured by substantially all o</w:t>
      </w:r>
      <w:r w:rsidR="00863035">
        <w:t>f the Company’s assets.</w:t>
      </w:r>
    </w:p>
    <w:p w14:paraId="7CC622F0" w14:textId="77777777" w:rsidR="00B10608" w:rsidRDefault="00B10608" w:rsidP="00B10608"/>
    <w:p w14:paraId="47B49083" w14:textId="72F7122F" w:rsidR="00B10608" w:rsidRPr="00210E53" w:rsidRDefault="00B10608" w:rsidP="00B10608">
      <w:r w:rsidRPr="00210E53">
        <w:t xml:space="preserve">The </w:t>
      </w:r>
      <w:r w:rsidR="00747A8C">
        <w:t xml:space="preserve">Convertible </w:t>
      </w:r>
      <w:r w:rsidRPr="00210E53">
        <w:t>Debenture</w:t>
      </w:r>
      <w:r w:rsidR="00747A8C">
        <w:t>s</w:t>
      </w:r>
      <w:r w:rsidRPr="00210E53">
        <w:t xml:space="preserve"> mature in </w:t>
      </w:r>
      <w:r>
        <w:t>twelve</w:t>
      </w:r>
      <w:r w:rsidRPr="00210E53">
        <w:t xml:space="preserve"> months, bear interest </w:t>
      </w:r>
      <w:r>
        <w:t xml:space="preserve">at a </w:t>
      </w:r>
      <w:r w:rsidRPr="00210E53">
        <w:t xml:space="preserve">rate of 5% per annum, and </w:t>
      </w:r>
      <w:r w:rsidR="001B5554">
        <w:t>are</w:t>
      </w:r>
      <w:r w:rsidR="001B5554" w:rsidRPr="00210E53">
        <w:t xml:space="preserve"> </w:t>
      </w:r>
      <w:r w:rsidRPr="00210E53">
        <w:t xml:space="preserve">convertible into </w:t>
      </w:r>
      <w:r>
        <w:t xml:space="preserve">our </w:t>
      </w:r>
      <w:r w:rsidRPr="00210E53">
        <w:t xml:space="preserve">common stock </w:t>
      </w:r>
      <w:r>
        <w:t>after</w:t>
      </w:r>
      <w:r w:rsidRPr="00210E53">
        <w:t xml:space="preserve"> six months at an initial conversion price of $0.50 per share.  Interest is payable quarterly in cash, or if certain conditions are met, </w:t>
      </w:r>
      <w:r>
        <w:t>we</w:t>
      </w:r>
      <w:r w:rsidRPr="00210E53">
        <w:t xml:space="preserve"> may pay accrued interest in shares of </w:t>
      </w:r>
      <w:r>
        <w:t xml:space="preserve">our </w:t>
      </w:r>
      <w:r w:rsidRPr="00210E53">
        <w:t xml:space="preserve">common stock. The </w:t>
      </w:r>
      <w:r w:rsidR="00747A8C">
        <w:t xml:space="preserve">Convertible </w:t>
      </w:r>
      <w:r w:rsidRPr="00210E53">
        <w:t>Debenture</w:t>
      </w:r>
      <w:r w:rsidR="00747A8C">
        <w:t>s</w:t>
      </w:r>
      <w:r w:rsidRPr="00210E53">
        <w:t xml:space="preserve"> may be prepaid at any time for the first 90 days at face value plus accrued interest.  From day 91 through day 180, the </w:t>
      </w:r>
      <w:r w:rsidR="00747A8C">
        <w:t xml:space="preserve">Convertible </w:t>
      </w:r>
      <w:r w:rsidRPr="00210E53">
        <w:t>Debenture</w:t>
      </w:r>
      <w:r w:rsidR="00747A8C">
        <w:t>s</w:t>
      </w:r>
      <w:r w:rsidRPr="00210E53">
        <w:t xml:space="preserve"> may be prepaid in an amount equal to 110% of the principal amount plus accrued interest.  From day 181 through day 365, it may be prepaid in an amount equal to 120% of the principal amount plus accrued interest.</w:t>
      </w:r>
    </w:p>
    <w:p w14:paraId="7518DFA8" w14:textId="77777777" w:rsidR="00B10608" w:rsidRPr="00210E53" w:rsidRDefault="00B10608" w:rsidP="00B10608"/>
    <w:p w14:paraId="564929B7" w14:textId="05270C2F" w:rsidR="00B10608" w:rsidRPr="00210E53" w:rsidRDefault="00B10608" w:rsidP="00B10608">
      <w:r w:rsidRPr="00210E53">
        <w:t xml:space="preserve">The </w:t>
      </w:r>
      <w:r w:rsidR="00747A8C">
        <w:t xml:space="preserve">Convertible </w:t>
      </w:r>
      <w:r w:rsidRPr="00210E53">
        <w:t>Debenture</w:t>
      </w:r>
      <w:r w:rsidR="00747A8C">
        <w:t>s</w:t>
      </w:r>
      <w:r w:rsidRPr="00210E53">
        <w:t xml:space="preserve"> will convert into common stock upon </w:t>
      </w:r>
      <w:r>
        <w:t>our</w:t>
      </w:r>
      <w:r w:rsidRPr="00210E53">
        <w:t xml:space="preserve"> consummation of a public offering of common stock with gross proceeds </w:t>
      </w:r>
      <w:r>
        <w:t>of</w:t>
      </w:r>
      <w:r w:rsidRPr="00210E53">
        <w:t xml:space="preserve"> $6,000,000 </w:t>
      </w:r>
      <w:r>
        <w:t xml:space="preserve">or more, and </w:t>
      </w:r>
      <w:r w:rsidRPr="00210E53">
        <w:t xml:space="preserve">which results in the listing of </w:t>
      </w:r>
      <w:r>
        <w:t xml:space="preserve">our </w:t>
      </w:r>
      <w:r w:rsidRPr="00210E53">
        <w:t xml:space="preserve">common stock on a national securities exchange.  The conversion price is equal to the lower of (i) </w:t>
      </w:r>
      <w:r w:rsidR="00202722">
        <w:t>$0.50 per share or</w:t>
      </w:r>
      <w:r w:rsidRPr="00210E53">
        <w:t xml:space="preserve"> (ii) 80% of the offering price in the offering.</w:t>
      </w:r>
    </w:p>
    <w:p w14:paraId="4FD22AB8" w14:textId="77777777" w:rsidR="00B10608" w:rsidRPr="00210E53" w:rsidRDefault="00B10608" w:rsidP="00B10608"/>
    <w:p w14:paraId="580709B8" w14:textId="0B81853F" w:rsidR="00B334F0" w:rsidRDefault="004E7F90" w:rsidP="004E7F90">
      <w:pPr>
        <w:jc w:val="both"/>
      </w:pPr>
      <w:r>
        <w:t>We</w:t>
      </w:r>
      <w:r w:rsidRPr="00E2294A">
        <w:t xml:space="preserve"> recorded a total of $</w:t>
      </w:r>
      <w:r w:rsidR="00F46637">
        <w:t>769,334</w:t>
      </w:r>
      <w:r w:rsidRPr="00E2294A">
        <w:t xml:space="preserve"> debt discount upon the </w:t>
      </w:r>
      <w:r>
        <w:t xml:space="preserve">issuance of the </w:t>
      </w:r>
      <w:r w:rsidR="00747A8C">
        <w:t xml:space="preserve">Convertible </w:t>
      </w:r>
      <w:r>
        <w:t>Debenture</w:t>
      </w:r>
      <w:r w:rsidR="00747A8C">
        <w:t>s</w:t>
      </w:r>
      <w:r w:rsidRPr="00E2294A">
        <w:t>, including the $</w:t>
      </w:r>
      <w:r w:rsidR="00F46637">
        <w:t>457,83</w:t>
      </w:r>
      <w:r w:rsidR="001B5554">
        <w:t>4</w:t>
      </w:r>
      <w:r w:rsidRPr="00E2294A">
        <w:t xml:space="preserve"> fair value </w:t>
      </w:r>
      <w:r>
        <w:t>allocated to the warrants (recorded as Additional Paid-in Capital)</w:t>
      </w:r>
      <w:r w:rsidRPr="00E2294A">
        <w:t>, $</w:t>
      </w:r>
      <w:r w:rsidR="00F46637">
        <w:t>161,501</w:t>
      </w:r>
      <w:r w:rsidRPr="00E2294A">
        <w:t xml:space="preserve"> of direct transaction costs incurred, and $</w:t>
      </w:r>
      <w:r>
        <w:t>150</w:t>
      </w:r>
      <w:r w:rsidRPr="00E2294A">
        <w:t xml:space="preserve">,000 original issue discount. The debt discount is amortized to interest expense over the term of the loan. </w:t>
      </w:r>
      <w:bookmarkStart w:id="19" w:name="_Hlk45565939"/>
      <w:r>
        <w:t xml:space="preserve">Interest expense associated with the </w:t>
      </w:r>
      <w:r w:rsidR="00747A8C">
        <w:t xml:space="preserve">Convertible </w:t>
      </w:r>
      <w:r>
        <w:t>Debenture</w:t>
      </w:r>
      <w:r w:rsidR="00747A8C">
        <w:t>s</w:t>
      </w:r>
      <w:r>
        <w:t xml:space="preserve"> was $</w:t>
      </w:r>
      <w:r w:rsidR="00F46637">
        <w:t>5,703</w:t>
      </w:r>
      <w:r>
        <w:t xml:space="preserve"> for the three-month period ended June 30, 2020, consisting of $</w:t>
      </w:r>
      <w:r w:rsidR="00F46637">
        <w:t>5,045</w:t>
      </w:r>
      <w:r w:rsidR="001B5554">
        <w:t xml:space="preserve"> </w:t>
      </w:r>
      <w:r>
        <w:t>of debt discount amortization and $658 of accrued interest payable</w:t>
      </w:r>
      <w:bookmarkEnd w:id="19"/>
      <w:r>
        <w:t xml:space="preserve">. </w:t>
      </w:r>
    </w:p>
    <w:p w14:paraId="02E62BC3" w14:textId="1ED7B1DE" w:rsidR="00B334F0" w:rsidRDefault="00B334F0" w:rsidP="004E7F90">
      <w:pPr>
        <w:jc w:val="both"/>
      </w:pPr>
    </w:p>
    <w:p w14:paraId="64780DC7" w14:textId="77777777" w:rsidR="00F46637" w:rsidRDefault="00F46637">
      <w:r>
        <w:br w:type="page"/>
      </w:r>
    </w:p>
    <w:p w14:paraId="3060049D" w14:textId="06356F26" w:rsidR="00B10608" w:rsidRDefault="00AC579D" w:rsidP="004E7F90">
      <w:pPr>
        <w:jc w:val="both"/>
      </w:pPr>
      <w:r>
        <w:lastRenderedPageBreak/>
        <w:t xml:space="preserve">The following table </w:t>
      </w:r>
      <w:r w:rsidR="004E7F90">
        <w:t>summarizes</w:t>
      </w:r>
      <w:r>
        <w:t xml:space="preserve"> the carrying value of the </w:t>
      </w:r>
      <w:r w:rsidR="00747A8C">
        <w:t xml:space="preserve">Convertible </w:t>
      </w:r>
      <w:r>
        <w:t>Debentures as of June 30, 2020:</w:t>
      </w:r>
    </w:p>
    <w:p w14:paraId="125D065E" w14:textId="6FB3FB1E" w:rsidR="002A07F3" w:rsidRDefault="00AC579D" w:rsidP="00330091">
      <w:pPr>
        <w:tabs>
          <w:tab w:val="left" w:pos="720"/>
          <w:tab w:val="decimal" w:pos="8190"/>
        </w:tabs>
        <w:suppressAutoHyphens/>
        <w:spacing w:line="240" w:lineRule="exact"/>
        <w:rPr>
          <w:rFonts w:ascii="CG Times (WN)" w:hAnsi="CG Times (WN)"/>
        </w:rPr>
      </w:pPr>
      <w:r>
        <w:rPr>
          <w:rFonts w:ascii="CG Times (WN)" w:hAnsi="CG Times (WN)"/>
        </w:rPr>
        <w:tab/>
        <w:t>Principal value</w:t>
      </w:r>
      <w:r w:rsidR="00330091">
        <w:rPr>
          <w:rFonts w:ascii="CG Times (WN)" w:hAnsi="CG Times (WN)"/>
        </w:rPr>
        <w:tab/>
        <w:t>$1,200,000</w:t>
      </w:r>
    </w:p>
    <w:p w14:paraId="7CCEED60" w14:textId="5F9C6284" w:rsidR="00AC579D" w:rsidRDefault="00AC579D" w:rsidP="00330091">
      <w:pPr>
        <w:tabs>
          <w:tab w:val="left" w:pos="720"/>
          <w:tab w:val="decimal" w:pos="8190"/>
        </w:tabs>
        <w:suppressAutoHyphens/>
        <w:spacing w:line="240" w:lineRule="exact"/>
        <w:rPr>
          <w:rFonts w:ascii="CG Times (WN)" w:hAnsi="CG Times (WN)"/>
        </w:rPr>
      </w:pPr>
      <w:r>
        <w:rPr>
          <w:rFonts w:ascii="CG Times (WN)" w:hAnsi="CG Times (WN)"/>
        </w:rPr>
        <w:tab/>
      </w:r>
      <w:r w:rsidR="004E7F90">
        <w:rPr>
          <w:rFonts w:ascii="CG Times (WN)" w:hAnsi="CG Times (WN)"/>
        </w:rPr>
        <w:t>Debt discount</w:t>
      </w:r>
      <w:r w:rsidR="00330091">
        <w:rPr>
          <w:rFonts w:ascii="CG Times (WN)" w:hAnsi="CG Times (WN)"/>
        </w:rPr>
        <w:tab/>
      </w:r>
      <w:r w:rsidR="00330091" w:rsidRPr="00330091">
        <w:rPr>
          <w:rFonts w:ascii="CG Times (WN)" w:hAnsi="CG Times (WN)"/>
          <w:u w:val="single"/>
        </w:rPr>
        <w:t xml:space="preserve"> (</w:t>
      </w:r>
      <w:r w:rsidR="004E7F90">
        <w:rPr>
          <w:rFonts w:ascii="CG Times (WN)" w:hAnsi="CG Times (WN)"/>
          <w:u w:val="single"/>
        </w:rPr>
        <w:t>7</w:t>
      </w:r>
      <w:r w:rsidR="00F46637">
        <w:rPr>
          <w:rFonts w:ascii="CG Times (WN)" w:hAnsi="CG Times (WN)"/>
          <w:u w:val="single"/>
        </w:rPr>
        <w:t>69,334</w:t>
      </w:r>
      <w:r w:rsidR="00330091" w:rsidRPr="00330091">
        <w:rPr>
          <w:rFonts w:ascii="CG Times (WN)" w:hAnsi="CG Times (WN)"/>
          <w:u w:val="single"/>
        </w:rPr>
        <w:t>)</w:t>
      </w:r>
    </w:p>
    <w:p w14:paraId="6ADBFCB2" w14:textId="60DDA525" w:rsidR="00AC579D" w:rsidRDefault="00AC579D" w:rsidP="00330091">
      <w:pPr>
        <w:tabs>
          <w:tab w:val="left" w:pos="720"/>
          <w:tab w:val="decimal" w:pos="8190"/>
        </w:tabs>
        <w:suppressAutoHyphens/>
        <w:spacing w:line="240" w:lineRule="exact"/>
        <w:rPr>
          <w:rFonts w:ascii="CG Times (WN)" w:hAnsi="CG Times (WN)"/>
        </w:rPr>
      </w:pPr>
      <w:r>
        <w:rPr>
          <w:rFonts w:ascii="CG Times (WN)" w:hAnsi="CG Times (WN)"/>
        </w:rPr>
        <w:tab/>
        <w:t>Net original carrying value</w:t>
      </w:r>
      <w:r w:rsidR="00330091">
        <w:rPr>
          <w:rFonts w:ascii="CG Times (WN)" w:hAnsi="CG Times (WN)"/>
        </w:rPr>
        <w:tab/>
        <w:t>4</w:t>
      </w:r>
      <w:r w:rsidR="00F46637">
        <w:rPr>
          <w:rFonts w:ascii="CG Times (WN)" w:hAnsi="CG Times (WN)"/>
        </w:rPr>
        <w:t>30,666</w:t>
      </w:r>
    </w:p>
    <w:p w14:paraId="27A84E57" w14:textId="6F85F980" w:rsidR="00AC579D" w:rsidRPr="003612BF" w:rsidRDefault="00AC579D" w:rsidP="00330091">
      <w:pPr>
        <w:tabs>
          <w:tab w:val="left" w:pos="720"/>
          <w:tab w:val="decimal" w:pos="8190"/>
        </w:tabs>
        <w:suppressAutoHyphens/>
        <w:spacing w:line="240" w:lineRule="exact"/>
        <w:rPr>
          <w:rFonts w:ascii="CG Times (WN)" w:hAnsi="CG Times (WN)"/>
          <w:u w:val="single"/>
        </w:rPr>
      </w:pPr>
      <w:r>
        <w:rPr>
          <w:rFonts w:ascii="CG Times (WN)" w:hAnsi="CG Times (WN)"/>
        </w:rPr>
        <w:tab/>
        <w:t>Amortization of debt discount</w:t>
      </w:r>
      <w:r w:rsidR="003612BF">
        <w:rPr>
          <w:rFonts w:ascii="CG Times (WN)" w:hAnsi="CG Times (WN)"/>
        </w:rPr>
        <w:tab/>
      </w:r>
      <w:r w:rsidR="003612BF">
        <w:rPr>
          <w:rFonts w:ascii="CG Times (WN)" w:hAnsi="CG Times (WN)"/>
          <w:u w:val="single"/>
        </w:rPr>
        <w:t xml:space="preserve">   </w:t>
      </w:r>
      <w:r w:rsidR="008D1741">
        <w:rPr>
          <w:rFonts w:ascii="CG Times (WN)" w:hAnsi="CG Times (WN)"/>
          <w:u w:val="single"/>
        </w:rPr>
        <w:t xml:space="preserve">   </w:t>
      </w:r>
      <w:r w:rsidR="00F46637">
        <w:rPr>
          <w:rFonts w:ascii="CG Times (WN)" w:hAnsi="CG Times (WN)"/>
          <w:u w:val="single"/>
        </w:rPr>
        <w:t>5,045</w:t>
      </w:r>
    </w:p>
    <w:p w14:paraId="60937B34" w14:textId="055D58B3" w:rsidR="00AC579D" w:rsidRDefault="00AC579D" w:rsidP="00330091">
      <w:pPr>
        <w:tabs>
          <w:tab w:val="left" w:pos="720"/>
          <w:tab w:val="decimal" w:pos="8190"/>
        </w:tabs>
        <w:suppressAutoHyphens/>
        <w:spacing w:line="240" w:lineRule="exact"/>
        <w:rPr>
          <w:rFonts w:ascii="CG Times (WN)" w:hAnsi="CG Times (WN)"/>
        </w:rPr>
      </w:pPr>
      <w:r>
        <w:rPr>
          <w:rFonts w:ascii="CG Times (WN)" w:hAnsi="CG Times (WN)"/>
        </w:rPr>
        <w:tab/>
        <w:t>Carrying value at June 30, 2020</w:t>
      </w:r>
      <w:r w:rsidR="003612BF">
        <w:rPr>
          <w:rFonts w:ascii="CG Times (WN)" w:hAnsi="CG Times (WN)"/>
        </w:rPr>
        <w:tab/>
      </w:r>
      <w:proofErr w:type="gramStart"/>
      <w:r w:rsidR="003612BF" w:rsidRPr="00F46637">
        <w:rPr>
          <w:rFonts w:ascii="CG Times (WN)" w:hAnsi="CG Times (WN)"/>
          <w:u w:val="double"/>
        </w:rPr>
        <w:t xml:space="preserve">$  </w:t>
      </w:r>
      <w:r w:rsidR="00F46637" w:rsidRPr="00F46637">
        <w:rPr>
          <w:rFonts w:ascii="CG Times (WN)" w:hAnsi="CG Times (WN)"/>
          <w:u w:val="double"/>
        </w:rPr>
        <w:t>435</w:t>
      </w:r>
      <w:r w:rsidR="00F46637">
        <w:rPr>
          <w:rFonts w:ascii="CG Times (WN)" w:hAnsi="CG Times (WN)"/>
          <w:u w:val="double"/>
        </w:rPr>
        <w:t>,711</w:t>
      </w:r>
      <w:proofErr w:type="gramEnd"/>
    </w:p>
    <w:bookmarkEnd w:id="16"/>
    <w:p w14:paraId="3C1120E1" w14:textId="77777777" w:rsidR="00C5141A" w:rsidRDefault="00C5141A" w:rsidP="000A55AE">
      <w:pPr>
        <w:pStyle w:val="BodyText"/>
        <w:spacing w:after="0"/>
      </w:pPr>
    </w:p>
    <w:p w14:paraId="5B33366B" w14:textId="688E9193" w:rsidR="00723617" w:rsidRPr="001C6303" w:rsidRDefault="005E38F4" w:rsidP="000A55AE">
      <w:pPr>
        <w:pStyle w:val="ListNumbering"/>
        <w:spacing w:after="0"/>
      </w:pPr>
      <w:r>
        <w:t>9</w:t>
      </w:r>
      <w:r w:rsidR="00723617" w:rsidRPr="00B53172">
        <w:t>.</w:t>
      </w:r>
      <w:r w:rsidR="00723617" w:rsidRPr="00B53172">
        <w:tab/>
        <w:t>Commitments</w:t>
      </w:r>
    </w:p>
    <w:p w14:paraId="61568E0F" w14:textId="562A3283" w:rsidR="000A55AE" w:rsidRDefault="000A55AE" w:rsidP="000A55AE">
      <w:pPr>
        <w:pStyle w:val="BodyText"/>
        <w:spacing w:after="0"/>
      </w:pPr>
      <w:bookmarkStart w:id="20" w:name="_Toc197922410"/>
    </w:p>
    <w:p w14:paraId="21237996" w14:textId="77777777" w:rsidR="00C20F8B" w:rsidRPr="00C20F8B" w:rsidRDefault="00C20F8B" w:rsidP="00C20F8B">
      <w:pPr>
        <w:rPr>
          <w:bCs/>
          <w:i/>
        </w:rPr>
      </w:pPr>
      <w:r w:rsidRPr="00C20F8B">
        <w:rPr>
          <w:i/>
        </w:rPr>
        <w:t>Lease Agreement</w:t>
      </w:r>
    </w:p>
    <w:p w14:paraId="68FC31A7" w14:textId="77777777" w:rsidR="00C20F8B" w:rsidRPr="00C20F8B" w:rsidRDefault="00C20F8B" w:rsidP="00C20F8B"/>
    <w:p w14:paraId="2E09BC6B" w14:textId="15671CE8" w:rsidR="00C20F8B" w:rsidRPr="00C20F8B" w:rsidRDefault="00C20F8B" w:rsidP="00C20F8B">
      <w:r w:rsidRPr="00C20F8B">
        <w:t>We lease approximately 8,400 square feet of office and laboratory space pursuant to an operating lease which expires on December 31, 20</w:t>
      </w:r>
      <w:r w:rsidR="00717940">
        <w:t>22</w:t>
      </w:r>
      <w:r w:rsidRPr="00C20F8B">
        <w:t xml:space="preserve">. </w:t>
      </w:r>
      <w:r w:rsidR="002A07F3" w:rsidRPr="00C20F8B">
        <w:t xml:space="preserve">Rent expense </w:t>
      </w:r>
      <w:r w:rsidR="002A07F3" w:rsidRPr="00C5141A">
        <w:rPr>
          <w:rFonts w:ascii="CG Times (WN)" w:hAnsi="CG Times (WN)"/>
        </w:rPr>
        <w:t xml:space="preserve">for </w:t>
      </w:r>
      <w:r w:rsidR="002A07F3">
        <w:rPr>
          <w:rFonts w:ascii="CG Times (WN)" w:hAnsi="CG Times (WN)"/>
        </w:rPr>
        <w:t xml:space="preserve">the three-month and six-month periods ended June 30, 2020 </w:t>
      </w:r>
      <w:r w:rsidR="002A07F3" w:rsidRPr="00C5141A">
        <w:rPr>
          <w:rFonts w:ascii="CG Times (WN)" w:hAnsi="CG Times (WN)"/>
        </w:rPr>
        <w:t xml:space="preserve">was </w:t>
      </w:r>
      <w:r w:rsidR="002A07F3">
        <w:rPr>
          <w:rFonts w:ascii="CG Times (WN)" w:hAnsi="CG Times (WN)"/>
        </w:rPr>
        <w:t>$</w:t>
      </w:r>
      <w:r w:rsidR="00780B16">
        <w:rPr>
          <w:rFonts w:ascii="CG Times (WN)" w:hAnsi="CG Times (WN)"/>
        </w:rPr>
        <w:t>41,539</w:t>
      </w:r>
      <w:r w:rsidR="002A07F3">
        <w:rPr>
          <w:rFonts w:ascii="CG Times (WN)" w:hAnsi="CG Times (WN)"/>
        </w:rPr>
        <w:t xml:space="preserve"> and </w:t>
      </w:r>
      <w:r w:rsidR="002A07F3" w:rsidRPr="00C5141A">
        <w:rPr>
          <w:rFonts w:ascii="CG Times (WN)" w:hAnsi="CG Times (WN)"/>
        </w:rPr>
        <w:t>$</w:t>
      </w:r>
      <w:r w:rsidR="00780B16">
        <w:rPr>
          <w:rFonts w:ascii="CG Times (WN)" w:hAnsi="CG Times (WN)"/>
        </w:rPr>
        <w:t>83,078</w:t>
      </w:r>
      <w:r w:rsidR="002A07F3">
        <w:rPr>
          <w:rFonts w:ascii="CG Times (WN)" w:hAnsi="CG Times (WN)"/>
        </w:rPr>
        <w:t>, respectively,</w:t>
      </w:r>
      <w:r w:rsidR="002A07F3" w:rsidRPr="00F1022D">
        <w:rPr>
          <w:rFonts w:ascii="CG Times (WN)" w:hAnsi="CG Times (WN)"/>
        </w:rPr>
        <w:t xml:space="preserve"> </w:t>
      </w:r>
      <w:r w:rsidR="002A07F3">
        <w:rPr>
          <w:rFonts w:ascii="CG Times (WN)" w:hAnsi="CG Times (WN)"/>
        </w:rPr>
        <w:t>as compared to $40,316 and $80,633, respectively, for the same periods of 2019</w:t>
      </w:r>
      <w:r w:rsidRPr="00C20F8B">
        <w:t xml:space="preserve">. </w:t>
      </w:r>
      <w:r w:rsidR="00717940" w:rsidRPr="00EB7BF0">
        <w:t>Future minimum lease payments total $</w:t>
      </w:r>
      <w:r w:rsidR="004B7508">
        <w:t>83,078</w:t>
      </w:r>
      <w:r w:rsidR="00717940">
        <w:t xml:space="preserve"> in 2020, $171,213 in 2021 and $176,356 in 2022, although the lease may be terminated at any time by either party with ninety days</w:t>
      </w:r>
      <w:r w:rsidR="00C87AEF">
        <w:t>’</w:t>
      </w:r>
      <w:r w:rsidR="00717940">
        <w:t xml:space="preserve"> written notice</w:t>
      </w:r>
      <w:r w:rsidR="00096E33">
        <w:t>.</w:t>
      </w:r>
    </w:p>
    <w:p w14:paraId="468E2C2A" w14:textId="77777777" w:rsidR="00C20F8B" w:rsidRPr="00C20F8B" w:rsidRDefault="00C20F8B" w:rsidP="00C20F8B">
      <w:pPr>
        <w:rPr>
          <w:bCs/>
        </w:rPr>
      </w:pPr>
    </w:p>
    <w:p w14:paraId="5741122F" w14:textId="77777777" w:rsidR="00C20F8B" w:rsidRPr="00C20F8B" w:rsidRDefault="00C20F8B" w:rsidP="00C20F8B">
      <w:pPr>
        <w:rPr>
          <w:bCs/>
          <w:i/>
        </w:rPr>
      </w:pPr>
      <w:r w:rsidRPr="00C20F8B">
        <w:rPr>
          <w:bCs/>
          <w:i/>
        </w:rPr>
        <w:t>Other Commitments</w:t>
      </w:r>
    </w:p>
    <w:p w14:paraId="7663877D" w14:textId="77777777" w:rsidR="00C20F8B" w:rsidRPr="00C20F8B" w:rsidRDefault="00C20F8B" w:rsidP="00C20F8B"/>
    <w:p w14:paraId="6351AE42" w14:textId="2FCCAD6D" w:rsidR="00C20F8B" w:rsidRPr="00C20F8B" w:rsidRDefault="00C20F8B" w:rsidP="00C20F8B">
      <w:r w:rsidRPr="00C20F8B">
        <w:t xml:space="preserve">In the normal course of business, we enter into various firm purchase commitments related to production and testing of our vaccine, conduct of research studies, and other activities. As of </w:t>
      </w:r>
      <w:r w:rsidR="002A07F3">
        <w:t>June</w:t>
      </w:r>
      <w:r w:rsidRPr="00C20F8B">
        <w:t xml:space="preserve"> 3</w:t>
      </w:r>
      <w:r w:rsidR="002A07F3">
        <w:t>0</w:t>
      </w:r>
      <w:r w:rsidRPr="00C20F8B">
        <w:t>, 20</w:t>
      </w:r>
      <w:r w:rsidR="00717940">
        <w:t>20</w:t>
      </w:r>
      <w:r w:rsidRPr="00C20F8B">
        <w:t xml:space="preserve">, </w:t>
      </w:r>
      <w:r w:rsidR="00BE61F2">
        <w:t>there are</w:t>
      </w:r>
      <w:r w:rsidRPr="00C20F8B">
        <w:t xml:space="preserve"> $</w:t>
      </w:r>
      <w:r w:rsidR="00780B16">
        <w:t>400,834</w:t>
      </w:r>
      <w:r w:rsidRPr="00C20F8B">
        <w:t xml:space="preserve"> of unrecorded outstanding purchase commitments to our vendors and subcontractors,</w:t>
      </w:r>
      <w:r w:rsidR="00780B16">
        <w:t xml:space="preserve"> $338,334</w:t>
      </w:r>
      <w:r w:rsidRPr="00C20F8B">
        <w:t xml:space="preserve"> of which we expect will be due in </w:t>
      </w:r>
      <w:r w:rsidRPr="00780B16">
        <w:t>20</w:t>
      </w:r>
      <w:r w:rsidR="00717940" w:rsidRPr="00780B16">
        <w:t>20</w:t>
      </w:r>
      <w:r w:rsidR="00780B16">
        <w:t xml:space="preserve"> and $62,500 in 2021</w:t>
      </w:r>
      <w:r w:rsidRPr="00C20F8B">
        <w:t xml:space="preserve">. We expect this entire amount to be reimbursable to us pursuant to </w:t>
      </w:r>
      <w:r w:rsidR="00BE61F2">
        <w:t>existing</w:t>
      </w:r>
      <w:r w:rsidRPr="00C20F8B">
        <w:t xml:space="preserve"> government grants.</w:t>
      </w:r>
    </w:p>
    <w:p w14:paraId="4083F38F" w14:textId="77777777" w:rsidR="00C20F8B" w:rsidRDefault="00C20F8B" w:rsidP="000A55AE">
      <w:pPr>
        <w:pStyle w:val="BodyText"/>
        <w:spacing w:after="0"/>
      </w:pPr>
    </w:p>
    <w:p w14:paraId="17DCCEEA" w14:textId="37E4D548" w:rsidR="00881E20" w:rsidRDefault="005E38F4" w:rsidP="000A55AE">
      <w:pPr>
        <w:pStyle w:val="ListNumbering"/>
        <w:spacing w:after="0"/>
      </w:pPr>
      <w:r>
        <w:t>10</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318EA721" w14:textId="77777777" w:rsidR="00037DDA" w:rsidRPr="00037DDA" w:rsidRDefault="00037DDA" w:rsidP="00037DDA">
      <w:pPr>
        <w:rPr>
          <w:rFonts w:eastAsia="????"/>
          <w:i/>
          <w:iCs/>
        </w:rPr>
      </w:pPr>
      <w:r w:rsidRPr="00037DDA">
        <w:rPr>
          <w:rFonts w:eastAsia="????"/>
          <w:i/>
          <w:iCs/>
        </w:rPr>
        <w:t>Preferred Stock</w:t>
      </w:r>
    </w:p>
    <w:p w14:paraId="48AE6BBD" w14:textId="77777777" w:rsidR="00037DDA" w:rsidRPr="00037DDA" w:rsidRDefault="00037DDA" w:rsidP="00037DDA">
      <w:pPr>
        <w:rPr>
          <w:rFonts w:eastAsia="????"/>
        </w:rPr>
      </w:pPr>
    </w:p>
    <w:p w14:paraId="666807D3" w14:textId="2725AB40" w:rsidR="00037DDA" w:rsidRPr="00037DDA" w:rsidRDefault="00037DDA" w:rsidP="00037DDA">
      <w:pPr>
        <w:rPr>
          <w:rFonts w:eastAsia="????"/>
        </w:rPr>
      </w:pPr>
      <w:r w:rsidRPr="00037DDA">
        <w:rPr>
          <w:rFonts w:eastAsia="????"/>
          <w:i/>
          <w:iCs/>
        </w:rPr>
        <w:t>Summary</w:t>
      </w:r>
      <w:r w:rsidRPr="00037DDA">
        <w:rPr>
          <w:rFonts w:eastAsia="????"/>
        </w:rPr>
        <w:t xml:space="preserve"> </w:t>
      </w:r>
      <w:r w:rsidR="00202722">
        <w:rPr>
          <w:rFonts w:eastAsia="????"/>
        </w:rPr>
        <w:t xml:space="preserve">– </w:t>
      </w:r>
      <w:r w:rsidRPr="00037DDA">
        <w:rPr>
          <w:rFonts w:eastAsia="????"/>
        </w:rPr>
        <w:t>We are authorized to issue up to 10,000,000 shares of our Preferred Stock, $.01 par value, which may be issued in one or more series.  The table below presents our issued and outstanding series of preferred stock as of</w:t>
      </w:r>
      <w:r>
        <w:rPr>
          <w:rFonts w:eastAsia="????"/>
        </w:rPr>
        <w:t xml:space="preserve"> </w:t>
      </w:r>
      <w:r w:rsidR="002A07F3">
        <w:rPr>
          <w:rFonts w:eastAsia="????"/>
        </w:rPr>
        <w:t>June</w:t>
      </w:r>
      <w:r>
        <w:rPr>
          <w:rFonts w:eastAsia="????"/>
        </w:rPr>
        <w:t xml:space="preserve"> 3</w:t>
      </w:r>
      <w:r w:rsidR="002A07F3">
        <w:rPr>
          <w:rFonts w:eastAsia="????"/>
        </w:rPr>
        <w:t>0</w:t>
      </w:r>
      <w:r>
        <w:rPr>
          <w:rFonts w:eastAsia="????"/>
        </w:rPr>
        <w:t>, 2020 and</w:t>
      </w:r>
      <w:r w:rsidRPr="00037DDA">
        <w:rPr>
          <w:rFonts w:eastAsia="????"/>
        </w:rPr>
        <w:t xml:space="preserve"> December 31, 2019.  Each series of our outstanding preferred stock has a stated value of $1,000 per share. Further details concerning each series of preferred stock, and the changes in each series during the </w:t>
      </w:r>
      <w:r w:rsidR="002A07F3">
        <w:rPr>
          <w:rFonts w:eastAsia="????"/>
        </w:rPr>
        <w:t>six</w:t>
      </w:r>
      <w:r w:rsidR="003E6788">
        <w:rPr>
          <w:rFonts w:eastAsia="????"/>
        </w:rPr>
        <w:t xml:space="preserve"> months</w:t>
      </w:r>
      <w:r w:rsidRPr="00037DDA">
        <w:rPr>
          <w:rFonts w:eastAsia="????"/>
        </w:rPr>
        <w:t xml:space="preserve"> ended </w:t>
      </w:r>
      <w:r w:rsidR="002A07F3">
        <w:rPr>
          <w:rFonts w:eastAsia="????"/>
        </w:rPr>
        <w:t>June</w:t>
      </w:r>
      <w:r w:rsidRPr="00037DDA">
        <w:rPr>
          <w:rFonts w:eastAsia="????"/>
        </w:rPr>
        <w:t xml:space="preserve"> 3</w:t>
      </w:r>
      <w:r w:rsidR="002A07F3">
        <w:rPr>
          <w:rFonts w:eastAsia="????"/>
        </w:rPr>
        <w:t>0</w:t>
      </w:r>
      <w:r w:rsidRPr="00037DDA">
        <w:rPr>
          <w:rFonts w:eastAsia="????"/>
        </w:rPr>
        <w:t>, 20</w:t>
      </w:r>
      <w:r w:rsidR="003E6788">
        <w:rPr>
          <w:rFonts w:eastAsia="????"/>
        </w:rPr>
        <w:t>20</w:t>
      </w:r>
      <w:r w:rsidRPr="00037DDA">
        <w:rPr>
          <w:rFonts w:eastAsia="????"/>
        </w:rPr>
        <w:t xml:space="preserve"> are discussed in the sections that follow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037DDA" w:rsidRPr="00037DDA" w14:paraId="1FE11FEC" w14:textId="77777777" w:rsidTr="0043475C">
        <w:trPr>
          <w:trHeight w:hRule="exact" w:val="230"/>
        </w:trPr>
        <w:tc>
          <w:tcPr>
            <w:tcW w:w="305" w:type="dxa"/>
          </w:tcPr>
          <w:p w14:paraId="40012582" w14:textId="77777777" w:rsidR="00037DDA" w:rsidRPr="00037DDA" w:rsidRDefault="00037DDA" w:rsidP="00037DDA">
            <w:pPr>
              <w:jc w:val="right"/>
              <w:rPr>
                <w:snapToGrid w:val="0"/>
                <w:color w:val="000000"/>
              </w:rPr>
            </w:pPr>
          </w:p>
        </w:tc>
        <w:tc>
          <w:tcPr>
            <w:tcW w:w="4795" w:type="dxa"/>
          </w:tcPr>
          <w:p w14:paraId="0708CFBC" w14:textId="77777777" w:rsidR="00037DDA" w:rsidRPr="00037DDA" w:rsidRDefault="00037DDA" w:rsidP="00037DDA">
            <w:pPr>
              <w:jc w:val="right"/>
              <w:rPr>
                <w:snapToGrid w:val="0"/>
                <w:color w:val="000000"/>
              </w:rPr>
            </w:pPr>
          </w:p>
        </w:tc>
        <w:tc>
          <w:tcPr>
            <w:tcW w:w="2250" w:type="dxa"/>
            <w:gridSpan w:val="2"/>
            <w:tcBorders>
              <w:bottom w:val="single" w:sz="4" w:space="0" w:color="auto"/>
            </w:tcBorders>
          </w:tcPr>
          <w:p w14:paraId="78161B29" w14:textId="55F1334B" w:rsidR="00037DDA" w:rsidRPr="00037DDA" w:rsidRDefault="002A07F3" w:rsidP="00037DDA">
            <w:pPr>
              <w:jc w:val="center"/>
              <w:rPr>
                <w:snapToGrid w:val="0"/>
                <w:color w:val="000000"/>
              </w:rPr>
            </w:pPr>
            <w:r>
              <w:rPr>
                <w:snapToGrid w:val="0"/>
                <w:color w:val="000000"/>
              </w:rPr>
              <w:t>June</w:t>
            </w:r>
            <w:r w:rsidR="00037DDA" w:rsidRPr="00037DDA">
              <w:rPr>
                <w:snapToGrid w:val="0"/>
                <w:color w:val="000000"/>
              </w:rPr>
              <w:t xml:space="preserve"> 3</w:t>
            </w:r>
            <w:r>
              <w:rPr>
                <w:snapToGrid w:val="0"/>
                <w:color w:val="000000"/>
              </w:rPr>
              <w:t>0</w:t>
            </w:r>
            <w:r w:rsidR="00037DDA" w:rsidRPr="00037DDA">
              <w:rPr>
                <w:snapToGrid w:val="0"/>
                <w:color w:val="000000"/>
              </w:rPr>
              <w:t>, 20</w:t>
            </w:r>
            <w:r w:rsidR="00552064">
              <w:rPr>
                <w:snapToGrid w:val="0"/>
                <w:color w:val="000000"/>
              </w:rPr>
              <w:t>20</w:t>
            </w:r>
          </w:p>
        </w:tc>
        <w:tc>
          <w:tcPr>
            <w:tcW w:w="376" w:type="dxa"/>
          </w:tcPr>
          <w:p w14:paraId="031CF91F" w14:textId="77777777" w:rsidR="00037DDA" w:rsidRPr="00037DDA" w:rsidRDefault="00037DDA" w:rsidP="00037DDA">
            <w:pPr>
              <w:jc w:val="right"/>
              <w:rPr>
                <w:snapToGrid w:val="0"/>
                <w:color w:val="000000"/>
              </w:rPr>
            </w:pPr>
          </w:p>
        </w:tc>
        <w:tc>
          <w:tcPr>
            <w:tcW w:w="2112" w:type="dxa"/>
            <w:gridSpan w:val="2"/>
            <w:tcBorders>
              <w:bottom w:val="single" w:sz="4" w:space="0" w:color="auto"/>
            </w:tcBorders>
          </w:tcPr>
          <w:p w14:paraId="098DCC3E" w14:textId="7D19AD6B" w:rsidR="00037DDA" w:rsidRPr="00037DDA" w:rsidRDefault="00037DDA" w:rsidP="00037DDA">
            <w:pPr>
              <w:jc w:val="center"/>
              <w:rPr>
                <w:snapToGrid w:val="0"/>
                <w:color w:val="000000"/>
              </w:rPr>
            </w:pPr>
            <w:r w:rsidRPr="00037DDA">
              <w:rPr>
                <w:snapToGrid w:val="0"/>
                <w:color w:val="000000"/>
              </w:rPr>
              <w:t>December 31, 201</w:t>
            </w:r>
            <w:r w:rsidR="003E6788">
              <w:rPr>
                <w:snapToGrid w:val="0"/>
                <w:color w:val="000000"/>
              </w:rPr>
              <w:t>9</w:t>
            </w:r>
          </w:p>
        </w:tc>
      </w:tr>
      <w:tr w:rsidR="00037DDA" w:rsidRPr="00037DDA" w14:paraId="5E419D81" w14:textId="77777777" w:rsidTr="0043475C">
        <w:trPr>
          <w:trHeight w:hRule="exact" w:val="230"/>
        </w:trPr>
        <w:tc>
          <w:tcPr>
            <w:tcW w:w="305" w:type="dxa"/>
          </w:tcPr>
          <w:p w14:paraId="1A927074" w14:textId="77777777" w:rsidR="00037DDA" w:rsidRPr="00037DDA" w:rsidRDefault="00037DDA" w:rsidP="00037DDA">
            <w:pPr>
              <w:jc w:val="right"/>
              <w:rPr>
                <w:snapToGrid w:val="0"/>
                <w:color w:val="000000"/>
              </w:rPr>
            </w:pPr>
          </w:p>
        </w:tc>
        <w:tc>
          <w:tcPr>
            <w:tcW w:w="4795" w:type="dxa"/>
          </w:tcPr>
          <w:p w14:paraId="7EF0C08E" w14:textId="77777777" w:rsidR="00037DDA" w:rsidRPr="00037DDA" w:rsidRDefault="00037DDA" w:rsidP="00037DDA">
            <w:pPr>
              <w:jc w:val="right"/>
              <w:rPr>
                <w:snapToGrid w:val="0"/>
                <w:color w:val="000000"/>
              </w:rPr>
            </w:pPr>
          </w:p>
        </w:tc>
        <w:tc>
          <w:tcPr>
            <w:tcW w:w="1125" w:type="dxa"/>
            <w:tcBorders>
              <w:top w:val="single" w:sz="4" w:space="0" w:color="auto"/>
            </w:tcBorders>
          </w:tcPr>
          <w:p w14:paraId="751808CC" w14:textId="77777777" w:rsidR="00037DDA" w:rsidRPr="00037DDA" w:rsidRDefault="00037DDA" w:rsidP="00037DDA">
            <w:pPr>
              <w:jc w:val="center"/>
              <w:rPr>
                <w:snapToGrid w:val="0"/>
                <w:color w:val="000000"/>
              </w:rPr>
            </w:pPr>
          </w:p>
        </w:tc>
        <w:tc>
          <w:tcPr>
            <w:tcW w:w="1125" w:type="dxa"/>
            <w:tcBorders>
              <w:top w:val="single" w:sz="4" w:space="0" w:color="auto"/>
            </w:tcBorders>
          </w:tcPr>
          <w:p w14:paraId="3616706C" w14:textId="77777777" w:rsidR="00037DDA" w:rsidRPr="00037DDA" w:rsidRDefault="00037DDA" w:rsidP="00037DDA">
            <w:pPr>
              <w:jc w:val="center"/>
              <w:rPr>
                <w:snapToGrid w:val="0"/>
                <w:color w:val="000000"/>
              </w:rPr>
            </w:pPr>
            <w:r w:rsidRPr="00037DDA">
              <w:rPr>
                <w:snapToGrid w:val="0"/>
                <w:color w:val="000000"/>
              </w:rPr>
              <w:t>Carrying</w:t>
            </w:r>
          </w:p>
        </w:tc>
        <w:tc>
          <w:tcPr>
            <w:tcW w:w="376" w:type="dxa"/>
          </w:tcPr>
          <w:p w14:paraId="15E3B1E2" w14:textId="77777777" w:rsidR="00037DDA" w:rsidRPr="00037DDA" w:rsidRDefault="00037DDA" w:rsidP="00037DDA">
            <w:pPr>
              <w:jc w:val="right"/>
              <w:rPr>
                <w:snapToGrid w:val="0"/>
                <w:color w:val="000000"/>
              </w:rPr>
            </w:pPr>
          </w:p>
        </w:tc>
        <w:tc>
          <w:tcPr>
            <w:tcW w:w="1056" w:type="dxa"/>
            <w:tcBorders>
              <w:top w:val="single" w:sz="4" w:space="0" w:color="auto"/>
            </w:tcBorders>
          </w:tcPr>
          <w:p w14:paraId="5B2BEBFD" w14:textId="77777777" w:rsidR="00037DDA" w:rsidRPr="00037DDA" w:rsidRDefault="00037DDA" w:rsidP="00037DDA">
            <w:pPr>
              <w:jc w:val="center"/>
              <w:rPr>
                <w:snapToGrid w:val="0"/>
                <w:color w:val="000000"/>
              </w:rPr>
            </w:pPr>
          </w:p>
        </w:tc>
        <w:tc>
          <w:tcPr>
            <w:tcW w:w="1056" w:type="dxa"/>
            <w:tcBorders>
              <w:top w:val="single" w:sz="4" w:space="0" w:color="auto"/>
            </w:tcBorders>
          </w:tcPr>
          <w:p w14:paraId="3F092E4A" w14:textId="77777777" w:rsidR="00037DDA" w:rsidRPr="00037DDA" w:rsidRDefault="00037DDA" w:rsidP="00037DDA">
            <w:pPr>
              <w:jc w:val="center"/>
              <w:rPr>
                <w:snapToGrid w:val="0"/>
                <w:color w:val="000000"/>
              </w:rPr>
            </w:pPr>
            <w:r w:rsidRPr="00037DDA">
              <w:rPr>
                <w:snapToGrid w:val="0"/>
                <w:color w:val="000000"/>
              </w:rPr>
              <w:t>Carrying</w:t>
            </w:r>
          </w:p>
        </w:tc>
      </w:tr>
      <w:tr w:rsidR="00037DDA" w:rsidRPr="00037DDA" w14:paraId="42AF4DA4" w14:textId="77777777" w:rsidTr="0043475C">
        <w:trPr>
          <w:trHeight w:hRule="exact" w:val="230"/>
        </w:trPr>
        <w:tc>
          <w:tcPr>
            <w:tcW w:w="305" w:type="dxa"/>
          </w:tcPr>
          <w:p w14:paraId="164448CA" w14:textId="77777777" w:rsidR="00037DDA" w:rsidRPr="00037DDA" w:rsidRDefault="00037DDA" w:rsidP="00037DDA">
            <w:pPr>
              <w:jc w:val="right"/>
              <w:rPr>
                <w:snapToGrid w:val="0"/>
                <w:color w:val="000000"/>
              </w:rPr>
            </w:pPr>
          </w:p>
        </w:tc>
        <w:tc>
          <w:tcPr>
            <w:tcW w:w="4795" w:type="dxa"/>
          </w:tcPr>
          <w:p w14:paraId="54A92893" w14:textId="77777777" w:rsidR="00037DDA" w:rsidRPr="00037DDA" w:rsidRDefault="00037DDA" w:rsidP="00037DDA">
            <w:pPr>
              <w:jc w:val="right"/>
              <w:rPr>
                <w:snapToGrid w:val="0"/>
                <w:color w:val="000000"/>
              </w:rPr>
            </w:pPr>
          </w:p>
        </w:tc>
        <w:tc>
          <w:tcPr>
            <w:tcW w:w="1125" w:type="dxa"/>
            <w:tcBorders>
              <w:bottom w:val="single" w:sz="6" w:space="0" w:color="auto"/>
            </w:tcBorders>
          </w:tcPr>
          <w:p w14:paraId="78867C45" w14:textId="77777777" w:rsidR="00037DDA" w:rsidRPr="00037DDA" w:rsidRDefault="00037DDA" w:rsidP="00037DDA">
            <w:pPr>
              <w:jc w:val="center"/>
              <w:rPr>
                <w:snapToGrid w:val="0"/>
                <w:color w:val="000000"/>
              </w:rPr>
            </w:pPr>
            <w:r w:rsidRPr="00037DDA">
              <w:rPr>
                <w:snapToGrid w:val="0"/>
                <w:color w:val="000000"/>
              </w:rPr>
              <w:t>Shares</w:t>
            </w:r>
          </w:p>
        </w:tc>
        <w:tc>
          <w:tcPr>
            <w:tcW w:w="1125" w:type="dxa"/>
            <w:tcBorders>
              <w:bottom w:val="single" w:sz="4" w:space="0" w:color="auto"/>
            </w:tcBorders>
          </w:tcPr>
          <w:p w14:paraId="5A5A6058" w14:textId="77777777" w:rsidR="00037DDA" w:rsidRPr="00037DDA" w:rsidRDefault="00037DDA" w:rsidP="00037DDA">
            <w:pPr>
              <w:jc w:val="center"/>
              <w:rPr>
                <w:snapToGrid w:val="0"/>
                <w:color w:val="000000"/>
              </w:rPr>
            </w:pPr>
            <w:r w:rsidRPr="00037DDA">
              <w:rPr>
                <w:snapToGrid w:val="0"/>
                <w:color w:val="000000"/>
              </w:rPr>
              <w:t>Value</w:t>
            </w:r>
          </w:p>
        </w:tc>
        <w:tc>
          <w:tcPr>
            <w:tcW w:w="376" w:type="dxa"/>
          </w:tcPr>
          <w:p w14:paraId="582F04C8" w14:textId="77777777" w:rsidR="00037DDA" w:rsidRPr="00037DDA" w:rsidRDefault="00037DDA" w:rsidP="00037DDA">
            <w:pPr>
              <w:jc w:val="right"/>
              <w:rPr>
                <w:snapToGrid w:val="0"/>
                <w:color w:val="000000"/>
              </w:rPr>
            </w:pPr>
          </w:p>
        </w:tc>
        <w:tc>
          <w:tcPr>
            <w:tcW w:w="1056" w:type="dxa"/>
            <w:tcBorders>
              <w:bottom w:val="single" w:sz="4" w:space="0" w:color="auto"/>
            </w:tcBorders>
          </w:tcPr>
          <w:p w14:paraId="1ED74D51" w14:textId="77777777" w:rsidR="00037DDA" w:rsidRPr="00037DDA" w:rsidRDefault="00037DDA" w:rsidP="00037DDA">
            <w:pPr>
              <w:jc w:val="center"/>
              <w:rPr>
                <w:snapToGrid w:val="0"/>
                <w:color w:val="000000"/>
              </w:rPr>
            </w:pPr>
            <w:r w:rsidRPr="00037DDA">
              <w:rPr>
                <w:snapToGrid w:val="0"/>
                <w:color w:val="000000"/>
              </w:rPr>
              <w:t>Shares</w:t>
            </w:r>
          </w:p>
        </w:tc>
        <w:tc>
          <w:tcPr>
            <w:tcW w:w="1056" w:type="dxa"/>
            <w:tcBorders>
              <w:bottom w:val="single" w:sz="6" w:space="0" w:color="auto"/>
            </w:tcBorders>
          </w:tcPr>
          <w:p w14:paraId="44BDDC0A" w14:textId="77777777" w:rsidR="00037DDA" w:rsidRPr="00037DDA" w:rsidRDefault="00037DDA" w:rsidP="00037DDA">
            <w:pPr>
              <w:jc w:val="center"/>
              <w:rPr>
                <w:snapToGrid w:val="0"/>
                <w:color w:val="000000"/>
              </w:rPr>
            </w:pPr>
            <w:r w:rsidRPr="00037DDA">
              <w:rPr>
                <w:snapToGrid w:val="0"/>
                <w:color w:val="000000"/>
              </w:rPr>
              <w:t>Value</w:t>
            </w:r>
          </w:p>
        </w:tc>
      </w:tr>
      <w:tr w:rsidR="00037DDA" w:rsidRPr="00037DDA" w14:paraId="6E82657C" w14:textId="77777777" w:rsidTr="0043475C">
        <w:trPr>
          <w:trHeight w:hRule="exact" w:val="230"/>
        </w:trPr>
        <w:tc>
          <w:tcPr>
            <w:tcW w:w="305" w:type="dxa"/>
          </w:tcPr>
          <w:p w14:paraId="5A425688" w14:textId="77777777" w:rsidR="00037DDA" w:rsidRPr="00037DDA" w:rsidRDefault="00037DDA" w:rsidP="00037DDA">
            <w:pPr>
              <w:jc w:val="right"/>
              <w:rPr>
                <w:snapToGrid w:val="0"/>
                <w:color w:val="000000"/>
              </w:rPr>
            </w:pPr>
          </w:p>
        </w:tc>
        <w:tc>
          <w:tcPr>
            <w:tcW w:w="4795" w:type="dxa"/>
          </w:tcPr>
          <w:p w14:paraId="3DFE83F6" w14:textId="77777777" w:rsidR="00037DDA" w:rsidRPr="00037DDA" w:rsidRDefault="00037DDA" w:rsidP="00037DDA">
            <w:pPr>
              <w:tabs>
                <w:tab w:val="left" w:pos="203"/>
              </w:tabs>
              <w:rPr>
                <w:snapToGrid w:val="0"/>
                <w:color w:val="000000"/>
              </w:rPr>
            </w:pPr>
            <w:r w:rsidRPr="00037DDA">
              <w:rPr>
                <w:snapToGrid w:val="0"/>
                <w:color w:val="000000"/>
              </w:rPr>
              <w:t>Series B Convertible Preferred Stock</w:t>
            </w:r>
          </w:p>
        </w:tc>
        <w:tc>
          <w:tcPr>
            <w:tcW w:w="1125" w:type="dxa"/>
          </w:tcPr>
          <w:p w14:paraId="68194510"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125" w:type="dxa"/>
            <w:tcBorders>
              <w:top w:val="single" w:sz="4" w:space="0" w:color="auto"/>
            </w:tcBorders>
          </w:tcPr>
          <w:p w14:paraId="2C7B68B4" w14:textId="4F86CBD7" w:rsidR="00037DDA" w:rsidRPr="00037DDA" w:rsidRDefault="00037DDA" w:rsidP="00037DDA">
            <w:pPr>
              <w:tabs>
                <w:tab w:val="left" w:pos="263"/>
              </w:tabs>
              <w:jc w:val="right"/>
              <w:rPr>
                <w:snapToGrid w:val="0"/>
                <w:color w:val="000000"/>
              </w:rPr>
            </w:pPr>
            <w:r w:rsidRPr="00037DDA">
              <w:rPr>
                <w:snapToGrid w:val="0"/>
                <w:color w:val="000000"/>
              </w:rPr>
              <w:t>$</w:t>
            </w:r>
            <w:r w:rsidR="003E6788">
              <w:rPr>
                <w:snapToGrid w:val="0"/>
                <w:color w:val="000000"/>
              </w:rPr>
              <w:t xml:space="preserve"> </w:t>
            </w:r>
            <w:r w:rsidRPr="00037DDA">
              <w:rPr>
                <w:snapToGrid w:val="0"/>
                <w:color w:val="000000"/>
              </w:rPr>
              <w:tab/>
              <w:t>76,095</w:t>
            </w:r>
          </w:p>
        </w:tc>
        <w:tc>
          <w:tcPr>
            <w:tcW w:w="376" w:type="dxa"/>
          </w:tcPr>
          <w:p w14:paraId="156C9ED4" w14:textId="77777777" w:rsidR="00037DDA" w:rsidRPr="00037DDA" w:rsidRDefault="00037DDA" w:rsidP="00037DDA">
            <w:pPr>
              <w:jc w:val="right"/>
              <w:rPr>
                <w:snapToGrid w:val="0"/>
                <w:color w:val="000000"/>
              </w:rPr>
            </w:pPr>
          </w:p>
        </w:tc>
        <w:tc>
          <w:tcPr>
            <w:tcW w:w="1056" w:type="dxa"/>
            <w:tcBorders>
              <w:top w:val="single" w:sz="4" w:space="0" w:color="auto"/>
            </w:tcBorders>
          </w:tcPr>
          <w:p w14:paraId="0315F1E7"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056" w:type="dxa"/>
          </w:tcPr>
          <w:p w14:paraId="7BEDD7F2" w14:textId="77777777" w:rsidR="00037DDA" w:rsidRPr="00037DDA" w:rsidRDefault="00037DDA" w:rsidP="00037DDA">
            <w:pPr>
              <w:tabs>
                <w:tab w:val="left" w:pos="62"/>
                <w:tab w:val="decimal" w:pos="1195"/>
              </w:tabs>
              <w:jc w:val="right"/>
              <w:rPr>
                <w:snapToGrid w:val="0"/>
                <w:color w:val="000000"/>
              </w:rPr>
            </w:pPr>
            <w:r w:rsidRPr="00037DDA">
              <w:rPr>
                <w:snapToGrid w:val="0"/>
                <w:color w:val="000000"/>
              </w:rPr>
              <w:t xml:space="preserve">  $</w:t>
            </w:r>
            <w:r w:rsidRPr="00037DDA">
              <w:rPr>
                <w:snapToGrid w:val="0"/>
                <w:color w:val="000000"/>
              </w:rPr>
              <w:tab/>
              <w:t>76,095</w:t>
            </w:r>
          </w:p>
        </w:tc>
      </w:tr>
      <w:tr w:rsidR="00037DDA" w:rsidRPr="00037DDA" w14:paraId="61467CE5" w14:textId="77777777" w:rsidTr="0043475C">
        <w:trPr>
          <w:trHeight w:hRule="exact" w:val="230"/>
        </w:trPr>
        <w:tc>
          <w:tcPr>
            <w:tcW w:w="305" w:type="dxa"/>
          </w:tcPr>
          <w:p w14:paraId="307A78C2" w14:textId="77777777" w:rsidR="00037DDA" w:rsidRPr="00037DDA" w:rsidRDefault="00037DDA" w:rsidP="00037DDA">
            <w:pPr>
              <w:jc w:val="right"/>
              <w:rPr>
                <w:snapToGrid w:val="0"/>
                <w:color w:val="000000"/>
              </w:rPr>
            </w:pPr>
          </w:p>
        </w:tc>
        <w:tc>
          <w:tcPr>
            <w:tcW w:w="4795" w:type="dxa"/>
          </w:tcPr>
          <w:p w14:paraId="657780CB" w14:textId="04554A58"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H</w:t>
            </w:r>
            <w:r w:rsidRPr="00037DDA">
              <w:rPr>
                <w:snapToGrid w:val="0"/>
                <w:color w:val="000000"/>
              </w:rPr>
              <w:t xml:space="preserve"> Convertible Preferred Stock</w:t>
            </w:r>
          </w:p>
        </w:tc>
        <w:tc>
          <w:tcPr>
            <w:tcW w:w="1125" w:type="dxa"/>
          </w:tcPr>
          <w:p w14:paraId="3494CF2D" w14:textId="77777777" w:rsidR="00037DDA" w:rsidRPr="00037DDA" w:rsidRDefault="00037DDA" w:rsidP="00037DDA">
            <w:pPr>
              <w:tabs>
                <w:tab w:val="decimal" w:pos="1320"/>
              </w:tabs>
              <w:rPr>
                <w:snapToGrid w:val="0"/>
                <w:color w:val="000000"/>
              </w:rPr>
            </w:pPr>
            <w:r w:rsidRPr="00037DDA">
              <w:rPr>
                <w:snapToGrid w:val="0"/>
                <w:color w:val="000000"/>
              </w:rPr>
              <w:t>-</w:t>
            </w:r>
          </w:p>
        </w:tc>
        <w:tc>
          <w:tcPr>
            <w:tcW w:w="1125" w:type="dxa"/>
          </w:tcPr>
          <w:p w14:paraId="4BDCCC9C" w14:textId="77777777" w:rsidR="00037DDA" w:rsidRPr="00037DDA" w:rsidRDefault="00037DDA" w:rsidP="00037DDA">
            <w:pPr>
              <w:jc w:val="right"/>
              <w:rPr>
                <w:snapToGrid w:val="0"/>
                <w:color w:val="000000"/>
              </w:rPr>
            </w:pPr>
            <w:r w:rsidRPr="00037DDA">
              <w:rPr>
                <w:snapToGrid w:val="0"/>
                <w:color w:val="000000"/>
              </w:rPr>
              <w:t>-</w:t>
            </w:r>
          </w:p>
        </w:tc>
        <w:tc>
          <w:tcPr>
            <w:tcW w:w="376" w:type="dxa"/>
          </w:tcPr>
          <w:p w14:paraId="70A25FA6" w14:textId="77777777" w:rsidR="00037DDA" w:rsidRPr="00037DDA" w:rsidRDefault="00037DDA" w:rsidP="00037DDA">
            <w:pPr>
              <w:jc w:val="right"/>
              <w:rPr>
                <w:snapToGrid w:val="0"/>
                <w:color w:val="000000"/>
              </w:rPr>
            </w:pPr>
          </w:p>
        </w:tc>
        <w:tc>
          <w:tcPr>
            <w:tcW w:w="1056" w:type="dxa"/>
          </w:tcPr>
          <w:p w14:paraId="203C617C" w14:textId="6B50FB23" w:rsidR="00037DDA" w:rsidRPr="00037DDA" w:rsidRDefault="003E6788" w:rsidP="00037DDA">
            <w:pPr>
              <w:tabs>
                <w:tab w:val="decimal" w:pos="1500"/>
              </w:tabs>
              <w:rPr>
                <w:snapToGrid w:val="0"/>
                <w:color w:val="000000"/>
              </w:rPr>
            </w:pPr>
            <w:r>
              <w:rPr>
                <w:snapToGrid w:val="0"/>
                <w:color w:val="000000"/>
              </w:rPr>
              <w:t>1,686</w:t>
            </w:r>
          </w:p>
        </w:tc>
        <w:tc>
          <w:tcPr>
            <w:tcW w:w="1056" w:type="dxa"/>
          </w:tcPr>
          <w:p w14:paraId="4774A764" w14:textId="4DB54749" w:rsidR="00037DDA" w:rsidRPr="00037DDA" w:rsidRDefault="00037DDA" w:rsidP="00037DDA">
            <w:pPr>
              <w:tabs>
                <w:tab w:val="decimal" w:pos="1500"/>
              </w:tabs>
              <w:rPr>
                <w:snapToGrid w:val="0"/>
                <w:color w:val="000000"/>
              </w:rPr>
            </w:pPr>
            <w:r w:rsidRPr="00037DDA">
              <w:rPr>
                <w:snapToGrid w:val="0"/>
                <w:color w:val="000000"/>
              </w:rPr>
              <w:t>1,1</w:t>
            </w:r>
            <w:r w:rsidR="003E6788">
              <w:rPr>
                <w:snapToGrid w:val="0"/>
                <w:color w:val="000000"/>
              </w:rPr>
              <w:t>56,338</w:t>
            </w:r>
          </w:p>
        </w:tc>
      </w:tr>
      <w:tr w:rsidR="00037DDA" w:rsidRPr="00037DDA" w14:paraId="4F42F55C" w14:textId="77777777" w:rsidTr="0043475C">
        <w:trPr>
          <w:trHeight w:hRule="exact" w:val="230"/>
        </w:trPr>
        <w:tc>
          <w:tcPr>
            <w:tcW w:w="305" w:type="dxa"/>
          </w:tcPr>
          <w:p w14:paraId="683247AA" w14:textId="77777777" w:rsidR="00037DDA" w:rsidRPr="00037DDA" w:rsidRDefault="00037DDA" w:rsidP="00037DDA">
            <w:pPr>
              <w:jc w:val="right"/>
              <w:rPr>
                <w:snapToGrid w:val="0"/>
                <w:color w:val="000000"/>
              </w:rPr>
            </w:pPr>
          </w:p>
        </w:tc>
        <w:tc>
          <w:tcPr>
            <w:tcW w:w="4795" w:type="dxa"/>
          </w:tcPr>
          <w:p w14:paraId="6BF422DE" w14:textId="17861276"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I</w:t>
            </w:r>
            <w:r w:rsidRPr="00037DDA">
              <w:rPr>
                <w:snapToGrid w:val="0"/>
                <w:color w:val="000000"/>
              </w:rPr>
              <w:t xml:space="preserve"> Convertible Preferred Stock</w:t>
            </w:r>
          </w:p>
        </w:tc>
        <w:tc>
          <w:tcPr>
            <w:tcW w:w="1125" w:type="dxa"/>
          </w:tcPr>
          <w:p w14:paraId="0FEA7DE3" w14:textId="27177FF4" w:rsidR="00037DDA" w:rsidRPr="00037DDA" w:rsidRDefault="003E6788" w:rsidP="00037DDA">
            <w:pPr>
              <w:tabs>
                <w:tab w:val="decimal" w:pos="1320"/>
              </w:tabs>
              <w:rPr>
                <w:snapToGrid w:val="0"/>
                <w:color w:val="000000"/>
              </w:rPr>
            </w:pPr>
            <w:r>
              <w:rPr>
                <w:snapToGrid w:val="0"/>
                <w:color w:val="000000"/>
              </w:rPr>
              <w:t>-</w:t>
            </w:r>
          </w:p>
        </w:tc>
        <w:tc>
          <w:tcPr>
            <w:tcW w:w="1125" w:type="dxa"/>
          </w:tcPr>
          <w:p w14:paraId="31EC1BD9" w14:textId="2278A0B5" w:rsidR="00037DDA" w:rsidRPr="00037DDA" w:rsidRDefault="003E6788" w:rsidP="00037DDA">
            <w:pPr>
              <w:jc w:val="right"/>
              <w:rPr>
                <w:snapToGrid w:val="0"/>
                <w:color w:val="000000"/>
              </w:rPr>
            </w:pPr>
            <w:r>
              <w:rPr>
                <w:snapToGrid w:val="0"/>
                <w:color w:val="000000"/>
              </w:rPr>
              <w:t>-</w:t>
            </w:r>
          </w:p>
        </w:tc>
        <w:tc>
          <w:tcPr>
            <w:tcW w:w="376" w:type="dxa"/>
          </w:tcPr>
          <w:p w14:paraId="49F51804" w14:textId="77777777" w:rsidR="00037DDA" w:rsidRPr="00037DDA" w:rsidRDefault="00037DDA" w:rsidP="00037DDA">
            <w:pPr>
              <w:jc w:val="right"/>
              <w:rPr>
                <w:snapToGrid w:val="0"/>
                <w:color w:val="000000"/>
              </w:rPr>
            </w:pPr>
          </w:p>
        </w:tc>
        <w:tc>
          <w:tcPr>
            <w:tcW w:w="1056" w:type="dxa"/>
          </w:tcPr>
          <w:p w14:paraId="5AA73688" w14:textId="265525AA" w:rsidR="00037DDA" w:rsidRPr="00037DDA" w:rsidRDefault="003E6788" w:rsidP="00037DDA">
            <w:pPr>
              <w:tabs>
                <w:tab w:val="decimal" w:pos="1500"/>
              </w:tabs>
              <w:rPr>
                <w:snapToGrid w:val="0"/>
                <w:color w:val="000000"/>
              </w:rPr>
            </w:pPr>
            <w:r>
              <w:rPr>
                <w:snapToGrid w:val="0"/>
                <w:color w:val="000000"/>
              </w:rPr>
              <w:t>700</w:t>
            </w:r>
          </w:p>
        </w:tc>
        <w:tc>
          <w:tcPr>
            <w:tcW w:w="1056" w:type="dxa"/>
          </w:tcPr>
          <w:p w14:paraId="5BE3DA85" w14:textId="70CBF77D" w:rsidR="00037DDA" w:rsidRPr="00037DDA" w:rsidRDefault="003E6788" w:rsidP="00037DDA">
            <w:pPr>
              <w:tabs>
                <w:tab w:val="decimal" w:pos="1500"/>
              </w:tabs>
              <w:rPr>
                <w:snapToGrid w:val="0"/>
                <w:color w:val="000000"/>
              </w:rPr>
            </w:pPr>
            <w:r>
              <w:rPr>
                <w:snapToGrid w:val="0"/>
                <w:color w:val="000000"/>
              </w:rPr>
              <w:t>700,000</w:t>
            </w:r>
          </w:p>
        </w:tc>
      </w:tr>
      <w:tr w:rsidR="00037DDA" w:rsidRPr="00037DDA" w14:paraId="0636B4BA" w14:textId="77777777" w:rsidTr="0043475C">
        <w:trPr>
          <w:trHeight w:hRule="exact" w:val="230"/>
        </w:trPr>
        <w:tc>
          <w:tcPr>
            <w:tcW w:w="305" w:type="dxa"/>
          </w:tcPr>
          <w:p w14:paraId="56CBAA7B" w14:textId="77777777" w:rsidR="00037DDA" w:rsidRPr="00037DDA" w:rsidRDefault="00037DDA" w:rsidP="00037DDA">
            <w:pPr>
              <w:jc w:val="right"/>
              <w:rPr>
                <w:snapToGrid w:val="0"/>
                <w:color w:val="000000"/>
              </w:rPr>
            </w:pPr>
          </w:p>
        </w:tc>
        <w:tc>
          <w:tcPr>
            <w:tcW w:w="4795" w:type="dxa"/>
          </w:tcPr>
          <w:p w14:paraId="5E580547" w14:textId="5A26932A"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J</w:t>
            </w:r>
            <w:r w:rsidRPr="00037DDA">
              <w:rPr>
                <w:snapToGrid w:val="0"/>
                <w:color w:val="000000"/>
              </w:rPr>
              <w:t xml:space="preserve"> Convertible Preferred Stock</w:t>
            </w:r>
          </w:p>
        </w:tc>
        <w:tc>
          <w:tcPr>
            <w:tcW w:w="1125" w:type="dxa"/>
            <w:tcBorders>
              <w:bottom w:val="single" w:sz="4" w:space="0" w:color="auto"/>
            </w:tcBorders>
          </w:tcPr>
          <w:p w14:paraId="71CF5167" w14:textId="71C8A7BE" w:rsidR="00037DDA" w:rsidRPr="00037DDA" w:rsidRDefault="003E6788" w:rsidP="00037DDA">
            <w:pPr>
              <w:tabs>
                <w:tab w:val="decimal" w:pos="1320"/>
              </w:tabs>
              <w:rPr>
                <w:snapToGrid w:val="0"/>
                <w:color w:val="000000"/>
              </w:rPr>
            </w:pPr>
            <w:r>
              <w:rPr>
                <w:snapToGrid w:val="0"/>
                <w:color w:val="000000"/>
              </w:rPr>
              <w:t>300</w:t>
            </w:r>
          </w:p>
        </w:tc>
        <w:tc>
          <w:tcPr>
            <w:tcW w:w="1125" w:type="dxa"/>
            <w:tcBorders>
              <w:bottom w:val="single" w:sz="4" w:space="0" w:color="auto"/>
            </w:tcBorders>
          </w:tcPr>
          <w:p w14:paraId="3972C9BD" w14:textId="60A97F02" w:rsidR="00037DDA" w:rsidRPr="00037DDA" w:rsidRDefault="003E6788" w:rsidP="00037DDA">
            <w:pPr>
              <w:jc w:val="right"/>
              <w:rPr>
                <w:snapToGrid w:val="0"/>
                <w:color w:val="000000"/>
              </w:rPr>
            </w:pPr>
            <w:r>
              <w:rPr>
                <w:snapToGrid w:val="0"/>
                <w:color w:val="000000"/>
              </w:rPr>
              <w:t>3</w:t>
            </w:r>
            <w:r w:rsidR="00037DDA" w:rsidRPr="00037DDA">
              <w:rPr>
                <w:snapToGrid w:val="0"/>
                <w:color w:val="000000"/>
              </w:rPr>
              <w:t>00,000</w:t>
            </w:r>
          </w:p>
        </w:tc>
        <w:tc>
          <w:tcPr>
            <w:tcW w:w="376" w:type="dxa"/>
          </w:tcPr>
          <w:p w14:paraId="03B2321A" w14:textId="77777777" w:rsidR="00037DDA" w:rsidRPr="00037DDA" w:rsidRDefault="00037DDA" w:rsidP="00037DDA">
            <w:pPr>
              <w:jc w:val="right"/>
              <w:rPr>
                <w:snapToGrid w:val="0"/>
                <w:color w:val="000000"/>
              </w:rPr>
            </w:pPr>
          </w:p>
        </w:tc>
        <w:tc>
          <w:tcPr>
            <w:tcW w:w="1056" w:type="dxa"/>
            <w:tcBorders>
              <w:bottom w:val="single" w:sz="4" w:space="0" w:color="auto"/>
            </w:tcBorders>
          </w:tcPr>
          <w:p w14:paraId="6638CC23" w14:textId="77777777" w:rsidR="00037DDA" w:rsidRPr="00037DDA" w:rsidRDefault="00037DDA" w:rsidP="00037DDA">
            <w:pPr>
              <w:tabs>
                <w:tab w:val="decimal" w:pos="1500"/>
              </w:tabs>
              <w:rPr>
                <w:snapToGrid w:val="0"/>
                <w:color w:val="000000"/>
              </w:rPr>
            </w:pPr>
            <w:r w:rsidRPr="00037DDA">
              <w:rPr>
                <w:snapToGrid w:val="0"/>
                <w:color w:val="000000"/>
              </w:rPr>
              <w:t>-</w:t>
            </w:r>
          </w:p>
        </w:tc>
        <w:tc>
          <w:tcPr>
            <w:tcW w:w="1056" w:type="dxa"/>
            <w:tcBorders>
              <w:bottom w:val="single" w:sz="4" w:space="0" w:color="auto"/>
            </w:tcBorders>
          </w:tcPr>
          <w:p w14:paraId="2BFC3980" w14:textId="77777777" w:rsidR="00037DDA" w:rsidRPr="00037DDA" w:rsidRDefault="00037DDA" w:rsidP="00037DDA">
            <w:pPr>
              <w:tabs>
                <w:tab w:val="decimal" w:pos="1500"/>
              </w:tabs>
              <w:rPr>
                <w:snapToGrid w:val="0"/>
                <w:color w:val="000000"/>
              </w:rPr>
            </w:pPr>
            <w:r w:rsidRPr="00037DDA">
              <w:rPr>
                <w:snapToGrid w:val="0"/>
                <w:color w:val="000000"/>
              </w:rPr>
              <w:t>-</w:t>
            </w:r>
          </w:p>
        </w:tc>
      </w:tr>
      <w:tr w:rsidR="00037DDA" w:rsidRPr="00037DDA" w14:paraId="01898B35" w14:textId="77777777" w:rsidTr="0043475C">
        <w:trPr>
          <w:trHeight w:hRule="exact" w:val="230"/>
        </w:trPr>
        <w:tc>
          <w:tcPr>
            <w:tcW w:w="305" w:type="dxa"/>
          </w:tcPr>
          <w:p w14:paraId="7BBFF325" w14:textId="77777777" w:rsidR="00037DDA" w:rsidRPr="00037DDA" w:rsidRDefault="00037DDA" w:rsidP="00037DDA">
            <w:pPr>
              <w:jc w:val="right"/>
              <w:rPr>
                <w:snapToGrid w:val="0"/>
                <w:color w:val="000000"/>
              </w:rPr>
            </w:pPr>
          </w:p>
        </w:tc>
        <w:tc>
          <w:tcPr>
            <w:tcW w:w="4795" w:type="dxa"/>
          </w:tcPr>
          <w:p w14:paraId="0DDFDFC2" w14:textId="77777777" w:rsidR="00037DDA" w:rsidRPr="00037DDA" w:rsidRDefault="00037DDA" w:rsidP="00037DDA">
            <w:pPr>
              <w:rPr>
                <w:snapToGrid w:val="0"/>
                <w:color w:val="000000"/>
              </w:rPr>
            </w:pPr>
            <w:r w:rsidRPr="00037DDA">
              <w:rPr>
                <w:snapToGrid w:val="0"/>
                <w:color w:val="000000"/>
              </w:rPr>
              <w:t>Total</w:t>
            </w:r>
          </w:p>
        </w:tc>
        <w:tc>
          <w:tcPr>
            <w:tcW w:w="1125" w:type="dxa"/>
            <w:tcBorders>
              <w:top w:val="single" w:sz="4" w:space="0" w:color="auto"/>
              <w:bottom w:val="double" w:sz="4" w:space="0" w:color="auto"/>
            </w:tcBorders>
          </w:tcPr>
          <w:p w14:paraId="6097DF21" w14:textId="4DCBE3E6" w:rsidR="00037DDA" w:rsidRPr="00037DDA" w:rsidRDefault="003E6788" w:rsidP="00037DDA">
            <w:pPr>
              <w:tabs>
                <w:tab w:val="decimal" w:pos="1320"/>
              </w:tabs>
              <w:rPr>
                <w:snapToGrid w:val="0"/>
                <w:color w:val="000000"/>
              </w:rPr>
            </w:pPr>
            <w:r>
              <w:rPr>
                <w:snapToGrid w:val="0"/>
                <w:color w:val="000000"/>
              </w:rPr>
              <w:t>400</w:t>
            </w:r>
          </w:p>
        </w:tc>
        <w:tc>
          <w:tcPr>
            <w:tcW w:w="1125" w:type="dxa"/>
            <w:tcBorders>
              <w:top w:val="single" w:sz="4" w:space="0" w:color="auto"/>
              <w:bottom w:val="double" w:sz="4" w:space="0" w:color="auto"/>
            </w:tcBorders>
          </w:tcPr>
          <w:p w14:paraId="3D57E408" w14:textId="7A77E860" w:rsidR="00037DDA" w:rsidRPr="00037DDA" w:rsidRDefault="00037DDA" w:rsidP="003E6788">
            <w:pPr>
              <w:tabs>
                <w:tab w:val="left" w:pos="200"/>
              </w:tabs>
              <w:jc w:val="right"/>
              <w:rPr>
                <w:snapToGrid w:val="0"/>
                <w:color w:val="000000"/>
              </w:rPr>
            </w:pPr>
            <w:r w:rsidRPr="00037DDA">
              <w:rPr>
                <w:snapToGrid w:val="0"/>
                <w:color w:val="000000"/>
              </w:rPr>
              <w:t>$</w:t>
            </w:r>
            <w:r w:rsidR="003E6788">
              <w:rPr>
                <w:snapToGrid w:val="0"/>
                <w:color w:val="000000"/>
              </w:rPr>
              <w:tab/>
              <w:t>376,095</w:t>
            </w:r>
          </w:p>
        </w:tc>
        <w:tc>
          <w:tcPr>
            <w:tcW w:w="376" w:type="dxa"/>
          </w:tcPr>
          <w:p w14:paraId="6FD3E816" w14:textId="77777777" w:rsidR="00037DDA" w:rsidRPr="00037DDA" w:rsidRDefault="00037DDA" w:rsidP="00037DDA">
            <w:pPr>
              <w:jc w:val="right"/>
              <w:rPr>
                <w:snapToGrid w:val="0"/>
                <w:color w:val="000000"/>
              </w:rPr>
            </w:pPr>
          </w:p>
        </w:tc>
        <w:tc>
          <w:tcPr>
            <w:tcW w:w="1056" w:type="dxa"/>
            <w:tcBorders>
              <w:top w:val="single" w:sz="4" w:space="0" w:color="auto"/>
              <w:bottom w:val="double" w:sz="4" w:space="0" w:color="auto"/>
            </w:tcBorders>
          </w:tcPr>
          <w:p w14:paraId="2F7B8463" w14:textId="201DF960" w:rsidR="00037DDA" w:rsidRPr="00037DDA" w:rsidRDefault="003E6788" w:rsidP="003E6788">
            <w:pPr>
              <w:tabs>
                <w:tab w:val="decimal" w:pos="1195"/>
              </w:tabs>
              <w:jc w:val="center"/>
              <w:rPr>
                <w:snapToGrid w:val="0"/>
                <w:color w:val="000000"/>
              </w:rPr>
            </w:pPr>
            <w:r>
              <w:rPr>
                <w:snapToGrid w:val="0"/>
                <w:color w:val="000000"/>
              </w:rPr>
              <w:t>2,486</w:t>
            </w:r>
          </w:p>
        </w:tc>
        <w:tc>
          <w:tcPr>
            <w:tcW w:w="1056" w:type="dxa"/>
            <w:tcBorders>
              <w:top w:val="single" w:sz="4" w:space="0" w:color="auto"/>
              <w:bottom w:val="double" w:sz="4" w:space="0" w:color="auto"/>
            </w:tcBorders>
          </w:tcPr>
          <w:p w14:paraId="30928F20" w14:textId="2FE792D2" w:rsidR="00037DDA" w:rsidRPr="00037DDA" w:rsidRDefault="00037DDA" w:rsidP="00037DDA">
            <w:pPr>
              <w:tabs>
                <w:tab w:val="decimal" w:pos="1195"/>
              </w:tabs>
              <w:jc w:val="right"/>
              <w:rPr>
                <w:snapToGrid w:val="0"/>
                <w:color w:val="000000"/>
              </w:rPr>
            </w:pPr>
            <w:r w:rsidRPr="00037DDA">
              <w:rPr>
                <w:snapToGrid w:val="0"/>
                <w:color w:val="000000"/>
              </w:rPr>
              <w:t>$ 1,9</w:t>
            </w:r>
            <w:r w:rsidR="003E6788">
              <w:rPr>
                <w:snapToGrid w:val="0"/>
                <w:color w:val="000000"/>
              </w:rPr>
              <w:t>32,433</w:t>
            </w:r>
          </w:p>
        </w:tc>
      </w:tr>
    </w:tbl>
    <w:p w14:paraId="2918A56A" w14:textId="77777777" w:rsidR="00037DDA" w:rsidRDefault="00037DDA" w:rsidP="000A55AE">
      <w:pPr>
        <w:pStyle w:val="BodyTitle"/>
        <w:spacing w:after="0"/>
      </w:pPr>
    </w:p>
    <w:p w14:paraId="546ED1D1" w14:textId="271DDEBD" w:rsidR="00DD731B" w:rsidRPr="00DD731B" w:rsidRDefault="00775DD0" w:rsidP="00DD731B">
      <w:pPr>
        <w:pStyle w:val="BodyTitle"/>
        <w:spacing w:after="0"/>
        <w:rPr>
          <w:i/>
          <w:u w:val="none"/>
        </w:rPr>
      </w:pPr>
      <w:r w:rsidRPr="00DD731B">
        <w:rPr>
          <w:i/>
          <w:u w:val="none"/>
        </w:rPr>
        <w:t>Series B Preferred Stock</w:t>
      </w:r>
      <w:r w:rsidR="00DD731B" w:rsidRPr="00DD731B">
        <w:rPr>
          <w:i/>
          <w:u w:val="none"/>
        </w:rPr>
        <w:t xml:space="preserve"> </w:t>
      </w:r>
      <w:r w:rsidR="00613F1F">
        <w:rPr>
          <w:i/>
          <w:u w:val="none"/>
        </w:rPr>
        <w:t xml:space="preserve">– </w:t>
      </w:r>
      <w:r w:rsidR="00DD731B" w:rsidRPr="00DD731B">
        <w:rPr>
          <w:i/>
          <w:u w:val="none"/>
        </w:rPr>
        <w:t xml:space="preserve"> </w:t>
      </w:r>
      <w:r w:rsidR="00DD731B" w:rsidRPr="00DD731B">
        <w:rPr>
          <w:u w:val="none"/>
        </w:rPr>
        <w:t xml:space="preserve">Our Series B Convertible Preferred Stock (“Series B Preferred Stock”), has rights and privileges as set forth in the pertinent Certificate of Designation of Preferences, Rights and Limitations, including </w:t>
      </w:r>
      <w:r w:rsidR="00DD731B" w:rsidRPr="00DD731B">
        <w:rPr>
          <w:color w:val="000000"/>
          <w:u w:val="none"/>
        </w:rPr>
        <w:t xml:space="preserve">a liquidation preference equal to the stated value per share. The Series B Preferred Stock has no voting rights and is not entitled to a dividend. As of </w:t>
      </w:r>
      <w:r w:rsidR="002A07F3">
        <w:rPr>
          <w:color w:val="000000"/>
          <w:u w:val="none"/>
        </w:rPr>
        <w:t>June</w:t>
      </w:r>
      <w:r w:rsidR="00DD731B" w:rsidRPr="00DD731B">
        <w:rPr>
          <w:color w:val="000000"/>
          <w:u w:val="none"/>
        </w:rPr>
        <w:t xml:space="preserve"> 3</w:t>
      </w:r>
      <w:r w:rsidR="002A07F3">
        <w:rPr>
          <w:color w:val="000000"/>
          <w:u w:val="none"/>
        </w:rPr>
        <w:t>0</w:t>
      </w:r>
      <w:r w:rsidR="00DD731B" w:rsidRPr="00DD731B">
        <w:rPr>
          <w:color w:val="000000"/>
          <w:u w:val="none"/>
        </w:rPr>
        <w:t>, 20</w:t>
      </w:r>
      <w:r w:rsidR="00DD731B">
        <w:rPr>
          <w:color w:val="000000"/>
          <w:u w:val="none"/>
        </w:rPr>
        <w:t>20</w:t>
      </w:r>
      <w:r w:rsidR="00DD731B" w:rsidRPr="00DD731B">
        <w:rPr>
          <w:color w:val="000000"/>
          <w:u w:val="none"/>
        </w:rPr>
        <w:t xml:space="preserve">, there were 100 shares of </w:t>
      </w:r>
      <w:r w:rsidR="00DD731B" w:rsidRPr="00DD731B">
        <w:rPr>
          <w:u w:val="none"/>
        </w:rPr>
        <w:t>Series B Preferred Stock outstanding,</w:t>
      </w:r>
      <w:r w:rsidR="00DD731B" w:rsidRPr="00DD731B">
        <w:rPr>
          <w:color w:val="000000"/>
          <w:u w:val="none"/>
        </w:rPr>
        <w:t xml:space="preserve"> convertible at any time at the option of the holder into shares of common stock at a fixed conversion price of $350,000 per common share. There were no transactions involving our Series B Preferred Stock during the </w:t>
      </w:r>
      <w:r w:rsidR="00615EF5">
        <w:rPr>
          <w:color w:val="000000"/>
          <w:u w:val="none"/>
        </w:rPr>
        <w:t>six</w:t>
      </w:r>
      <w:r w:rsidR="00DD731B" w:rsidRPr="00DD731B">
        <w:rPr>
          <w:color w:val="000000"/>
          <w:u w:val="none"/>
        </w:rPr>
        <w:t xml:space="preserve"> months ended </w:t>
      </w:r>
      <w:r w:rsidR="00615EF5">
        <w:rPr>
          <w:color w:val="000000"/>
          <w:u w:val="none"/>
        </w:rPr>
        <w:t>June</w:t>
      </w:r>
      <w:r w:rsidR="00DD731B" w:rsidRPr="00DD731B">
        <w:rPr>
          <w:color w:val="000000"/>
          <w:u w:val="none"/>
        </w:rPr>
        <w:t xml:space="preserve"> 3</w:t>
      </w:r>
      <w:r w:rsidR="00615EF5">
        <w:rPr>
          <w:color w:val="000000"/>
          <w:u w:val="none"/>
        </w:rPr>
        <w:t>0</w:t>
      </w:r>
      <w:r w:rsidR="00DD731B" w:rsidRPr="00DD731B">
        <w:rPr>
          <w:color w:val="000000"/>
          <w:u w:val="none"/>
        </w:rPr>
        <w:t>, 2020.</w:t>
      </w:r>
    </w:p>
    <w:p w14:paraId="63B12638" w14:textId="1E142210" w:rsidR="00DD731B" w:rsidRDefault="00DD731B" w:rsidP="000A55AE">
      <w:pPr>
        <w:pStyle w:val="BodyText"/>
        <w:spacing w:after="0"/>
      </w:pPr>
    </w:p>
    <w:p w14:paraId="50358AF8" w14:textId="58891380" w:rsidR="003E6788" w:rsidRPr="003E6788" w:rsidRDefault="003E6788" w:rsidP="003E6788">
      <w:pPr>
        <w:suppressAutoHyphens/>
        <w:spacing w:line="240" w:lineRule="exact"/>
        <w:rPr>
          <w:i/>
        </w:rPr>
      </w:pPr>
      <w:r w:rsidRPr="003E6788">
        <w:rPr>
          <w:i/>
        </w:rPr>
        <w:t>Series H Preferred Stock –</w:t>
      </w:r>
      <w:r w:rsidR="00613F1F">
        <w:rPr>
          <w:i/>
        </w:rPr>
        <w:t xml:space="preserve"> </w:t>
      </w:r>
      <w:r w:rsidRPr="003E6788">
        <w:t xml:space="preserve">Our Series H </w:t>
      </w:r>
      <w:r w:rsidR="00DD731B">
        <w:t xml:space="preserve">Convertible </w:t>
      </w:r>
      <w:r w:rsidRPr="003E6788">
        <w:t>Preferred Stock</w:t>
      </w:r>
      <w:r w:rsidR="00DD731B">
        <w:t xml:space="preserve"> (“Series H Preferred Stock”)</w:t>
      </w:r>
      <w:r w:rsidRPr="003E6788">
        <w:t xml:space="preserve"> has rights and privileges as set forth in the pertinent Certificate of Designation of Preferences, Rights and Limitations, including </w:t>
      </w:r>
      <w:r w:rsidRPr="003E6788">
        <w:rPr>
          <w:color w:val="000000"/>
        </w:rPr>
        <w:t xml:space="preserve">a liquidation preference equal to the stated value per share. The Series H Preferred Stock has no voting rights and is not entitled to a dividend. </w:t>
      </w:r>
      <w:bookmarkStart w:id="21" w:name="_Hlk37248529"/>
      <w:r w:rsidRPr="003E6788">
        <w:t xml:space="preserve">During </w:t>
      </w:r>
      <w:r w:rsidR="00DD731B">
        <w:t xml:space="preserve">the </w:t>
      </w:r>
      <w:r w:rsidR="00B92B68">
        <w:t>first quarter of 2020</w:t>
      </w:r>
      <w:r w:rsidRPr="003E6788">
        <w:t xml:space="preserve">, </w:t>
      </w:r>
      <w:r w:rsidR="00DD731B">
        <w:t>1,686</w:t>
      </w:r>
      <w:r w:rsidRPr="003E6788">
        <w:t xml:space="preserve"> shares of Series H Preferred Stock were converted into </w:t>
      </w:r>
      <w:r w:rsidR="00DD731B">
        <w:t>9,393,937</w:t>
      </w:r>
      <w:r w:rsidRPr="003E6788">
        <w:t xml:space="preserve"> shares of our common stock</w:t>
      </w:r>
      <w:r w:rsidRPr="003E6788">
        <w:rPr>
          <w:color w:val="000000"/>
        </w:rPr>
        <w:t>.</w:t>
      </w:r>
      <w:bookmarkEnd w:id="21"/>
      <w:r w:rsidR="00DD731B" w:rsidRPr="00DD731B">
        <w:rPr>
          <w:color w:val="000000"/>
        </w:rPr>
        <w:t xml:space="preserve"> </w:t>
      </w:r>
      <w:bookmarkStart w:id="22" w:name="_Hlk37248614"/>
      <w:r w:rsidR="00DD731B" w:rsidRPr="00DD731B">
        <w:rPr>
          <w:color w:val="000000"/>
        </w:rPr>
        <w:t xml:space="preserve">As of </w:t>
      </w:r>
      <w:r w:rsidR="00615EF5">
        <w:rPr>
          <w:color w:val="000000"/>
        </w:rPr>
        <w:t>June</w:t>
      </w:r>
      <w:r w:rsidR="00DD731B" w:rsidRPr="00DD731B">
        <w:rPr>
          <w:color w:val="000000"/>
        </w:rPr>
        <w:t xml:space="preserve"> 3</w:t>
      </w:r>
      <w:r w:rsidR="00615EF5">
        <w:rPr>
          <w:color w:val="000000"/>
        </w:rPr>
        <w:t>0</w:t>
      </w:r>
      <w:r w:rsidR="00DD731B" w:rsidRPr="00DD731B">
        <w:rPr>
          <w:color w:val="000000"/>
        </w:rPr>
        <w:t>, 20</w:t>
      </w:r>
      <w:r w:rsidR="00DD731B">
        <w:rPr>
          <w:color w:val="000000"/>
        </w:rPr>
        <w:t>20</w:t>
      </w:r>
      <w:r w:rsidR="00DD731B" w:rsidRPr="00DD731B">
        <w:rPr>
          <w:color w:val="000000"/>
        </w:rPr>
        <w:t xml:space="preserve">, there </w:t>
      </w:r>
      <w:r w:rsidR="00DD731B">
        <w:rPr>
          <w:color w:val="000000"/>
        </w:rPr>
        <w:t>are no</w:t>
      </w:r>
      <w:r w:rsidR="00DD731B" w:rsidRPr="00DD731B">
        <w:rPr>
          <w:color w:val="000000"/>
        </w:rPr>
        <w:t xml:space="preserve"> shares of </w:t>
      </w:r>
      <w:r w:rsidR="00DD731B" w:rsidRPr="00DD731B">
        <w:t xml:space="preserve">Series </w:t>
      </w:r>
      <w:r w:rsidR="00DD731B">
        <w:t>H</w:t>
      </w:r>
      <w:r w:rsidR="00DD731B" w:rsidRPr="00DD731B">
        <w:t xml:space="preserve"> Preferred Stock outstanding</w:t>
      </w:r>
      <w:bookmarkEnd w:id="22"/>
      <w:r w:rsidR="00DD731B">
        <w:t>.</w:t>
      </w:r>
    </w:p>
    <w:p w14:paraId="312124F6" w14:textId="77777777" w:rsidR="003E6788" w:rsidRPr="003E6788" w:rsidRDefault="003E6788" w:rsidP="003E6788">
      <w:pPr>
        <w:rPr>
          <w:color w:val="000000"/>
        </w:rPr>
      </w:pPr>
    </w:p>
    <w:p w14:paraId="5F93B52D" w14:textId="6B277616" w:rsidR="003E6788" w:rsidRPr="003E6788" w:rsidRDefault="003E6788" w:rsidP="003E6788">
      <w:pPr>
        <w:suppressAutoHyphens/>
        <w:spacing w:line="240" w:lineRule="exact"/>
        <w:rPr>
          <w:i/>
        </w:rPr>
      </w:pPr>
      <w:r w:rsidRPr="003E6788">
        <w:rPr>
          <w:i/>
        </w:rPr>
        <w:t>Series I Preferred Stock –</w:t>
      </w:r>
      <w:r w:rsidR="00613F1F">
        <w:rPr>
          <w:i/>
        </w:rPr>
        <w:t xml:space="preserve"> </w:t>
      </w:r>
      <w:r w:rsidRPr="003E6788">
        <w:t xml:space="preserve">Our </w:t>
      </w:r>
      <w:r w:rsidR="00DD731B" w:rsidRPr="003E6788">
        <w:t xml:space="preserve">Series I Convertible Preferred Stock (“Series I Preferred Stock”) </w:t>
      </w:r>
      <w:r w:rsidRPr="003E6788">
        <w:t xml:space="preserve">has rights and privileges as set forth in the pertinent Certificate of Designation of Preferences, Rights and Limitations, including </w:t>
      </w:r>
      <w:r w:rsidRPr="003E6788">
        <w:rPr>
          <w:color w:val="000000"/>
        </w:rPr>
        <w:t xml:space="preserve">a liquidation preference equal to the stated value per share. The Series I Preferred Stock has no voting rights and is not entitled to a </w:t>
      </w:r>
      <w:r w:rsidRPr="003E6788">
        <w:rPr>
          <w:color w:val="000000"/>
        </w:rPr>
        <w:lastRenderedPageBreak/>
        <w:t>dividend.</w:t>
      </w:r>
      <w:r w:rsidRPr="003E6788">
        <w:t xml:space="preserve"> </w:t>
      </w:r>
      <w:r w:rsidR="00DD731B" w:rsidRPr="003E6788">
        <w:t xml:space="preserve">During </w:t>
      </w:r>
      <w:r w:rsidR="00B92B68">
        <w:t>March</w:t>
      </w:r>
      <w:r w:rsidR="00DD731B">
        <w:t xml:space="preserve"> </w:t>
      </w:r>
      <w:r w:rsidR="00DD731B" w:rsidRPr="003E6788">
        <w:t>20</w:t>
      </w:r>
      <w:r w:rsidR="00DD731B">
        <w:t>20</w:t>
      </w:r>
      <w:r w:rsidR="00DD731B" w:rsidRPr="003E6788">
        <w:t xml:space="preserve">, </w:t>
      </w:r>
      <w:r w:rsidR="00DD731B">
        <w:t>700</w:t>
      </w:r>
      <w:r w:rsidR="00DD731B" w:rsidRPr="003E6788">
        <w:t xml:space="preserve"> shares of Series </w:t>
      </w:r>
      <w:r w:rsidR="00613F1F">
        <w:t>I</w:t>
      </w:r>
      <w:r w:rsidR="00DD731B" w:rsidRPr="003E6788">
        <w:t xml:space="preserve"> Preferred Stock were converted into </w:t>
      </w:r>
      <w:r w:rsidR="00DD731B">
        <w:t>4,087,412</w:t>
      </w:r>
      <w:r w:rsidR="00DD731B" w:rsidRPr="003E6788">
        <w:t xml:space="preserve"> shares of our common stock</w:t>
      </w:r>
      <w:r w:rsidR="00DD731B" w:rsidRPr="003E6788">
        <w:rPr>
          <w:color w:val="000000"/>
        </w:rPr>
        <w:t>.</w:t>
      </w:r>
      <w:r w:rsidR="00DD731B" w:rsidRPr="00DD731B">
        <w:rPr>
          <w:color w:val="000000"/>
        </w:rPr>
        <w:t xml:space="preserve"> As of </w:t>
      </w:r>
      <w:r w:rsidR="00615EF5">
        <w:rPr>
          <w:color w:val="000000"/>
        </w:rPr>
        <w:t>June</w:t>
      </w:r>
      <w:r w:rsidR="00DD731B" w:rsidRPr="00DD731B">
        <w:rPr>
          <w:color w:val="000000"/>
        </w:rPr>
        <w:t xml:space="preserve"> 3</w:t>
      </w:r>
      <w:r w:rsidR="00615EF5">
        <w:rPr>
          <w:color w:val="000000"/>
        </w:rPr>
        <w:t>0</w:t>
      </w:r>
      <w:r w:rsidR="00DD731B" w:rsidRPr="00DD731B">
        <w:rPr>
          <w:color w:val="000000"/>
        </w:rPr>
        <w:t>, 20</w:t>
      </w:r>
      <w:r w:rsidR="00DD731B">
        <w:rPr>
          <w:color w:val="000000"/>
        </w:rPr>
        <w:t>20</w:t>
      </w:r>
      <w:r w:rsidR="00DD731B" w:rsidRPr="00DD731B">
        <w:rPr>
          <w:color w:val="000000"/>
        </w:rPr>
        <w:t xml:space="preserve">, there </w:t>
      </w:r>
      <w:r w:rsidR="00DD731B">
        <w:rPr>
          <w:color w:val="000000"/>
        </w:rPr>
        <w:t>are no</w:t>
      </w:r>
      <w:r w:rsidR="00DD731B" w:rsidRPr="00DD731B">
        <w:rPr>
          <w:color w:val="000000"/>
        </w:rPr>
        <w:t xml:space="preserve"> shares of </w:t>
      </w:r>
      <w:r w:rsidR="00DD731B" w:rsidRPr="00DD731B">
        <w:t xml:space="preserve">Series </w:t>
      </w:r>
      <w:r w:rsidR="00DD731B">
        <w:t>I</w:t>
      </w:r>
      <w:r w:rsidR="00DD731B" w:rsidRPr="00DD731B">
        <w:t xml:space="preserve"> Preferred Stock outstanding</w:t>
      </w:r>
      <w:r w:rsidR="00202722">
        <w:t>.</w:t>
      </w:r>
    </w:p>
    <w:p w14:paraId="11175B6A" w14:textId="17CCEEE4" w:rsidR="000A55AE" w:rsidRPr="008C287F" w:rsidRDefault="000A55AE" w:rsidP="000A55AE">
      <w:pPr>
        <w:pStyle w:val="BodyTitle"/>
        <w:spacing w:after="0"/>
      </w:pPr>
    </w:p>
    <w:p w14:paraId="630FE9D0" w14:textId="12E76E8C" w:rsidR="003E6788" w:rsidRPr="003E6788" w:rsidRDefault="003E6788" w:rsidP="00B53172">
      <w:r w:rsidRPr="003E6788">
        <w:rPr>
          <w:i/>
        </w:rPr>
        <w:t xml:space="preserve">Series </w:t>
      </w:r>
      <w:r>
        <w:rPr>
          <w:i/>
        </w:rPr>
        <w:t>J</w:t>
      </w:r>
      <w:r w:rsidRPr="003E6788">
        <w:rPr>
          <w:i/>
        </w:rPr>
        <w:t xml:space="preserve"> Preferred Stock </w:t>
      </w:r>
      <w:r w:rsidR="00613F1F">
        <w:rPr>
          <w:i/>
        </w:rPr>
        <w:t>–</w:t>
      </w:r>
      <w:r>
        <w:rPr>
          <w:i/>
        </w:rPr>
        <w:t xml:space="preserve"> </w:t>
      </w:r>
      <w:r w:rsidRPr="003E6788">
        <w:t xml:space="preserve">On January 24, 2020, we entered into a Securities Purchase Agreement with the purchasers identified therein providing for the issuance and sale to the Purchasers of an aggregate of 300 shares of our Series J Convertible Preferred Stock (“Series </w:t>
      </w:r>
      <w:r w:rsidR="00613F1F">
        <w:t>J</w:t>
      </w:r>
      <w:r w:rsidRPr="003E6788">
        <w:t xml:space="preserve"> Preferred Stock”) for gross proceeds of $300,000.</w:t>
      </w:r>
      <w:r>
        <w:t xml:space="preserve">  </w:t>
      </w:r>
      <w:r w:rsidRPr="003E6788">
        <w:t xml:space="preserve">Our Series J Preferred Stock has rights and privileges as set forth in the pertinent Certificate of Designation of Preferences, Rights and Limitations, including </w:t>
      </w:r>
      <w:r w:rsidRPr="003E6788">
        <w:rPr>
          <w:color w:val="000000"/>
        </w:rPr>
        <w:t xml:space="preserve">a liquidation preference equal to the stated value per share. The Series J Preferred Stock has no voting rights and is not entitled to a dividend. The Series J Preferred Stock is convertible at any </w:t>
      </w:r>
      <w:r w:rsidRPr="0010573E">
        <w:rPr>
          <w:color w:val="000000"/>
        </w:rPr>
        <w:t xml:space="preserve">time at the option of the holders into shares of our common stock, at a conversion price </w:t>
      </w:r>
      <w:r w:rsidR="0010573E" w:rsidRPr="0010573E">
        <w:rPr>
          <w:color w:val="000000"/>
        </w:rPr>
        <w:t xml:space="preserve">which originally was </w:t>
      </w:r>
      <w:r w:rsidRPr="0010573E">
        <w:rPr>
          <w:rFonts w:ascii="CG Times (WN)" w:hAnsi="CG Times (WN)"/>
        </w:rPr>
        <w:t>equal to the lesser of (i) $2.00 per share and (ii) 80% of the volume weighted average price of the common stock during the ten trading days immediat</w:t>
      </w:r>
      <w:r w:rsidRPr="003E6788">
        <w:rPr>
          <w:rFonts w:ascii="CG Times (WN)" w:hAnsi="CG Times (WN)"/>
        </w:rPr>
        <w:t>ely preceding the delivery of a notice of conversion</w:t>
      </w:r>
      <w:r w:rsidRPr="003E6788">
        <w:rPr>
          <w:color w:val="000000"/>
        </w:rPr>
        <w:t xml:space="preserve">. The Series J Preferred Stock contains price adjustment provisions, which may, under certain circumstances reduce the conversion price to match if we sell or grant options to purchase, including rights to reprice, our common stock or common </w:t>
      </w:r>
      <w:r w:rsidRPr="00E73D0D">
        <w:rPr>
          <w:color w:val="000000"/>
        </w:rPr>
        <w:t>stock equivalents at a price lower than the then conversion price of the Series J Preferred Stock.</w:t>
      </w:r>
      <w:r w:rsidR="00DD731B" w:rsidRPr="00E73D0D">
        <w:rPr>
          <w:color w:val="000000"/>
        </w:rPr>
        <w:t xml:space="preserve"> </w:t>
      </w:r>
      <w:r w:rsidR="0010573E" w:rsidRPr="00E73D0D">
        <w:t xml:space="preserve">As a result of our issuance of the </w:t>
      </w:r>
      <w:r w:rsidR="00C87AEF">
        <w:t xml:space="preserve">Convertible </w:t>
      </w:r>
      <w:r w:rsidR="0010573E" w:rsidRPr="00E73D0D">
        <w:t>Debenture</w:t>
      </w:r>
      <w:r w:rsidR="00C87AEF">
        <w:t>s</w:t>
      </w:r>
      <w:r w:rsidR="0010573E" w:rsidRPr="00E73D0D">
        <w:t xml:space="preserve"> and June 2020 Warrants in connection with our bridge financing in June 2020</w:t>
      </w:r>
      <w:r w:rsidR="00E73D0D">
        <w:t xml:space="preserve"> (see Note </w:t>
      </w:r>
      <w:r w:rsidR="00343CE1">
        <w:t>8</w:t>
      </w:r>
      <w:r w:rsidR="00E73D0D">
        <w:t>)</w:t>
      </w:r>
      <w:r w:rsidR="0010573E" w:rsidRPr="00E73D0D">
        <w:t xml:space="preserve">, the Series J Preferred Stock was automatically adjusted such that the conversion price is now equal to the lesser of (i) $0.50 per share and (ii) 80% of the lowest volume weighted average price of the Common Stock during the ten trading days immediately preceding the delivery of a notice of conversion. </w:t>
      </w:r>
      <w:r w:rsidR="00DD731B" w:rsidRPr="00E73D0D">
        <w:rPr>
          <w:color w:val="000000"/>
        </w:rPr>
        <w:t>Durin</w:t>
      </w:r>
      <w:r w:rsidR="000E4EF2" w:rsidRPr="00E73D0D">
        <w:rPr>
          <w:color w:val="000000"/>
        </w:rPr>
        <w:t>g the</w:t>
      </w:r>
      <w:r w:rsidR="000E4EF2">
        <w:rPr>
          <w:color w:val="000000"/>
        </w:rPr>
        <w:t xml:space="preserve"> </w:t>
      </w:r>
      <w:r w:rsidR="00615EF5">
        <w:rPr>
          <w:color w:val="000000"/>
        </w:rPr>
        <w:t>six</w:t>
      </w:r>
      <w:r w:rsidR="000E4EF2">
        <w:rPr>
          <w:color w:val="000000"/>
        </w:rPr>
        <w:t xml:space="preserve"> months ended </w:t>
      </w:r>
      <w:r w:rsidR="00615EF5">
        <w:rPr>
          <w:color w:val="000000"/>
        </w:rPr>
        <w:t>June</w:t>
      </w:r>
      <w:r w:rsidR="000E4EF2">
        <w:rPr>
          <w:color w:val="000000"/>
        </w:rPr>
        <w:t xml:space="preserve"> 3</w:t>
      </w:r>
      <w:r w:rsidR="00615EF5">
        <w:rPr>
          <w:color w:val="000000"/>
        </w:rPr>
        <w:t>0</w:t>
      </w:r>
      <w:r w:rsidR="000E4EF2">
        <w:rPr>
          <w:color w:val="000000"/>
        </w:rPr>
        <w:t xml:space="preserve">, 2020, there were no conversions of Series J Preferred Stock and 300 shares </w:t>
      </w:r>
      <w:r w:rsidR="00974832">
        <w:rPr>
          <w:color w:val="000000"/>
        </w:rPr>
        <w:t>are</w:t>
      </w:r>
      <w:r w:rsidR="000E4EF2">
        <w:rPr>
          <w:color w:val="000000"/>
        </w:rPr>
        <w:t xml:space="preserve"> outstanding as of </w:t>
      </w:r>
      <w:r w:rsidR="00615EF5">
        <w:rPr>
          <w:color w:val="000000"/>
        </w:rPr>
        <w:t>June</w:t>
      </w:r>
      <w:r w:rsidR="000E4EF2">
        <w:rPr>
          <w:color w:val="000000"/>
        </w:rPr>
        <w:t xml:space="preserve"> 3</w:t>
      </w:r>
      <w:r w:rsidR="00615EF5">
        <w:rPr>
          <w:color w:val="000000"/>
        </w:rPr>
        <w:t>0</w:t>
      </w:r>
      <w:r w:rsidR="000E4EF2">
        <w:rPr>
          <w:color w:val="000000"/>
        </w:rPr>
        <w:t>, 2020.</w:t>
      </w:r>
    </w:p>
    <w:p w14:paraId="30620AB1" w14:textId="77777777" w:rsidR="000A55AE" w:rsidRPr="008B66A9" w:rsidRDefault="000A55AE" w:rsidP="000A55AE">
      <w:pPr>
        <w:rPr>
          <w:color w:val="000000"/>
        </w:rPr>
      </w:pPr>
    </w:p>
    <w:p w14:paraId="4BF608A6" w14:textId="432D3C5F" w:rsidR="00881E20" w:rsidRPr="001E78A9" w:rsidRDefault="00881E20" w:rsidP="000A55AE">
      <w:pPr>
        <w:pStyle w:val="BodyTitle"/>
        <w:spacing w:after="0"/>
        <w:rPr>
          <w:i/>
          <w:u w:val="none"/>
        </w:rPr>
      </w:pPr>
      <w:r w:rsidRPr="001E78A9">
        <w:rPr>
          <w:i/>
          <w:u w:val="none"/>
        </w:rPr>
        <w:t>Common Stock</w:t>
      </w:r>
    </w:p>
    <w:p w14:paraId="2AEAD8FA" w14:textId="77777777" w:rsidR="003E6788" w:rsidRDefault="003E6788" w:rsidP="003E6788">
      <w:pPr>
        <w:rPr>
          <w:i/>
        </w:rPr>
      </w:pPr>
    </w:p>
    <w:p w14:paraId="7EC8B1E2" w14:textId="3D846332" w:rsidR="003E6788" w:rsidRPr="003E6788" w:rsidRDefault="003E6788" w:rsidP="003E6788">
      <w:pPr>
        <w:rPr>
          <w:i/>
        </w:rPr>
      </w:pPr>
      <w:r w:rsidRPr="003E6788">
        <w:rPr>
          <w:i/>
        </w:rPr>
        <w:t>Reverse Stock Split –</w:t>
      </w:r>
      <w:r w:rsidR="00974832">
        <w:t xml:space="preserve"> </w:t>
      </w:r>
      <w:r w:rsidRPr="003E6788">
        <w:t xml:space="preserve">Following approval by our shareholders at a meeting held on </w:t>
      </w:r>
      <w:r>
        <w:t>January</w:t>
      </w:r>
      <w:r w:rsidRPr="003E6788">
        <w:t xml:space="preserve"> </w:t>
      </w:r>
      <w:r>
        <w:t>3</w:t>
      </w:r>
      <w:r w:rsidRPr="003E6788">
        <w:t>, 20</w:t>
      </w:r>
      <w:r>
        <w:t>20</w:t>
      </w:r>
      <w:r w:rsidRPr="003E6788">
        <w:t xml:space="preserve">, on </w:t>
      </w:r>
      <w:r>
        <w:t>January</w:t>
      </w:r>
      <w:r w:rsidRPr="003E6788">
        <w:t xml:space="preserve"> </w:t>
      </w:r>
      <w:r>
        <w:t>21</w:t>
      </w:r>
      <w:r w:rsidRPr="003E6788">
        <w:t>, 20</w:t>
      </w:r>
      <w:r>
        <w:t>20</w:t>
      </w:r>
      <w:r w:rsidRPr="003E6788">
        <w:t>, we effected a one-for-</w:t>
      </w:r>
      <w:r>
        <w:t>two thousand</w:t>
      </w:r>
      <w:r w:rsidRPr="003E6788">
        <w:t xml:space="preserve"> reverse split of our common stock by the filing of an amendment to our certificate of incorporation with the State of Delaware.</w:t>
      </w:r>
    </w:p>
    <w:p w14:paraId="3AB0D953" w14:textId="77777777" w:rsidR="001E78A9" w:rsidRDefault="001E78A9" w:rsidP="000A55AE">
      <w:pPr>
        <w:pStyle w:val="BodyText"/>
        <w:spacing w:after="0"/>
      </w:pPr>
    </w:p>
    <w:p w14:paraId="3A2AB7F4" w14:textId="15F80983" w:rsidR="00CE5648" w:rsidRDefault="008B66A9" w:rsidP="006E64F2">
      <w:pPr>
        <w:pStyle w:val="BodyText"/>
        <w:spacing w:after="0"/>
      </w:pPr>
      <w:r>
        <w:t>As discussed</w:t>
      </w:r>
      <w:r w:rsidR="00974832">
        <w:t xml:space="preserve"> under “Preferred Stock”</w:t>
      </w:r>
      <w:r>
        <w:t xml:space="preserve"> above, during the </w:t>
      </w:r>
      <w:r w:rsidR="0010573E">
        <w:t>first quarter of</w:t>
      </w:r>
      <w:r>
        <w:t xml:space="preserve"> 20</w:t>
      </w:r>
      <w:r w:rsidR="003E6788">
        <w:t>20</w:t>
      </w:r>
      <w:r>
        <w:t xml:space="preserve">, we issued </w:t>
      </w:r>
      <w:r w:rsidR="000E4EF2">
        <w:t>13,481,349</w:t>
      </w:r>
      <w:r>
        <w:t xml:space="preserve"> shares of our common stock pursuant to conversion</w:t>
      </w:r>
      <w:r w:rsidR="00C914D8">
        <w:t>s</w:t>
      </w:r>
      <w:r>
        <w:t xml:space="preserve"> </w:t>
      </w:r>
      <w:r w:rsidR="00EF756C">
        <w:t xml:space="preserve">of </w:t>
      </w:r>
      <w:r>
        <w:t xml:space="preserve">our Series </w:t>
      </w:r>
      <w:r w:rsidR="003E6788">
        <w:t>H</w:t>
      </w:r>
      <w:r w:rsidR="00C914D8">
        <w:t xml:space="preserve"> and Series </w:t>
      </w:r>
      <w:r w:rsidR="003E6788">
        <w:t>I</w:t>
      </w:r>
      <w:r>
        <w:t xml:space="preserve"> Preferred Stock. </w:t>
      </w:r>
      <w:r w:rsidR="006E64F2">
        <w:t xml:space="preserve"> </w:t>
      </w:r>
    </w:p>
    <w:p w14:paraId="0C1DB7C5" w14:textId="77777777" w:rsidR="00CE5648" w:rsidRDefault="00CE5648" w:rsidP="006E64F2">
      <w:pPr>
        <w:pStyle w:val="BodyText"/>
        <w:spacing w:after="0"/>
      </w:pPr>
    </w:p>
    <w:p w14:paraId="7509291D" w14:textId="3C903F8E" w:rsidR="0010573E" w:rsidRDefault="003E6788" w:rsidP="0010573E">
      <w:pPr>
        <w:pStyle w:val="BodyText"/>
        <w:spacing w:after="0"/>
      </w:pPr>
      <w:r w:rsidRPr="003E6788">
        <w:t>During</w:t>
      </w:r>
      <w:r w:rsidR="0065681E">
        <w:t xml:space="preserve"> the</w:t>
      </w:r>
      <w:r w:rsidRPr="003E6788">
        <w:t xml:space="preserve"> </w:t>
      </w:r>
      <w:r w:rsidR="0010573E">
        <w:t>six</w:t>
      </w:r>
      <w:r>
        <w:t xml:space="preserve"> months ended </w:t>
      </w:r>
      <w:r w:rsidR="0010573E">
        <w:t>June</w:t>
      </w:r>
      <w:r>
        <w:t xml:space="preserve"> 3</w:t>
      </w:r>
      <w:r w:rsidR="0010573E">
        <w:t>0</w:t>
      </w:r>
      <w:r>
        <w:t>, 2020</w:t>
      </w:r>
      <w:r w:rsidRPr="003E6788">
        <w:t xml:space="preserve">, we issued an aggregate of </w:t>
      </w:r>
      <w:r w:rsidR="00780B16">
        <w:t>52,894</w:t>
      </w:r>
      <w:r w:rsidRPr="003E6788">
        <w:t xml:space="preserve"> </w:t>
      </w:r>
      <w:r w:rsidR="00EF756C">
        <w:t xml:space="preserve">shares </w:t>
      </w:r>
      <w:r w:rsidRPr="003E6788">
        <w:t>of our common stock pursuant to a consulting agreement</w:t>
      </w:r>
      <w:r w:rsidR="0010573E">
        <w:t>.  See “Stock-Based Compensation Expense” below.</w:t>
      </w:r>
    </w:p>
    <w:p w14:paraId="39F73B6F" w14:textId="77777777" w:rsidR="003E6788" w:rsidRDefault="003E6788" w:rsidP="000A55AE">
      <w:pPr>
        <w:pStyle w:val="BodyTitle"/>
        <w:spacing w:after="0"/>
      </w:pPr>
    </w:p>
    <w:p w14:paraId="5151D8CB" w14:textId="3C40F22E" w:rsidR="00881E20" w:rsidRPr="001E78A9" w:rsidRDefault="00881E20" w:rsidP="000A55AE">
      <w:pPr>
        <w:pStyle w:val="BodyTitle"/>
        <w:spacing w:after="0"/>
        <w:rPr>
          <w:i/>
          <w:u w:val="none"/>
        </w:rPr>
      </w:pPr>
      <w:r w:rsidRPr="001E78A9">
        <w:rPr>
          <w:i/>
          <w:u w:val="none"/>
        </w:rPr>
        <w:t>Stock Options</w:t>
      </w:r>
    </w:p>
    <w:p w14:paraId="47DD24C7" w14:textId="77777777" w:rsidR="001E78A9" w:rsidRDefault="001E78A9" w:rsidP="000A55AE"/>
    <w:p w14:paraId="1A2B7A52" w14:textId="5388AAC7" w:rsidR="000F6464" w:rsidRDefault="001E78A9" w:rsidP="005B58B3">
      <w:r>
        <w:t xml:space="preserve">During the </w:t>
      </w:r>
      <w:r w:rsidR="0010573E">
        <w:t>six</w:t>
      </w:r>
      <w:r>
        <w:t xml:space="preserve"> months ended </w:t>
      </w:r>
      <w:r w:rsidR="0010573E">
        <w:t>June</w:t>
      </w:r>
      <w:r>
        <w:t xml:space="preserve"> </w:t>
      </w:r>
      <w:r w:rsidRPr="008C287F">
        <w:t>3</w:t>
      </w:r>
      <w:r w:rsidR="0010573E">
        <w:t>0</w:t>
      </w:r>
      <w:r w:rsidRPr="008C287F">
        <w:t>, 20</w:t>
      </w:r>
      <w:r w:rsidR="007748E2">
        <w:t>20</w:t>
      </w:r>
      <w:r w:rsidRPr="008C287F">
        <w:t>, there were no transactions involving our stock option plan</w:t>
      </w:r>
      <w:r w:rsidR="0010573E">
        <w:t>s</w:t>
      </w:r>
      <w:r w:rsidRPr="008C287F">
        <w:t xml:space="preserve">.  </w:t>
      </w:r>
      <w:r w:rsidR="00125121">
        <w:t xml:space="preserve">As a result of the reverse stock splits enacted in April 2019 and in January 2020, we made adjustments and retroactive restatements to all of our outstanding stock options such that the balances as of </w:t>
      </w:r>
      <w:r w:rsidR="0010573E">
        <w:t>June</w:t>
      </w:r>
      <w:r w:rsidR="00125121">
        <w:t xml:space="preserve"> 3</w:t>
      </w:r>
      <w:r w:rsidR="0010573E">
        <w:t>0</w:t>
      </w:r>
      <w:r w:rsidR="00125121">
        <w:t>, 2020 are negligible.</w:t>
      </w:r>
      <w:r w:rsidR="000276E7">
        <w:t xml:space="preserve"> </w:t>
      </w:r>
      <w:r w:rsidR="000F6464">
        <w:t xml:space="preserve">On June 19, 2020, our Board of Directors approved the </w:t>
      </w:r>
      <w:proofErr w:type="spellStart"/>
      <w:r w:rsidR="000F6464">
        <w:t>GeoVax</w:t>
      </w:r>
      <w:proofErr w:type="spellEnd"/>
      <w:r w:rsidR="000F6464">
        <w:t xml:space="preserve"> Labs, Inc. 2020 Stock Incentive Plan (the “2020 Plan) to replace </w:t>
      </w:r>
      <w:r w:rsidR="000276E7">
        <w:t>our prior stock option plan and reserved up to 5,000,000 shares of our common stock for issuance pursuant to the 2020 Plan. No equity awards were made from the 2020 Plan during the six</w:t>
      </w:r>
      <w:r w:rsidR="00C87AEF">
        <w:t xml:space="preserve"> </w:t>
      </w:r>
      <w:r w:rsidR="000276E7">
        <w:t xml:space="preserve">months ended June 30, 2020. </w:t>
      </w:r>
    </w:p>
    <w:p w14:paraId="24BB5F7F" w14:textId="77777777" w:rsidR="005B58B3" w:rsidRPr="008C287F" w:rsidRDefault="005B58B3" w:rsidP="005B58B3">
      <w:pPr>
        <w:rPr>
          <w:color w:val="000000"/>
        </w:rPr>
      </w:pPr>
    </w:p>
    <w:p w14:paraId="7BBD6D74" w14:textId="2189C3AF" w:rsidR="00881E20" w:rsidRPr="008C287F" w:rsidRDefault="00881E20" w:rsidP="000A55AE">
      <w:pPr>
        <w:pStyle w:val="BodyTitle"/>
        <w:spacing w:after="0"/>
        <w:rPr>
          <w:rFonts w:eastAsia="Times New Roman"/>
          <w:i/>
          <w:color w:val="000000"/>
          <w:u w:val="none"/>
        </w:rPr>
      </w:pPr>
      <w:r w:rsidRPr="008C287F">
        <w:rPr>
          <w:rFonts w:eastAsia="Times New Roman"/>
          <w:i/>
          <w:color w:val="000000"/>
          <w:u w:val="none"/>
        </w:rPr>
        <w:t>Stock Purchase Warrants</w:t>
      </w:r>
    </w:p>
    <w:p w14:paraId="066F900D" w14:textId="77777777" w:rsidR="00844352" w:rsidRPr="008C287F" w:rsidRDefault="00844352" w:rsidP="000A55AE">
      <w:pPr>
        <w:suppressAutoHyphens/>
        <w:spacing w:line="240" w:lineRule="exact"/>
      </w:pPr>
    </w:p>
    <w:p w14:paraId="70286034" w14:textId="00846C2E" w:rsidR="00125121" w:rsidRPr="00125121" w:rsidRDefault="00125121" w:rsidP="00125121">
      <w:r w:rsidRPr="00125121">
        <w:t xml:space="preserve">The following table summarizes our </w:t>
      </w:r>
      <w:r w:rsidR="00974832">
        <w:t xml:space="preserve">stock purchase </w:t>
      </w:r>
      <w:r w:rsidRPr="00125121">
        <w:t xml:space="preserve">warrants outstanding as of </w:t>
      </w:r>
      <w:r w:rsidR="003D24D2">
        <w:t>June</w:t>
      </w:r>
      <w:r w:rsidRPr="00125121">
        <w:t xml:space="preserve"> 3</w:t>
      </w:r>
      <w:r w:rsidR="003D24D2">
        <w:t>0</w:t>
      </w:r>
      <w:r w:rsidRPr="00125121">
        <w:t>, 20</w:t>
      </w:r>
      <w:r>
        <w:t>20</w:t>
      </w:r>
      <w:r w:rsidRPr="00125121">
        <w:t>:</w:t>
      </w:r>
    </w:p>
    <w:tbl>
      <w:tblPr>
        <w:tblW w:w="0" w:type="auto"/>
        <w:tblLook w:val="01E0" w:firstRow="1" w:lastRow="1" w:firstColumn="1" w:lastColumn="1" w:noHBand="0" w:noVBand="0"/>
      </w:tblPr>
      <w:tblGrid>
        <w:gridCol w:w="5310"/>
        <w:gridCol w:w="1620"/>
        <w:gridCol w:w="1466"/>
        <w:gridCol w:w="1466"/>
      </w:tblGrid>
      <w:tr w:rsidR="00125121" w:rsidRPr="00125121" w14:paraId="457BB238" w14:textId="77777777" w:rsidTr="0043475C">
        <w:tc>
          <w:tcPr>
            <w:tcW w:w="5310" w:type="dxa"/>
          </w:tcPr>
          <w:p w14:paraId="57FF9FB4" w14:textId="77777777" w:rsidR="00125121" w:rsidRPr="00125121" w:rsidRDefault="00125121" w:rsidP="00125121">
            <w:pPr>
              <w:suppressAutoHyphens/>
              <w:spacing w:line="240" w:lineRule="exact"/>
            </w:pPr>
          </w:p>
        </w:tc>
        <w:tc>
          <w:tcPr>
            <w:tcW w:w="1620" w:type="dxa"/>
            <w:tcBorders>
              <w:bottom w:val="single" w:sz="4" w:space="0" w:color="auto"/>
            </w:tcBorders>
          </w:tcPr>
          <w:p w14:paraId="049E9D21" w14:textId="77777777" w:rsidR="00125121" w:rsidRPr="00125121" w:rsidRDefault="00125121" w:rsidP="00125121">
            <w:pPr>
              <w:suppressAutoHyphens/>
              <w:spacing w:line="240" w:lineRule="exact"/>
              <w:jc w:val="center"/>
            </w:pPr>
            <w:r w:rsidRPr="00125121">
              <w:t>Expiration</w:t>
            </w:r>
          </w:p>
          <w:p w14:paraId="53FE9B35" w14:textId="77777777" w:rsidR="00125121" w:rsidRPr="00125121" w:rsidRDefault="00125121" w:rsidP="00125121">
            <w:pPr>
              <w:suppressAutoHyphens/>
              <w:spacing w:line="240" w:lineRule="exact"/>
              <w:jc w:val="center"/>
            </w:pPr>
            <w:r w:rsidRPr="00125121">
              <w:t>Date</w:t>
            </w:r>
          </w:p>
        </w:tc>
        <w:tc>
          <w:tcPr>
            <w:tcW w:w="1466" w:type="dxa"/>
            <w:tcBorders>
              <w:bottom w:val="single" w:sz="4" w:space="0" w:color="auto"/>
            </w:tcBorders>
          </w:tcPr>
          <w:p w14:paraId="69951E23" w14:textId="77777777" w:rsidR="00125121" w:rsidRPr="00125121" w:rsidRDefault="00125121" w:rsidP="00125121">
            <w:pPr>
              <w:suppressAutoHyphens/>
              <w:spacing w:line="240" w:lineRule="exact"/>
              <w:jc w:val="center"/>
            </w:pPr>
            <w:r w:rsidRPr="00125121">
              <w:t>Exercise</w:t>
            </w:r>
          </w:p>
          <w:p w14:paraId="18B21569" w14:textId="77777777" w:rsidR="00125121" w:rsidRPr="00125121" w:rsidRDefault="00125121" w:rsidP="00125121">
            <w:pPr>
              <w:suppressAutoHyphens/>
              <w:spacing w:line="240" w:lineRule="exact"/>
              <w:jc w:val="center"/>
            </w:pPr>
            <w:r w:rsidRPr="00125121">
              <w:t>Price</w:t>
            </w:r>
          </w:p>
        </w:tc>
        <w:tc>
          <w:tcPr>
            <w:tcW w:w="1466" w:type="dxa"/>
            <w:tcBorders>
              <w:bottom w:val="single" w:sz="4" w:space="0" w:color="auto"/>
            </w:tcBorders>
          </w:tcPr>
          <w:p w14:paraId="02EC17D1" w14:textId="77777777" w:rsidR="00125121" w:rsidRPr="00125121" w:rsidRDefault="00125121" w:rsidP="00125121">
            <w:pPr>
              <w:suppressAutoHyphens/>
              <w:spacing w:line="240" w:lineRule="exact"/>
              <w:jc w:val="center"/>
            </w:pPr>
            <w:r w:rsidRPr="00125121">
              <w:t>Number of</w:t>
            </w:r>
          </w:p>
          <w:p w14:paraId="365A6905" w14:textId="77777777" w:rsidR="00125121" w:rsidRPr="00125121" w:rsidRDefault="00125121" w:rsidP="00125121">
            <w:pPr>
              <w:suppressAutoHyphens/>
              <w:spacing w:line="240" w:lineRule="exact"/>
              <w:jc w:val="center"/>
            </w:pPr>
            <w:r w:rsidRPr="00125121">
              <w:t>Warrants</w:t>
            </w:r>
          </w:p>
        </w:tc>
      </w:tr>
      <w:tr w:rsidR="00125121" w:rsidRPr="00125121" w14:paraId="4FB1BA59" w14:textId="77777777" w:rsidTr="0043475C">
        <w:tc>
          <w:tcPr>
            <w:tcW w:w="5310" w:type="dxa"/>
          </w:tcPr>
          <w:p w14:paraId="3570F12D" w14:textId="763501F4" w:rsidR="00125121" w:rsidRPr="00125121" w:rsidRDefault="00125121" w:rsidP="00125121">
            <w:pPr>
              <w:suppressAutoHyphens/>
              <w:spacing w:line="240" w:lineRule="exact"/>
            </w:pPr>
            <w:r w:rsidRPr="00125121">
              <w:t>Series G</w:t>
            </w:r>
            <w:r w:rsidR="00AE2C78">
              <w:t xml:space="preserve"> Warrants</w:t>
            </w:r>
          </w:p>
        </w:tc>
        <w:tc>
          <w:tcPr>
            <w:tcW w:w="1620" w:type="dxa"/>
            <w:tcBorders>
              <w:top w:val="single" w:sz="4" w:space="0" w:color="auto"/>
            </w:tcBorders>
          </w:tcPr>
          <w:p w14:paraId="48E1153A" w14:textId="77777777" w:rsidR="00125121" w:rsidRPr="00125121" w:rsidRDefault="00125121" w:rsidP="00125121">
            <w:pPr>
              <w:tabs>
                <w:tab w:val="center" w:pos="698"/>
              </w:tabs>
              <w:suppressAutoHyphens/>
              <w:spacing w:line="240" w:lineRule="exact"/>
            </w:pPr>
            <w:r w:rsidRPr="00125121">
              <w:tab/>
              <w:t>September 2021</w:t>
            </w:r>
          </w:p>
        </w:tc>
        <w:tc>
          <w:tcPr>
            <w:tcW w:w="1466" w:type="dxa"/>
            <w:tcBorders>
              <w:top w:val="single" w:sz="4" w:space="0" w:color="auto"/>
            </w:tcBorders>
          </w:tcPr>
          <w:p w14:paraId="7DF82FA7" w14:textId="4D4F4613" w:rsidR="00125121" w:rsidRPr="00125121" w:rsidRDefault="00125121" w:rsidP="00125121">
            <w:pPr>
              <w:tabs>
                <w:tab w:val="right" w:pos="942"/>
              </w:tabs>
              <w:suppressAutoHyphens/>
              <w:spacing w:line="240" w:lineRule="exact"/>
            </w:pPr>
            <w:r w:rsidRPr="00125121">
              <w:tab/>
              <w:t xml:space="preserve">$ </w:t>
            </w:r>
            <w:r w:rsidR="00AE2C78">
              <w:t>0.50</w:t>
            </w:r>
          </w:p>
        </w:tc>
        <w:tc>
          <w:tcPr>
            <w:tcW w:w="1466" w:type="dxa"/>
            <w:tcBorders>
              <w:top w:val="single" w:sz="4" w:space="0" w:color="auto"/>
            </w:tcBorders>
          </w:tcPr>
          <w:p w14:paraId="354914DA" w14:textId="77777777" w:rsidR="00125121" w:rsidRPr="00125121" w:rsidRDefault="00125121" w:rsidP="00125121">
            <w:pPr>
              <w:tabs>
                <w:tab w:val="right" w:pos="912"/>
              </w:tabs>
              <w:suppressAutoHyphens/>
              <w:spacing w:line="240" w:lineRule="exact"/>
            </w:pPr>
            <w:r w:rsidRPr="00125121">
              <w:tab/>
              <w:t>48</w:t>
            </w:r>
          </w:p>
        </w:tc>
      </w:tr>
      <w:tr w:rsidR="00125121" w:rsidRPr="00125121" w14:paraId="21AEDE91" w14:textId="77777777" w:rsidTr="0043475C">
        <w:tc>
          <w:tcPr>
            <w:tcW w:w="5310" w:type="dxa"/>
          </w:tcPr>
          <w:p w14:paraId="7046C949" w14:textId="0DA0DF17" w:rsidR="00125121" w:rsidRPr="00125121" w:rsidRDefault="00125121" w:rsidP="00125121">
            <w:pPr>
              <w:suppressAutoHyphens/>
              <w:spacing w:line="240" w:lineRule="exact"/>
            </w:pPr>
            <w:r w:rsidRPr="00125121">
              <w:t>Series H</w:t>
            </w:r>
            <w:r w:rsidR="00AE2C78">
              <w:t xml:space="preserve"> Warrants</w:t>
            </w:r>
          </w:p>
        </w:tc>
        <w:tc>
          <w:tcPr>
            <w:tcW w:w="1620" w:type="dxa"/>
          </w:tcPr>
          <w:p w14:paraId="66A4F75E" w14:textId="77777777" w:rsidR="00125121" w:rsidRPr="00125121" w:rsidRDefault="00125121" w:rsidP="00125121">
            <w:pPr>
              <w:tabs>
                <w:tab w:val="center" w:pos="698"/>
              </w:tabs>
              <w:suppressAutoHyphens/>
              <w:spacing w:line="240" w:lineRule="exact"/>
            </w:pPr>
            <w:r w:rsidRPr="00125121">
              <w:tab/>
              <w:t>December 2021</w:t>
            </w:r>
          </w:p>
        </w:tc>
        <w:tc>
          <w:tcPr>
            <w:tcW w:w="1466" w:type="dxa"/>
          </w:tcPr>
          <w:p w14:paraId="61B2C91B" w14:textId="62B873F5" w:rsidR="00125121" w:rsidRPr="00125121" w:rsidRDefault="00125121" w:rsidP="00125121">
            <w:pPr>
              <w:tabs>
                <w:tab w:val="right" w:pos="942"/>
              </w:tabs>
              <w:suppressAutoHyphens/>
              <w:spacing w:line="240" w:lineRule="exact"/>
            </w:pPr>
            <w:r w:rsidRPr="00125121">
              <w:tab/>
            </w:r>
            <w:r w:rsidR="00AE2C78">
              <w:t>0.50</w:t>
            </w:r>
          </w:p>
        </w:tc>
        <w:tc>
          <w:tcPr>
            <w:tcW w:w="1466" w:type="dxa"/>
          </w:tcPr>
          <w:p w14:paraId="22DA0998" w14:textId="77777777" w:rsidR="00125121" w:rsidRPr="00125121" w:rsidRDefault="00125121" w:rsidP="00125121">
            <w:pPr>
              <w:tabs>
                <w:tab w:val="right" w:pos="912"/>
              </w:tabs>
              <w:suppressAutoHyphens/>
              <w:spacing w:line="240" w:lineRule="exact"/>
            </w:pPr>
            <w:r w:rsidRPr="00125121">
              <w:tab/>
              <w:t>217,392</w:t>
            </w:r>
          </w:p>
        </w:tc>
      </w:tr>
      <w:tr w:rsidR="00125121" w:rsidRPr="00125121" w14:paraId="6279D23F" w14:textId="77777777" w:rsidTr="0043475C">
        <w:tc>
          <w:tcPr>
            <w:tcW w:w="5310" w:type="dxa"/>
          </w:tcPr>
          <w:p w14:paraId="4C9D2C0E" w14:textId="07F4C7B4" w:rsidR="00125121" w:rsidRPr="00125121" w:rsidRDefault="00125121" w:rsidP="00125121">
            <w:pPr>
              <w:suppressAutoHyphens/>
              <w:spacing w:line="240" w:lineRule="exact"/>
            </w:pPr>
            <w:r w:rsidRPr="00125121">
              <w:t>Series I</w:t>
            </w:r>
            <w:r w:rsidR="00AE2C78">
              <w:t xml:space="preserve"> Warrants</w:t>
            </w:r>
          </w:p>
        </w:tc>
        <w:tc>
          <w:tcPr>
            <w:tcW w:w="1620" w:type="dxa"/>
          </w:tcPr>
          <w:p w14:paraId="44AFE496" w14:textId="77777777" w:rsidR="00125121" w:rsidRPr="00125121" w:rsidRDefault="00125121" w:rsidP="00125121">
            <w:pPr>
              <w:tabs>
                <w:tab w:val="center" w:pos="698"/>
              </w:tabs>
              <w:suppressAutoHyphens/>
              <w:spacing w:line="240" w:lineRule="exact"/>
            </w:pPr>
            <w:r w:rsidRPr="00125121">
              <w:tab/>
              <w:t>Aug-Dec 2024</w:t>
            </w:r>
          </w:p>
        </w:tc>
        <w:tc>
          <w:tcPr>
            <w:tcW w:w="1466" w:type="dxa"/>
          </w:tcPr>
          <w:p w14:paraId="2AE11D9E" w14:textId="4DE7614A" w:rsidR="00125121" w:rsidRPr="00125121" w:rsidRDefault="00125121" w:rsidP="00125121">
            <w:pPr>
              <w:tabs>
                <w:tab w:val="right" w:pos="942"/>
              </w:tabs>
              <w:suppressAutoHyphens/>
              <w:spacing w:line="240" w:lineRule="exact"/>
            </w:pPr>
            <w:r w:rsidRPr="00125121">
              <w:tab/>
            </w:r>
            <w:r w:rsidR="00AE2C78">
              <w:t>0.50</w:t>
            </w:r>
          </w:p>
        </w:tc>
        <w:tc>
          <w:tcPr>
            <w:tcW w:w="1466" w:type="dxa"/>
          </w:tcPr>
          <w:p w14:paraId="193A090C" w14:textId="7E76109A" w:rsidR="00125121" w:rsidRPr="00125121" w:rsidRDefault="00125121" w:rsidP="00125121">
            <w:pPr>
              <w:tabs>
                <w:tab w:val="right" w:pos="912"/>
              </w:tabs>
              <w:suppressAutoHyphens/>
              <w:spacing w:line="240" w:lineRule="exact"/>
            </w:pPr>
            <w:r w:rsidRPr="00125121">
              <w:tab/>
            </w:r>
            <w:r w:rsidR="00AE2C78">
              <w:t>1,500,000</w:t>
            </w:r>
          </w:p>
        </w:tc>
      </w:tr>
      <w:tr w:rsidR="00AE2C78" w:rsidRPr="00125121" w14:paraId="0B6629B8" w14:textId="77777777" w:rsidTr="0043475C">
        <w:tc>
          <w:tcPr>
            <w:tcW w:w="5310" w:type="dxa"/>
          </w:tcPr>
          <w:p w14:paraId="297F7523" w14:textId="086A95AF" w:rsidR="00AE2C78" w:rsidRPr="00125121" w:rsidRDefault="00AE2C78" w:rsidP="00125121">
            <w:pPr>
              <w:suppressAutoHyphens/>
              <w:spacing w:line="240" w:lineRule="exact"/>
            </w:pPr>
            <w:r>
              <w:t>June 2020 Warrants</w:t>
            </w:r>
          </w:p>
        </w:tc>
        <w:tc>
          <w:tcPr>
            <w:tcW w:w="1620" w:type="dxa"/>
          </w:tcPr>
          <w:p w14:paraId="19BD8D1E" w14:textId="5FD5403D" w:rsidR="00AE2C78" w:rsidRPr="00125121" w:rsidRDefault="00AE2C78" w:rsidP="00125121">
            <w:pPr>
              <w:tabs>
                <w:tab w:val="center" w:pos="698"/>
              </w:tabs>
              <w:suppressAutoHyphens/>
              <w:spacing w:line="240" w:lineRule="exact"/>
            </w:pPr>
            <w:r>
              <w:tab/>
              <w:t>June 2025</w:t>
            </w:r>
          </w:p>
        </w:tc>
        <w:tc>
          <w:tcPr>
            <w:tcW w:w="1466" w:type="dxa"/>
          </w:tcPr>
          <w:p w14:paraId="17DB83BB" w14:textId="3AFBCD08" w:rsidR="00AE2C78" w:rsidRPr="00125121" w:rsidRDefault="00AE2C78" w:rsidP="00125121">
            <w:pPr>
              <w:tabs>
                <w:tab w:val="right" w:pos="942"/>
              </w:tabs>
              <w:suppressAutoHyphens/>
              <w:spacing w:line="240" w:lineRule="exact"/>
            </w:pPr>
            <w:r>
              <w:tab/>
              <w:t>0.50</w:t>
            </w:r>
          </w:p>
        </w:tc>
        <w:tc>
          <w:tcPr>
            <w:tcW w:w="1466" w:type="dxa"/>
          </w:tcPr>
          <w:p w14:paraId="5B594984" w14:textId="1EBA9725" w:rsidR="00AE2C78" w:rsidRPr="00125121" w:rsidRDefault="00AE2C78" w:rsidP="00125121">
            <w:pPr>
              <w:tabs>
                <w:tab w:val="right" w:pos="912"/>
              </w:tabs>
              <w:suppressAutoHyphens/>
              <w:spacing w:line="240" w:lineRule="exact"/>
            </w:pPr>
            <w:r>
              <w:tab/>
              <w:t>2,400,000</w:t>
            </w:r>
          </w:p>
        </w:tc>
      </w:tr>
    </w:tbl>
    <w:p w14:paraId="3E7FB543" w14:textId="1AB3DAC9" w:rsidR="000A55AE" w:rsidRDefault="000A55AE" w:rsidP="000A55AE">
      <w:pPr>
        <w:pStyle w:val="BodyTitle"/>
        <w:spacing w:after="0"/>
        <w:rPr>
          <w:rFonts w:eastAsia="Times New Roman"/>
          <w:color w:val="000000"/>
        </w:rPr>
      </w:pPr>
    </w:p>
    <w:p w14:paraId="129211E1" w14:textId="3EBACBF2" w:rsidR="00125121" w:rsidRPr="00125121" w:rsidRDefault="00125121" w:rsidP="00125121">
      <w:r w:rsidRPr="00125121">
        <w:t xml:space="preserve">All of </w:t>
      </w:r>
      <w:r w:rsidRPr="00125121">
        <w:rPr>
          <w:color w:val="000000"/>
        </w:rPr>
        <w:t>the outstanding warrants contain anti-dilution and price adjustment provisions, which may, under certain circumstances reduce the exercise price to match if we sell or grant options to purchase, including rights to reprice, our common stock or common stock equivalents at a price lower than the then exercise price of the warrants. Such provisions as to the Series G</w:t>
      </w:r>
      <w:r w:rsidR="00F211B6">
        <w:rPr>
          <w:color w:val="000000"/>
        </w:rPr>
        <w:t xml:space="preserve">, </w:t>
      </w:r>
      <w:r w:rsidRPr="00125121">
        <w:rPr>
          <w:color w:val="000000"/>
        </w:rPr>
        <w:t xml:space="preserve">Series H </w:t>
      </w:r>
      <w:r w:rsidR="00F211B6">
        <w:rPr>
          <w:color w:val="000000"/>
        </w:rPr>
        <w:t xml:space="preserve">and June 2020 </w:t>
      </w:r>
      <w:r w:rsidRPr="00125121">
        <w:rPr>
          <w:color w:val="000000"/>
        </w:rPr>
        <w:t xml:space="preserve">Warrants apply to the exercise price only, with no effect on the number of shares subject to the warrants.  Such provisions as to the Series I Warrants apply to both the exercise price and the number of shares subject to the warrants, so that the number of warrants will be increased such that the aggregate exercise price, after taking into account the decrease in the exercise price, will be equal to the aggregate exercise price prior to the adjustment.  </w:t>
      </w:r>
      <w:r w:rsidRPr="00125121">
        <w:rPr>
          <w:color w:val="000000"/>
        </w:rPr>
        <w:lastRenderedPageBreak/>
        <w:t>The Series H Warrants have an additional price adjustment provision requiring a similar adjustment to the exercise price and number of warrants following a reverse stock split of our common stock</w:t>
      </w:r>
      <w:r w:rsidR="003D24D2">
        <w:rPr>
          <w:color w:val="000000"/>
        </w:rPr>
        <w:t>.</w:t>
      </w:r>
    </w:p>
    <w:p w14:paraId="40560E09" w14:textId="2AEED1CC" w:rsidR="000A55AE" w:rsidRDefault="000A55AE" w:rsidP="000A55AE">
      <w:pPr>
        <w:rPr>
          <w:color w:val="000000"/>
        </w:rPr>
      </w:pPr>
    </w:p>
    <w:p w14:paraId="72BCF33A" w14:textId="63EA20E7" w:rsidR="00E02787" w:rsidRDefault="00E02787" w:rsidP="000A55AE">
      <w:r w:rsidRPr="007B6326">
        <w:t xml:space="preserve">The Series G Warrants were originally issued for the purchase of up to 47,169,812 shares of our Common Stock in the aggregate with an exercise price of $0.02544 per share. </w:t>
      </w:r>
      <w:r>
        <w:t>As a result</w:t>
      </w:r>
      <w:r w:rsidRPr="007B6326">
        <w:t xml:space="preserve"> </w:t>
      </w:r>
      <w:r>
        <w:t>of</w:t>
      </w:r>
      <w:r w:rsidRPr="007B6326">
        <w:t xml:space="preserve"> the reverse stock splits of our Common Stock in April 2019 and in January 2020, the Series G Warrants were automatically adjusted such that they </w:t>
      </w:r>
      <w:r w:rsidR="00EF756C">
        <w:t>are now exercisable</w:t>
      </w:r>
      <w:r w:rsidRPr="007B6326">
        <w:t xml:space="preserve"> for the purchase of 48 shares of our Common Stock in the aggregate with an exercise price of $25,440 per share. </w:t>
      </w:r>
      <w:r>
        <w:t xml:space="preserve">As a result </w:t>
      </w:r>
      <w:r w:rsidRPr="007B6326">
        <w:t xml:space="preserve">of </w:t>
      </w:r>
      <w:r>
        <w:t>our issuance of the Convertible Debentures and June 2020 Warrants in connection with our</w:t>
      </w:r>
      <w:r w:rsidRPr="007B6326">
        <w:t xml:space="preserve"> </w:t>
      </w:r>
      <w:r>
        <w:t>bridge financing</w:t>
      </w:r>
      <w:r w:rsidRPr="007B6326">
        <w:t xml:space="preserve"> in </w:t>
      </w:r>
      <w:r>
        <w:t>June 2020</w:t>
      </w:r>
      <w:r w:rsidRPr="007B6326">
        <w:t xml:space="preserve">, the Series G Warrants were automatically adjusted such that they are now </w:t>
      </w:r>
      <w:r w:rsidR="00EF756C">
        <w:t xml:space="preserve">exercisable </w:t>
      </w:r>
      <w:r w:rsidRPr="007B6326">
        <w:t>for the purchase of 48 shares of our Common Stock in the aggregate with an exercise price of $</w:t>
      </w:r>
      <w:r>
        <w:t>0.50</w:t>
      </w:r>
      <w:r w:rsidRPr="007B6326">
        <w:t xml:space="preserve"> per share</w:t>
      </w:r>
      <w:r w:rsidR="00202722">
        <w:t>.</w:t>
      </w:r>
    </w:p>
    <w:p w14:paraId="2D9CF76C" w14:textId="77777777" w:rsidR="00E02787" w:rsidRDefault="00E02787" w:rsidP="000A55AE">
      <w:pPr>
        <w:rPr>
          <w:color w:val="000000"/>
        </w:rPr>
      </w:pPr>
    </w:p>
    <w:p w14:paraId="29529687" w14:textId="7403F71D" w:rsidR="00E02787" w:rsidRDefault="00E02787" w:rsidP="000A55AE">
      <w:r w:rsidRPr="007B6326">
        <w:t xml:space="preserve">The Series H Warrants were originally issued for the purchase of up to 10,000,000 shares of our Common Stock in the aggregate with an exercise price of $0.025 per share.  </w:t>
      </w:r>
      <w:r>
        <w:t>As a result of</w:t>
      </w:r>
      <w:r w:rsidRPr="007B6326">
        <w:t xml:space="preserve"> the reverse stock splits of our Common Stock in April 2019 and in January 2020, the Series H Warrants were automatically adjusted such that they </w:t>
      </w:r>
      <w:r>
        <w:t>were subsequently</w:t>
      </w:r>
      <w:r w:rsidRPr="007B6326">
        <w:t xml:space="preserve"> for the purchase of 217,392 shares of our Common Stock in the aggregate with an exercise price of $1.15 per share. </w:t>
      </w:r>
      <w:r>
        <w:t xml:space="preserve">As a result </w:t>
      </w:r>
      <w:r w:rsidRPr="007B6326">
        <w:t xml:space="preserve">of </w:t>
      </w:r>
      <w:r>
        <w:t>our issuance of the Convertible Debentures and June 2020 Warrants in connection with our</w:t>
      </w:r>
      <w:r w:rsidRPr="007B6326">
        <w:t xml:space="preserve"> </w:t>
      </w:r>
      <w:r>
        <w:t>bridge financing</w:t>
      </w:r>
      <w:r w:rsidRPr="007B6326">
        <w:t xml:space="preserve"> in </w:t>
      </w:r>
      <w:r>
        <w:t>June 2020</w:t>
      </w:r>
      <w:r w:rsidRPr="007B6326">
        <w:t xml:space="preserve">, the Series </w:t>
      </w:r>
      <w:r>
        <w:t>H</w:t>
      </w:r>
      <w:r w:rsidRPr="007B6326">
        <w:t xml:space="preserve"> Warrants were automatically adjusted such that they are now</w:t>
      </w:r>
      <w:r w:rsidR="00EF756C">
        <w:t xml:space="preserve"> exercisable</w:t>
      </w:r>
      <w:r w:rsidRPr="007B6326">
        <w:t xml:space="preserve"> for the purchase of </w:t>
      </w:r>
      <w:r>
        <w:t>217,392</w:t>
      </w:r>
      <w:r w:rsidRPr="007B6326">
        <w:t xml:space="preserve"> shares of our Common Stock in the aggregate with an exercise price of $</w:t>
      </w:r>
      <w:r>
        <w:t>0.50</w:t>
      </w:r>
      <w:r w:rsidRPr="007B6326">
        <w:t xml:space="preserve"> per share.</w:t>
      </w:r>
    </w:p>
    <w:p w14:paraId="3103121D" w14:textId="77777777" w:rsidR="00E02787" w:rsidRDefault="00E02787" w:rsidP="000A55AE">
      <w:pPr>
        <w:rPr>
          <w:color w:val="000000"/>
        </w:rPr>
      </w:pPr>
    </w:p>
    <w:p w14:paraId="31C9B068" w14:textId="439A74B5" w:rsidR="00E02787" w:rsidRDefault="00E02787" w:rsidP="000A55AE">
      <w:pPr>
        <w:rPr>
          <w:color w:val="000000"/>
        </w:rPr>
      </w:pPr>
      <w:r w:rsidRPr="007B6326">
        <w:t xml:space="preserve">The Series I Warrants were originally issued for the purchase of up to 33,333,332 shares of our Common Stock in the aggregate with an exercise price of $0.015 per share.  </w:t>
      </w:r>
      <w:r>
        <w:t>As a result of</w:t>
      </w:r>
      <w:r w:rsidRPr="007B6326">
        <w:t xml:space="preserve"> the reverse stock splits of our Common Stock in April 2019 and in January 2020, the Series I Warrants were automatically adjusted such that they </w:t>
      </w:r>
      <w:r>
        <w:t>were subsequently</w:t>
      </w:r>
      <w:r w:rsidRPr="007B6326">
        <w:t xml:space="preserve"> for the purchase of </w:t>
      </w:r>
      <w:r>
        <w:t>50</w:t>
      </w:r>
      <w:r w:rsidRPr="007B6326">
        <w:t xml:space="preserve"> shares of our Common Stock in the aggregate with an exercise price of $15,000 per share. </w:t>
      </w:r>
      <w:bookmarkStart w:id="23" w:name="_Hlk44680166"/>
      <w:r>
        <w:t xml:space="preserve">As a result </w:t>
      </w:r>
      <w:r w:rsidRPr="007B6326">
        <w:t xml:space="preserve">of </w:t>
      </w:r>
      <w:r>
        <w:t>our issuance of the Convertible Debentures and June 2020 Warrants in connection with our</w:t>
      </w:r>
      <w:r w:rsidRPr="007B6326">
        <w:t xml:space="preserve"> </w:t>
      </w:r>
      <w:r>
        <w:t>bridge financing</w:t>
      </w:r>
      <w:r w:rsidRPr="007B6326">
        <w:t xml:space="preserve"> in </w:t>
      </w:r>
      <w:r>
        <w:t>June 2020</w:t>
      </w:r>
      <w:r w:rsidRPr="007B6326">
        <w:t xml:space="preserve">, the Series </w:t>
      </w:r>
      <w:r>
        <w:t>I</w:t>
      </w:r>
      <w:r w:rsidRPr="007B6326">
        <w:t xml:space="preserve"> Warrants were automatically adjusted such that they are now</w:t>
      </w:r>
      <w:r w:rsidR="00EF756C">
        <w:t xml:space="preserve"> exercisable</w:t>
      </w:r>
      <w:r w:rsidRPr="007B6326">
        <w:t xml:space="preserve"> for the purchase of </w:t>
      </w:r>
      <w:r>
        <w:t>1,500,000</w:t>
      </w:r>
      <w:r w:rsidRPr="007B6326">
        <w:t xml:space="preserve"> shares of our Common Stock in the aggregate with an exercise price of $</w:t>
      </w:r>
      <w:r>
        <w:t>0.50</w:t>
      </w:r>
      <w:r w:rsidRPr="007B6326">
        <w:t xml:space="preserve"> per share.</w:t>
      </w:r>
      <w:bookmarkEnd w:id="23"/>
    </w:p>
    <w:p w14:paraId="7A04D687" w14:textId="26A6EDA2" w:rsidR="00E02787" w:rsidRDefault="00E02787" w:rsidP="000A55AE">
      <w:pPr>
        <w:rPr>
          <w:color w:val="000000"/>
        </w:rPr>
      </w:pPr>
    </w:p>
    <w:p w14:paraId="6CF72B9A" w14:textId="600CF9C7" w:rsidR="00E02787" w:rsidRDefault="00AE2C78" w:rsidP="000A55AE">
      <w:pPr>
        <w:rPr>
          <w:color w:val="000000"/>
        </w:rPr>
      </w:pPr>
      <w:r>
        <w:rPr>
          <w:color w:val="000000"/>
        </w:rPr>
        <w:t xml:space="preserve">The June 2020 Warrants </w:t>
      </w:r>
      <w:r w:rsidR="00F211B6">
        <w:rPr>
          <w:color w:val="000000"/>
        </w:rPr>
        <w:t>were issued on June 26, 2020 in connection with the bridge financing discussed in Note 7.</w:t>
      </w:r>
    </w:p>
    <w:p w14:paraId="6DE1C28D" w14:textId="77777777" w:rsidR="00E02787" w:rsidRDefault="00E02787" w:rsidP="000A55AE">
      <w:pPr>
        <w:rPr>
          <w:color w:val="000000"/>
        </w:rPr>
      </w:pPr>
    </w:p>
    <w:p w14:paraId="78E20A9F" w14:textId="77777777" w:rsidR="005B58B3" w:rsidRPr="00312A9D" w:rsidRDefault="005B58B3" w:rsidP="005B58B3">
      <w:pPr>
        <w:pStyle w:val="BodyTitle"/>
        <w:spacing w:after="0"/>
        <w:rPr>
          <w:rFonts w:eastAsia="Times New Roman"/>
          <w:i/>
          <w:color w:val="000000"/>
          <w:u w:val="none"/>
        </w:rPr>
      </w:pPr>
      <w:r w:rsidRPr="00312A9D">
        <w:rPr>
          <w:rFonts w:eastAsia="Times New Roman"/>
          <w:i/>
          <w:color w:val="000000"/>
          <w:u w:val="none"/>
        </w:rPr>
        <w:t>Stock-Based Compensation Expense</w:t>
      </w:r>
    </w:p>
    <w:p w14:paraId="12BE80FB" w14:textId="77777777" w:rsidR="005B58B3" w:rsidRDefault="005B58B3" w:rsidP="005B58B3"/>
    <w:p w14:paraId="6543EADB" w14:textId="5F76688B" w:rsidR="00EE147A" w:rsidRPr="00691227" w:rsidRDefault="00284FC8" w:rsidP="00EE147A">
      <w:bookmarkStart w:id="24" w:name="_Hlk45568696"/>
      <w:r>
        <w:t xml:space="preserve">As discussed </w:t>
      </w:r>
      <w:r w:rsidR="00EF756C">
        <w:t>above</w:t>
      </w:r>
      <w:r>
        <w:t>, a</w:t>
      </w:r>
      <w:r w:rsidR="00EE147A">
        <w:t>s a result of the reverse stock splits enacted in April 2019 and in January 2020, we made adjustments and retroactive restatements to all of our outstanding stock options such that the balances as of June 30, 2020 are negligible.</w:t>
      </w:r>
      <w:r w:rsidR="00EE147A">
        <w:rPr>
          <w:color w:val="000000"/>
        </w:rPr>
        <w:t xml:space="preserve"> </w:t>
      </w:r>
      <w:r w:rsidR="00EE147A">
        <w:t>Therefore, there was no</w:t>
      </w:r>
      <w:r w:rsidR="00EE147A" w:rsidRPr="00125121">
        <w:t xml:space="preserve"> stock-based compensation expense </w:t>
      </w:r>
      <w:r w:rsidR="00EE147A">
        <w:t xml:space="preserve">related to our stock option plan </w:t>
      </w:r>
      <w:r w:rsidR="00EE147A" w:rsidRPr="00125121">
        <w:t xml:space="preserve">recognized in the consolidated statement of operations for the </w:t>
      </w:r>
      <w:r w:rsidR="00EE147A">
        <w:t>three-month or six-month periods</w:t>
      </w:r>
      <w:r w:rsidR="00EE147A" w:rsidRPr="00125121">
        <w:t xml:space="preserve"> ended </w:t>
      </w:r>
      <w:r w:rsidR="00EE147A">
        <w:t>June</w:t>
      </w:r>
      <w:r w:rsidR="00EE147A" w:rsidRPr="00125121">
        <w:t xml:space="preserve"> 3</w:t>
      </w:r>
      <w:r w:rsidR="00EE147A">
        <w:t>0</w:t>
      </w:r>
      <w:r w:rsidR="00EE147A" w:rsidRPr="00125121">
        <w:t>, 20</w:t>
      </w:r>
      <w:r w:rsidR="00EE147A">
        <w:t>20</w:t>
      </w:r>
      <w:r w:rsidR="00691227">
        <w:t xml:space="preserve">; there </w:t>
      </w:r>
      <w:r w:rsidR="00691227">
        <w:rPr>
          <w:color w:val="000000"/>
        </w:rPr>
        <w:t>was no</w:t>
      </w:r>
      <w:r w:rsidR="00691227" w:rsidRPr="00214555">
        <w:rPr>
          <w:color w:val="000000"/>
        </w:rPr>
        <w:t xml:space="preserve"> unrecognized compensation expense related to stock options</w:t>
      </w:r>
      <w:r w:rsidR="00691227">
        <w:rPr>
          <w:color w:val="000000"/>
        </w:rPr>
        <w:t xml:space="preserve"> as of June 30, 2020.</w:t>
      </w:r>
      <w:r w:rsidR="00691227" w:rsidRPr="00691227">
        <w:t xml:space="preserve"> </w:t>
      </w:r>
      <w:r w:rsidR="00691227" w:rsidRPr="00EB7BF0">
        <w:t xml:space="preserve">Stock-based compensation expense related to </w:t>
      </w:r>
      <w:r w:rsidR="00691227">
        <w:t>our stock option plans</w:t>
      </w:r>
      <w:r w:rsidR="00691227" w:rsidRPr="00EB7BF0">
        <w:t xml:space="preserve"> was</w:t>
      </w:r>
      <w:r w:rsidR="00691227">
        <w:t xml:space="preserve"> $26,664 and $53,316 </w:t>
      </w:r>
      <w:r w:rsidR="00691227" w:rsidRPr="00EB7BF0">
        <w:t>during t</w:t>
      </w:r>
      <w:r w:rsidR="00691227">
        <w:t>he three-month and six-month periods ended June 30, 2019</w:t>
      </w:r>
      <w:r w:rsidR="00691227" w:rsidRPr="00EB7BF0">
        <w:t>, respectively</w:t>
      </w:r>
      <w:r w:rsidR="00691227">
        <w:t xml:space="preserve">. </w:t>
      </w:r>
      <w:r w:rsidR="00691227">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related employee classification.</w:t>
      </w:r>
    </w:p>
    <w:p w14:paraId="5BD76B52" w14:textId="723D1056" w:rsidR="0010573E" w:rsidRDefault="0010573E" w:rsidP="005B58B3">
      <w:pPr>
        <w:rPr>
          <w:color w:val="000000"/>
        </w:rPr>
      </w:pPr>
    </w:p>
    <w:p w14:paraId="376AD159" w14:textId="3B7EAB1C" w:rsidR="00E02787" w:rsidRDefault="00E02787" w:rsidP="00E02787">
      <w:pPr>
        <w:rPr>
          <w:color w:val="000000"/>
        </w:rPr>
      </w:pPr>
      <w:r>
        <w:t>D</w:t>
      </w:r>
      <w:r w:rsidRPr="00E0278C">
        <w:t>uring the three</w:t>
      </w:r>
      <w:r>
        <w:t>-</w:t>
      </w:r>
      <w:r w:rsidRPr="00E0278C">
        <w:t>month</w:t>
      </w:r>
      <w:r>
        <w:t xml:space="preserve"> and six-month </w:t>
      </w:r>
      <w:r w:rsidRPr="00E0278C">
        <w:t>period</w:t>
      </w:r>
      <w:r>
        <w:t>s</w:t>
      </w:r>
      <w:r w:rsidRPr="00E0278C">
        <w:t xml:space="preserve"> ended </w:t>
      </w:r>
      <w:r>
        <w:t>June 30</w:t>
      </w:r>
      <w:r w:rsidRPr="00E0278C">
        <w:t>, 20</w:t>
      </w:r>
      <w:r>
        <w:t>20</w:t>
      </w:r>
      <w:r w:rsidRPr="00E0278C">
        <w:t xml:space="preserve"> we recorded stock-based compensation expense of $</w:t>
      </w:r>
      <w:r w:rsidR="00EE147A">
        <w:t>12</w:t>
      </w:r>
      <w:r w:rsidR="00636F30">
        <w:t>,000</w:t>
      </w:r>
      <w:r>
        <w:t xml:space="preserve"> and $</w:t>
      </w:r>
      <w:r w:rsidR="00636F30">
        <w:t>18,000</w:t>
      </w:r>
      <w:r>
        <w:t>, respectively,</w:t>
      </w:r>
      <w:r w:rsidRPr="00E0278C">
        <w:t xml:space="preserve"> associated with common stock issued for </w:t>
      </w:r>
      <w:r>
        <w:t>a consulting agreement, as compared to $78,509 and $205,080, respectively, during the same periods of 2019,</w:t>
      </w:r>
      <w:r w:rsidRPr="00E02787">
        <w:t xml:space="preserve"> </w:t>
      </w:r>
      <w:r w:rsidRPr="00E0278C">
        <w:t xml:space="preserve">associated with common stock issued for </w:t>
      </w:r>
      <w:r>
        <w:t xml:space="preserve">consulting and </w:t>
      </w:r>
      <w:r w:rsidRPr="00E0278C">
        <w:t>financial advisory services</w:t>
      </w:r>
      <w:r>
        <w:t>.</w:t>
      </w:r>
    </w:p>
    <w:bookmarkEnd w:id="24"/>
    <w:p w14:paraId="0DBF2458" w14:textId="77777777" w:rsidR="005B58B3" w:rsidRDefault="005B58B3" w:rsidP="000A55AE">
      <w:pPr>
        <w:rPr>
          <w:color w:val="000000"/>
        </w:rPr>
      </w:pPr>
    </w:p>
    <w:p w14:paraId="45163D60" w14:textId="3321253C" w:rsidR="00881E20" w:rsidRPr="001C6303" w:rsidRDefault="00346823" w:rsidP="000A55AE">
      <w:pPr>
        <w:pStyle w:val="ListNumbering"/>
        <w:spacing w:after="0"/>
      </w:pPr>
      <w:r>
        <w:t>1</w:t>
      </w:r>
      <w:r w:rsidR="005E38F4">
        <w:t>1</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5C9594C1"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3D6A75">
        <w:t>will</w:t>
      </w:r>
      <w:r w:rsidR="003D6A75"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22FD725A" w14:textId="77777777" w:rsidR="00D1191A" w:rsidRDefault="00D1191A">
      <w:pPr>
        <w:rPr>
          <w:b/>
        </w:rPr>
      </w:pPr>
      <w:r>
        <w:br w:type="page"/>
      </w:r>
    </w:p>
    <w:p w14:paraId="34FCCEE9" w14:textId="24210D06" w:rsidR="00653E5F" w:rsidRDefault="000E74A1" w:rsidP="000A55AE">
      <w:pPr>
        <w:pStyle w:val="ListNumbering"/>
        <w:spacing w:after="0"/>
      </w:pPr>
      <w:r>
        <w:lastRenderedPageBreak/>
        <w:t>1</w:t>
      </w:r>
      <w:r w:rsidR="005E38F4">
        <w:t>2</w:t>
      </w:r>
      <w:r w:rsidR="00881E20" w:rsidRPr="001C6303">
        <w:t>.</w:t>
      </w:r>
      <w:r w:rsidR="00881E20" w:rsidRPr="001C6303">
        <w:tab/>
      </w:r>
      <w:r w:rsidR="00881E20">
        <w:t>Grants</w:t>
      </w:r>
      <w:r w:rsidR="003E2B17">
        <w:t xml:space="preserve"> and </w:t>
      </w:r>
      <w:r w:rsidR="00E37E28">
        <w:t>Collaboration Revenue</w:t>
      </w:r>
    </w:p>
    <w:p w14:paraId="44D85234" w14:textId="69220D38" w:rsidR="000A55AE" w:rsidRDefault="000A55AE" w:rsidP="000A55AE"/>
    <w:p w14:paraId="0B34DF99" w14:textId="71789E68" w:rsidR="001F207F" w:rsidRDefault="001F207F" w:rsidP="001F207F">
      <w:r>
        <w:t xml:space="preserve">We receive payments from government entities under our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reimbursable costs are incurred. During the three-month and six-month periods ended June 30, 2020, we recorded $</w:t>
      </w:r>
      <w:r w:rsidR="00691227">
        <w:t>30</w:t>
      </w:r>
      <w:r w:rsidR="00EF756C">
        <w:t>1</w:t>
      </w:r>
      <w:r w:rsidR="00691227">
        <w:t>,493</w:t>
      </w:r>
      <w:r>
        <w:t xml:space="preserve"> and $</w:t>
      </w:r>
      <w:r w:rsidR="00691227">
        <w:t>955,514</w:t>
      </w:r>
      <w:r>
        <w:t xml:space="preserve">, respectively, of revenues associated with these grants and contracts, as compared to $184,938 and $539,257, respectively, for the comparable periods of 2019. As of June 30, 2020, there is an aggregate of </w:t>
      </w:r>
      <w:r w:rsidR="00691227">
        <w:t xml:space="preserve">$650,051 </w:t>
      </w:r>
      <w:r w:rsidRPr="00700CEA">
        <w:t>in</w:t>
      </w:r>
      <w:r w:rsidRPr="00640BA0">
        <w:t xml:space="preserve"> approved grant funds available for use</w:t>
      </w:r>
      <w:r>
        <w:t xml:space="preserve"> through September 2021.</w:t>
      </w:r>
    </w:p>
    <w:p w14:paraId="06729B5F" w14:textId="77777777" w:rsidR="001F207F" w:rsidRDefault="001F207F" w:rsidP="001F207F"/>
    <w:p w14:paraId="75BF341F" w14:textId="4DEB207E" w:rsidR="001F207F" w:rsidRDefault="001F207F" w:rsidP="001F207F">
      <w:r>
        <w:t>During the three-month and six-month periods ended June 30, 2020, we recorded $</w:t>
      </w:r>
      <w:r w:rsidR="00691227">
        <w:t>139,109</w:t>
      </w:r>
      <w:r>
        <w:t xml:space="preserve"> and $</w:t>
      </w:r>
      <w:r w:rsidR="00691227">
        <w:t>201,065</w:t>
      </w:r>
      <w:r>
        <w:t>, respectively, of revenues associated with research collaboration agreements with third parties, as compared to $25,003 and $34,916, respectively, for the comparable periods of 2019.</w:t>
      </w:r>
    </w:p>
    <w:p w14:paraId="6B96973D" w14:textId="637E9BBD" w:rsidR="001F207F" w:rsidRDefault="001F207F" w:rsidP="000A55AE"/>
    <w:p w14:paraId="0B298AA3" w14:textId="48D5EFBC" w:rsidR="00FF69AE" w:rsidRPr="00FF69AE" w:rsidRDefault="00FF69AE" w:rsidP="000A55AE">
      <w:pPr>
        <w:rPr>
          <w:b/>
          <w:bCs/>
        </w:rPr>
      </w:pPr>
      <w:r w:rsidRPr="00FF69AE">
        <w:rPr>
          <w:b/>
          <w:bCs/>
        </w:rPr>
        <w:t>13.</w:t>
      </w:r>
      <w:r w:rsidRPr="00FF69AE">
        <w:rPr>
          <w:b/>
          <w:bCs/>
        </w:rPr>
        <w:tab/>
        <w:t>Subsequent Events</w:t>
      </w:r>
    </w:p>
    <w:p w14:paraId="61A39249" w14:textId="19BE71D8" w:rsidR="00FF69AE" w:rsidRDefault="00FF69AE" w:rsidP="000A55AE"/>
    <w:p w14:paraId="198F7CC8" w14:textId="4BEACFC0" w:rsidR="00FF69AE" w:rsidRPr="00FF69AE" w:rsidRDefault="00FF69AE" w:rsidP="00FF69AE">
      <w:pPr>
        <w:suppressAutoHyphens/>
        <w:spacing w:line="240" w:lineRule="exact"/>
        <w:rPr>
          <w:rFonts w:ascii="CG Times (WN)" w:hAnsi="CG Times (WN)"/>
        </w:rPr>
      </w:pPr>
      <w:r w:rsidRPr="00FF69AE">
        <w:rPr>
          <w:rFonts w:ascii="CG Times (WN)" w:hAnsi="CG Times (WN)"/>
        </w:rPr>
        <w:t xml:space="preserve">During </w:t>
      </w:r>
      <w:r>
        <w:rPr>
          <w:rFonts w:ascii="CG Times (WN)" w:hAnsi="CG Times (WN)"/>
        </w:rPr>
        <w:t>July</w:t>
      </w:r>
      <w:r w:rsidRPr="00FF69AE">
        <w:rPr>
          <w:rFonts w:ascii="CG Times (WN)" w:hAnsi="CG Times (WN)"/>
        </w:rPr>
        <w:t xml:space="preserve"> 2020</w:t>
      </w:r>
      <w:r>
        <w:rPr>
          <w:rFonts w:ascii="CG Times (WN)" w:hAnsi="CG Times (WN)"/>
        </w:rPr>
        <w:t>,</w:t>
      </w:r>
      <w:r w:rsidRPr="00FF69AE">
        <w:rPr>
          <w:rFonts w:ascii="CG Times (WN)" w:hAnsi="CG Times (WN)"/>
        </w:rPr>
        <w:t xml:space="preserve"> </w:t>
      </w:r>
      <w:r>
        <w:rPr>
          <w:rFonts w:ascii="CG Times (WN)" w:hAnsi="CG Times (WN)"/>
        </w:rPr>
        <w:t>holders of our</w:t>
      </w:r>
      <w:r w:rsidRPr="00FF69AE">
        <w:rPr>
          <w:rFonts w:ascii="CG Times (WN)" w:hAnsi="CG Times (WN)"/>
        </w:rPr>
        <w:t xml:space="preserve"> Series </w:t>
      </w:r>
      <w:r>
        <w:rPr>
          <w:rFonts w:ascii="CG Times (WN)" w:hAnsi="CG Times (WN)"/>
        </w:rPr>
        <w:t>J</w:t>
      </w:r>
      <w:r w:rsidRPr="00FF69AE">
        <w:rPr>
          <w:rFonts w:ascii="CG Times (WN)" w:hAnsi="CG Times (WN)"/>
        </w:rPr>
        <w:t xml:space="preserve"> Preferred Stock </w:t>
      </w:r>
      <w:r>
        <w:rPr>
          <w:rFonts w:ascii="CG Times (WN)" w:hAnsi="CG Times (WN)"/>
        </w:rPr>
        <w:t xml:space="preserve">converted all of the preferred stock </w:t>
      </w:r>
      <w:r w:rsidRPr="00FF69AE">
        <w:rPr>
          <w:rFonts w:ascii="CG Times (WN)" w:hAnsi="CG Times (WN)"/>
        </w:rPr>
        <w:t>(</w:t>
      </w:r>
      <w:r>
        <w:rPr>
          <w:rFonts w:ascii="CG Times (WN)" w:hAnsi="CG Times (WN)"/>
        </w:rPr>
        <w:t>300</w:t>
      </w:r>
      <w:r w:rsidRPr="00FF69AE">
        <w:rPr>
          <w:rFonts w:ascii="CG Times (WN)" w:hAnsi="CG Times (WN)"/>
        </w:rPr>
        <w:t xml:space="preserve"> shares) into an aggregate of </w:t>
      </w:r>
      <w:r>
        <w:rPr>
          <w:rFonts w:ascii="CG Times (WN)" w:hAnsi="CG Times (WN)"/>
        </w:rPr>
        <w:t>854,458</w:t>
      </w:r>
      <w:r w:rsidRPr="00FF69AE">
        <w:rPr>
          <w:rFonts w:ascii="CG Times (WN)" w:hAnsi="CG Times (WN)"/>
        </w:rPr>
        <w:t xml:space="preserve"> shares of our common stock. </w:t>
      </w:r>
      <w:r>
        <w:rPr>
          <w:rFonts w:ascii="CG Times (WN)" w:hAnsi="CG Times (WN)"/>
        </w:rPr>
        <w:t xml:space="preserve"> </w:t>
      </w:r>
      <w:proofErr w:type="gramStart"/>
      <w:r>
        <w:rPr>
          <w:rFonts w:ascii="CG Times (WN)" w:hAnsi="CG Times (WN)"/>
        </w:rPr>
        <w:t>Also</w:t>
      </w:r>
      <w:proofErr w:type="gramEnd"/>
      <w:r>
        <w:rPr>
          <w:rFonts w:ascii="CG Times (WN)" w:hAnsi="CG Times (WN)"/>
        </w:rPr>
        <w:t xml:space="preserve"> during July 2020, holders of our Series H and Series I Warrants exercised a total of </w:t>
      </w:r>
      <w:r w:rsidR="00E050DE">
        <w:rPr>
          <w:rFonts w:ascii="CG Times (WN)" w:hAnsi="CG Times (WN)"/>
        </w:rPr>
        <w:t>1,091,128</w:t>
      </w:r>
      <w:r>
        <w:rPr>
          <w:rFonts w:ascii="CG Times (WN)" w:hAnsi="CG Times (WN)"/>
        </w:rPr>
        <w:t xml:space="preserve"> of such warrants using the “cashless exercise” feature of the warrants, resulting in the issuance of an aggregate of 738,048 shares of our common stock.</w:t>
      </w:r>
    </w:p>
    <w:p w14:paraId="3A22386C" w14:textId="4DDB4F9D" w:rsidR="00FF69AE" w:rsidRDefault="00FF69AE" w:rsidP="000A55AE"/>
    <w:p w14:paraId="52DAA18C" w14:textId="77777777" w:rsidR="001F207F" w:rsidRDefault="001F207F">
      <w:pPr>
        <w:rPr>
          <w:i/>
        </w:rPr>
      </w:pPr>
    </w:p>
    <w:p w14:paraId="511152B0" w14:textId="3D0C7DCB"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 xml:space="preserve">s Discussion and Analysis of Financial Condition </w:t>
      </w:r>
      <w:r w:rsidR="00C87AEF">
        <w:t>a</w:t>
      </w:r>
      <w:r w:rsidR="00BD6BBE" w:rsidRPr="001C6303">
        <w:t>nd Results of Operations</w:t>
      </w:r>
      <w:bookmarkEnd w:id="20"/>
    </w:p>
    <w:p w14:paraId="10D16227" w14:textId="77777777" w:rsidR="000A55AE" w:rsidRDefault="000A55AE" w:rsidP="000A55AE">
      <w:pPr>
        <w:pStyle w:val="Subtitle"/>
        <w:spacing w:after="0"/>
      </w:pPr>
    </w:p>
    <w:p w14:paraId="209E002F" w14:textId="072049DA" w:rsidR="00BD6BBE" w:rsidRPr="001C6303" w:rsidRDefault="007F5D4D" w:rsidP="000A55AE">
      <w:pPr>
        <w:pStyle w:val="Subtitle"/>
        <w:spacing w:after="0"/>
      </w:pPr>
      <w:r w:rsidRPr="001C6303">
        <w:t>FORWARD</w:t>
      </w:r>
      <w:r w:rsidR="00613F1F">
        <w:t>-</w:t>
      </w:r>
      <w:r w:rsidRPr="001C6303">
        <w:t>LOOKING STATEMENTS</w:t>
      </w:r>
    </w:p>
    <w:p w14:paraId="1C7FD75F" w14:textId="77777777" w:rsidR="000A55AE" w:rsidRDefault="000A55AE" w:rsidP="000A55AE">
      <w:pPr>
        <w:pStyle w:val="BodyItalic"/>
        <w:spacing w:after="0"/>
      </w:pPr>
    </w:p>
    <w:p w14:paraId="6879CCA2" w14:textId="7CBDE11F" w:rsidR="005A1716" w:rsidRPr="001C6303" w:rsidRDefault="00BD6BBE" w:rsidP="000A55AE">
      <w:pPr>
        <w:pStyle w:val="BodyItalic"/>
        <w:spacing w:after="0"/>
      </w:pPr>
      <w:r w:rsidRPr="001C6303">
        <w:t>In addition to historical information, the informat</w:t>
      </w:r>
      <w:r w:rsidR="00702986" w:rsidRPr="001C6303">
        <w:t>ion included in this Form 10-Q</w:t>
      </w:r>
      <w:r w:rsidRPr="001C6303">
        <w:t xml:space="preserve"> contains forward-looking statements</w:t>
      </w:r>
      <w:r w:rsidR="005A1716" w:rsidRPr="001C6303">
        <w:t>.</w:t>
      </w:r>
      <w:r w:rsidRPr="001C6303">
        <w:t xml:space="preserve">  Forward-looking statements involve numerous risks and uncertainties</w:t>
      </w:r>
      <w:r w:rsidR="00B95DE7">
        <w:t xml:space="preserve">, including but not limited to the risk factors set forth under the heading “Risk Factors” in </w:t>
      </w:r>
      <w:r w:rsidR="00C87AEF">
        <w:t xml:space="preserve">our </w:t>
      </w:r>
      <w:r w:rsidR="00B95DE7">
        <w:t xml:space="preserve">Annual Report on Form 10-K for </w:t>
      </w:r>
      <w:r w:rsidR="00096B1B">
        <w:t>the year ended December 31, 201</w:t>
      </w:r>
      <w:r w:rsidR="00271E59">
        <w:t>9</w:t>
      </w:r>
      <w:r w:rsidR="00B95DE7">
        <w:t>,</w:t>
      </w:r>
      <w:r w:rsidRPr="001C6303">
        <w:t xml:space="preserve"> and should not be relied upon as predictions of future events. Certain such forward-looking statements can be identified by the use of forward-looking terminology such as </w:t>
      </w:r>
      <w:r w:rsidR="00B44A4C" w:rsidRPr="001C6303">
        <w:t>‘‘</w:t>
      </w:r>
      <w:r w:rsidRPr="001C6303">
        <w:t>believes,</w:t>
      </w:r>
      <w:r w:rsidR="00B44A4C" w:rsidRPr="001C6303">
        <w:t>’’</w:t>
      </w:r>
      <w:r w:rsidRPr="001C6303">
        <w:t xml:space="preserve"> </w:t>
      </w:r>
      <w:r w:rsidR="00B44A4C" w:rsidRPr="001C6303">
        <w:t>‘‘</w:t>
      </w:r>
      <w:r w:rsidRPr="001C6303">
        <w:t>expects,</w:t>
      </w:r>
      <w:r w:rsidR="00B44A4C" w:rsidRPr="001C6303">
        <w:t>’’</w:t>
      </w:r>
      <w:r w:rsidRPr="001C6303">
        <w:t xml:space="preserve"> </w:t>
      </w:r>
      <w:r w:rsidR="00B44A4C" w:rsidRPr="001C6303">
        <w:t>‘‘</w:t>
      </w:r>
      <w:r w:rsidRPr="001C6303">
        <w:t>may,</w:t>
      </w:r>
      <w:r w:rsidR="00B44A4C" w:rsidRPr="001C6303">
        <w:t>’’</w:t>
      </w:r>
      <w:r w:rsidRPr="001C6303">
        <w:t xml:space="preserve"> </w:t>
      </w:r>
      <w:r w:rsidR="00B44A4C" w:rsidRPr="001C6303">
        <w:t>‘‘</w:t>
      </w:r>
      <w:r w:rsidRPr="001C6303">
        <w:t>will,</w:t>
      </w:r>
      <w:r w:rsidR="00B44A4C" w:rsidRPr="001C6303">
        <w:t>’’</w:t>
      </w:r>
      <w:r w:rsidRPr="001C6303">
        <w:t xml:space="preserve"> </w:t>
      </w:r>
      <w:r w:rsidR="00B44A4C" w:rsidRPr="001C6303">
        <w:t>‘‘</w:t>
      </w:r>
      <w:r w:rsidRPr="001C6303">
        <w:t>should,</w:t>
      </w:r>
      <w:r w:rsidR="00B44A4C" w:rsidRPr="001C6303">
        <w:t>’’</w:t>
      </w:r>
      <w:r w:rsidRPr="001C6303">
        <w:t xml:space="preserve"> </w:t>
      </w:r>
      <w:r w:rsidR="00B44A4C" w:rsidRPr="001C6303">
        <w:t>‘‘</w:t>
      </w:r>
      <w:r w:rsidRPr="001C6303">
        <w:t>seeks,</w:t>
      </w:r>
      <w:r w:rsidR="00B44A4C" w:rsidRPr="001C6303">
        <w:t>’’</w:t>
      </w:r>
      <w:r w:rsidRPr="001C6303">
        <w:t xml:space="preserve"> </w:t>
      </w:r>
      <w:r w:rsidR="00B44A4C" w:rsidRPr="001C6303">
        <w:t>‘‘</w:t>
      </w:r>
      <w:r w:rsidRPr="001C6303">
        <w:t>approximately,</w:t>
      </w:r>
      <w:r w:rsidR="00B44A4C" w:rsidRPr="001C6303">
        <w:t>”</w:t>
      </w:r>
      <w:r w:rsidRPr="001C6303">
        <w:t xml:space="preserve"> </w:t>
      </w:r>
      <w:r w:rsidR="00B44A4C" w:rsidRPr="001C6303">
        <w:t>‘‘</w:t>
      </w:r>
      <w:r w:rsidRPr="001C6303">
        <w:t>intends,</w:t>
      </w:r>
      <w:r w:rsidR="00B44A4C" w:rsidRPr="001C6303">
        <w:t>’’</w:t>
      </w:r>
      <w:r w:rsidRPr="001C6303">
        <w:t xml:space="preserve"> </w:t>
      </w:r>
      <w:r w:rsidR="00B44A4C" w:rsidRPr="001C6303">
        <w:t>‘‘</w:t>
      </w:r>
      <w:r w:rsidRPr="001C6303">
        <w:t>plans,</w:t>
      </w:r>
      <w:r w:rsidR="00B44A4C" w:rsidRPr="001C6303">
        <w:t>’’</w:t>
      </w:r>
      <w:r w:rsidRPr="001C6303">
        <w:t xml:space="preserve"> </w:t>
      </w:r>
      <w:r w:rsidR="00B44A4C" w:rsidRPr="001C6303">
        <w:t>‘‘</w:t>
      </w:r>
      <w:r w:rsidRPr="001C6303">
        <w:t>pro forma,</w:t>
      </w:r>
      <w:r w:rsidR="00B44A4C" w:rsidRPr="001C6303">
        <w:t>’’</w:t>
      </w:r>
      <w:r w:rsidRPr="001C6303">
        <w:t xml:space="preserve"> </w:t>
      </w:r>
      <w:r w:rsidR="00B44A4C" w:rsidRPr="001C6303">
        <w:t>‘‘</w:t>
      </w:r>
      <w:r w:rsidRPr="001C6303">
        <w:t>estimates,</w:t>
      </w:r>
      <w:r w:rsidR="00B44A4C" w:rsidRPr="001C6303">
        <w:t>’’</w:t>
      </w:r>
      <w:r w:rsidRPr="001C6303">
        <w:t xml:space="preserve"> or </w:t>
      </w:r>
      <w:r w:rsidR="00B44A4C" w:rsidRPr="001C6303">
        <w:t>‘‘</w:t>
      </w:r>
      <w:r w:rsidRPr="001C6303">
        <w:t>anticipates</w:t>
      </w:r>
      <w:r w:rsidR="00B44A4C" w:rsidRPr="001C6303">
        <w:t>’’</w:t>
      </w:r>
      <w:r w:rsidRPr="001C6303">
        <w:t xml:space="preserve"> or other variations thereof or comparable terminology, or by discussions of strategy, plans</w:t>
      </w:r>
      <w:r w:rsidR="00D068B8">
        <w:t>,</w:t>
      </w:r>
      <w:r w:rsidRPr="001C6303">
        <w:t xml:space="preserve"> or intentions. Such forward-looking statements are necessarily dependent on assumptions, data</w:t>
      </w:r>
      <w:r w:rsidR="00D068B8">
        <w:t>,</w:t>
      </w:r>
      <w:r w:rsidRPr="001C6303">
        <w:t xml:space="preserve"> or methods that may be incorrect or imprecise and may be incapable of being realized. The following factors, among others, could cause actual results and future events to differ materially from those set forth or contemplated in the forward-looking statements: </w:t>
      </w:r>
    </w:p>
    <w:p w14:paraId="23AC6095" w14:textId="77777777" w:rsidR="005A1716" w:rsidRPr="001C6303" w:rsidRDefault="005A1716" w:rsidP="000A55AE">
      <w:pPr>
        <w:pStyle w:val="BodyItalic"/>
        <w:numPr>
          <w:ilvl w:val="0"/>
          <w:numId w:val="4"/>
        </w:numPr>
        <w:spacing w:after="0"/>
        <w:ind w:left="360"/>
      </w:pPr>
      <w:r w:rsidRPr="001C6303">
        <w:t xml:space="preserve">whether we can raise additional capital as and when we need </w:t>
      </w:r>
      <w:proofErr w:type="gramStart"/>
      <w:r w:rsidRPr="001C6303">
        <w:t>it;</w:t>
      </w:r>
      <w:proofErr w:type="gramEnd"/>
    </w:p>
    <w:p w14:paraId="27020607" w14:textId="77777777" w:rsidR="005A1716" w:rsidRPr="001C6303" w:rsidRDefault="005A1716" w:rsidP="000A55AE">
      <w:pPr>
        <w:pStyle w:val="BodyItalic"/>
        <w:numPr>
          <w:ilvl w:val="0"/>
          <w:numId w:val="4"/>
        </w:numPr>
        <w:spacing w:after="0"/>
        <w:ind w:left="360"/>
      </w:pPr>
      <w:r w:rsidRPr="001C6303">
        <w:t xml:space="preserve">whether we are successful in developing our </w:t>
      </w:r>
      <w:proofErr w:type="gramStart"/>
      <w:r w:rsidR="00BD6BBE" w:rsidRPr="001C6303">
        <w:t>product</w:t>
      </w:r>
      <w:r w:rsidR="00B9332C" w:rsidRPr="001C6303">
        <w:t>s</w:t>
      </w:r>
      <w:r w:rsidRPr="001C6303">
        <w:t>;</w:t>
      </w:r>
      <w:proofErr w:type="gramEnd"/>
    </w:p>
    <w:p w14:paraId="13AE027A" w14:textId="77777777" w:rsidR="005A1716" w:rsidRPr="001C6303" w:rsidRDefault="005A1716" w:rsidP="000A55AE">
      <w:pPr>
        <w:pStyle w:val="BodyItalic"/>
        <w:numPr>
          <w:ilvl w:val="0"/>
          <w:numId w:val="4"/>
        </w:numPr>
        <w:spacing w:after="0"/>
        <w:ind w:left="360"/>
      </w:pPr>
      <w:r w:rsidRPr="001C6303">
        <w:t>whether we are able</w:t>
      </w:r>
      <w:r w:rsidR="00BD6BBE" w:rsidRPr="001C6303">
        <w:t xml:space="preserve"> to obtain regulatory approvals in the United States and other countries</w:t>
      </w:r>
      <w:r w:rsidRPr="001C6303">
        <w:t xml:space="preserve"> for sale of our </w:t>
      </w:r>
      <w:proofErr w:type="gramStart"/>
      <w:r w:rsidRPr="001C6303">
        <w:t>product</w:t>
      </w:r>
      <w:r w:rsidR="00B9332C" w:rsidRPr="001C6303">
        <w:t>s</w:t>
      </w:r>
      <w:r w:rsidRPr="001C6303">
        <w:t>;</w:t>
      </w:r>
      <w:proofErr w:type="gramEnd"/>
    </w:p>
    <w:p w14:paraId="15A1C42F" w14:textId="77777777" w:rsidR="005A1716" w:rsidRPr="001C6303" w:rsidRDefault="005A1716" w:rsidP="000A55AE">
      <w:pPr>
        <w:pStyle w:val="BodyItalic"/>
        <w:numPr>
          <w:ilvl w:val="0"/>
          <w:numId w:val="4"/>
        </w:numPr>
        <w:spacing w:after="0"/>
        <w:ind w:left="360"/>
      </w:pPr>
      <w:r w:rsidRPr="001C6303">
        <w:t>whether we can compete successfully with others in our market</w:t>
      </w:r>
      <w:r w:rsidR="00933EC4" w:rsidRPr="001C6303">
        <w:t>; and</w:t>
      </w:r>
    </w:p>
    <w:p w14:paraId="79F00BF3" w14:textId="77777777" w:rsidR="00933EC4" w:rsidRPr="001C6303" w:rsidRDefault="00933EC4" w:rsidP="000A55AE">
      <w:pPr>
        <w:pStyle w:val="BodyItalic"/>
        <w:numPr>
          <w:ilvl w:val="0"/>
          <w:numId w:val="4"/>
        </w:numPr>
        <w:spacing w:after="0"/>
        <w:ind w:left="360"/>
      </w:pPr>
      <w:r w:rsidRPr="001C6303">
        <w:t>whether we are adversely affected in our efforts to raise cash by the volatility and disruption of local and national economic, credit and capital markets and the economy in general.</w:t>
      </w:r>
    </w:p>
    <w:p w14:paraId="1EDB1A39" w14:textId="77777777" w:rsidR="000A55AE" w:rsidRDefault="000A55AE" w:rsidP="000A55AE">
      <w:pPr>
        <w:pStyle w:val="BodyItalic"/>
        <w:spacing w:after="0"/>
      </w:pPr>
    </w:p>
    <w:p w14:paraId="0907510F" w14:textId="6F760CEF" w:rsidR="00BD6BBE" w:rsidRPr="001C6303" w:rsidRDefault="00BD6BBE" w:rsidP="000A55AE">
      <w:pPr>
        <w:pStyle w:val="BodyItalic"/>
        <w:spacing w:after="0"/>
      </w:pPr>
      <w:r w:rsidRPr="001C6303">
        <w:t>Readers are cautioned not to place undue reliance on forward-looking statements, which reflect our management</w:t>
      </w:r>
      <w:r w:rsidR="00B44A4C" w:rsidRPr="001C6303">
        <w:t>’</w:t>
      </w:r>
      <w:r w:rsidRPr="001C6303">
        <w:t xml:space="preserve">s analysis only. We assume no obligation to update forward-looking statements. </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56F95AF8" w14:textId="128B8185" w:rsidR="0025217A" w:rsidRPr="0025217A" w:rsidRDefault="0025217A" w:rsidP="0025217A">
      <w:proofErr w:type="spellStart"/>
      <w:r w:rsidRPr="0025217A">
        <w:t>GeoVax</w:t>
      </w:r>
      <w:proofErr w:type="spellEnd"/>
      <w:r w:rsidRPr="0025217A">
        <w:t xml:space="preserve"> is a clinical-stage biotechnology company developing human vaccines against infectious diseases and cancer using a novel patented Modified Vaccinia Ankara</w:t>
      </w:r>
      <w:r w:rsidR="002D1A5A">
        <w:t xml:space="preserve"> (MVA) </w:t>
      </w:r>
      <w:r w:rsidRPr="0025217A">
        <w:t>Virus Like Particle</w:t>
      </w:r>
      <w:r w:rsidR="002D1A5A">
        <w:t xml:space="preserve"> (VLP)</w:t>
      </w:r>
      <w:r w:rsidRPr="0025217A">
        <w:t xml:space="preserve"> vaccine platform</w:t>
      </w:r>
      <w:r w:rsidR="002D1A5A">
        <w:t xml:space="preserve"> (GV-MVA-VLP</w:t>
      </w:r>
      <w:r w:rsidR="002D1A5A" w:rsidRPr="002D1A5A">
        <w:rPr>
          <w:vertAlign w:val="superscript"/>
        </w:rPr>
        <w:t>TM</w:t>
      </w:r>
      <w:r w:rsidR="002D1A5A">
        <w:t>)</w:t>
      </w:r>
      <w:r w:rsidRPr="0025217A">
        <w:t xml:space="preserve">.  In this platform, MVA, a large virus capable of carrying several vaccine antigens, expresses proteins that assemble into VLP immunogens in the person being vaccinated.  The </w:t>
      </w:r>
      <w:proofErr w:type="spellStart"/>
      <w:r w:rsidR="006F2532">
        <w:t>GeoVax</w:t>
      </w:r>
      <w:proofErr w:type="spellEnd"/>
      <w:r w:rsidR="006F2532">
        <w:t xml:space="preserve"> </w:t>
      </w:r>
      <w:r w:rsidRPr="0025217A">
        <w:t>MVA-VLP derived vaccines elicit durable immune responses in the host similar to a live-attenuated virus, while providing the safety characteristics of a replication-defective vector.</w:t>
      </w:r>
    </w:p>
    <w:p w14:paraId="3723BA21" w14:textId="77777777" w:rsidR="0025217A" w:rsidRPr="0025217A" w:rsidRDefault="0025217A" w:rsidP="0025217A"/>
    <w:p w14:paraId="6A96B052" w14:textId="268C7655" w:rsidR="00925E4B" w:rsidRPr="00E576BB" w:rsidRDefault="00925E4B" w:rsidP="00925E4B">
      <w:r w:rsidRPr="00E576BB">
        <w:t xml:space="preserve">Our current development programs are focused on preventive vaccines against </w:t>
      </w:r>
      <w:r w:rsidR="002D1A5A">
        <w:t xml:space="preserve">novel </w:t>
      </w:r>
      <w:r w:rsidRPr="00E576BB">
        <w:t xml:space="preserve">coronavirus (COVID-19), Human Immunodeficiency Virus (HIV), Zika Virus, hemorrhagic fever viruses (Ebola, Sudan, Marburg, Lassa), and malaria, as well as therapeutic vaccines for chronic Hepatitis B infections and cancers. We believe our technology and vaccine development expertise are well-suited for a variety of human infectious diseases and we intend to pursue further expansion of our product pipeline. </w:t>
      </w:r>
    </w:p>
    <w:p w14:paraId="05E80268" w14:textId="77777777" w:rsidR="0025217A" w:rsidRPr="0025217A" w:rsidRDefault="0025217A" w:rsidP="0025217A"/>
    <w:p w14:paraId="30B10CB3" w14:textId="0B40CD09" w:rsidR="0025217A" w:rsidRPr="0025217A" w:rsidRDefault="0025217A" w:rsidP="0025217A">
      <w:r w:rsidRPr="0025217A">
        <w:lastRenderedPageBreak/>
        <w:t xml:space="preserve">Our corporate strategy is to improve the health of patients worldwide by advancing our vaccine platform, using its unique capabilities to design and develop an array of products addressing unmet medical needs in the areas of infectious diseases and oncology. We </w:t>
      </w:r>
      <w:r w:rsidR="0003701D">
        <w:t>intend</w:t>
      </w:r>
      <w:r w:rsidRPr="0025217A">
        <w:t xml:space="preserve"> to advance products through to human clinical testing, and to seek partnership or licensing arrangements for commercialization. We also leverage third party resources through government, academic and corporate research collaborations and partnerships for preclinical and clinical testing.</w:t>
      </w:r>
    </w:p>
    <w:p w14:paraId="1340FC5B" w14:textId="77777777" w:rsidR="0025217A" w:rsidRPr="0025217A" w:rsidRDefault="0025217A" w:rsidP="0025217A"/>
    <w:p w14:paraId="6F0D9798" w14:textId="1D456D07" w:rsidR="003C73D3" w:rsidRDefault="0025217A" w:rsidP="000A55AE">
      <w:r w:rsidRPr="0025217A">
        <w:t>We have not generated any revenues from the sale of any such products,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36B76BCC" w14:textId="77777777" w:rsidR="00A840E6" w:rsidRPr="001C6303" w:rsidRDefault="00A840E6" w:rsidP="000A55AE">
      <w:pPr>
        <w:pStyle w:val="BodyTitle"/>
        <w:spacing w:after="0"/>
        <w:rPr>
          <w:b/>
          <w:u w:val="none"/>
        </w:rPr>
      </w:pPr>
      <w:r>
        <w:rPr>
          <w:b/>
          <w:u w:val="none"/>
        </w:rPr>
        <w:t>Critical Accounting Policies and Estimates</w:t>
      </w:r>
    </w:p>
    <w:p w14:paraId="64C41239" w14:textId="77777777" w:rsidR="000A55AE" w:rsidRDefault="000A55AE" w:rsidP="000A55AE"/>
    <w:p w14:paraId="0C315897" w14:textId="77777777" w:rsidR="0025217A" w:rsidRPr="0025217A" w:rsidRDefault="0025217A" w:rsidP="0025217A">
      <w:r w:rsidRPr="0025217A">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6C9F1B28" w14:textId="77777777" w:rsidR="000A55AE" w:rsidRPr="001C6303" w:rsidRDefault="000A55AE" w:rsidP="000A55AE"/>
    <w:p w14:paraId="4855563E" w14:textId="24A80E60" w:rsidR="004A028C" w:rsidRDefault="004A028C" w:rsidP="000A55AE">
      <w:r w:rsidRPr="004A028C">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w:t>
      </w:r>
      <w:r>
        <w:t xml:space="preserve"> on Form 10-K for the year ended December 31, 201</w:t>
      </w:r>
      <w:r w:rsidR="00925E4B">
        <w:t>9</w:t>
      </w:r>
      <w:r w:rsidRPr="004A028C">
        <w:t xml:space="preserve">. </w:t>
      </w:r>
      <w:r>
        <w:t>T</w:t>
      </w:r>
      <w:r w:rsidRPr="004A028C">
        <w:t>here have been no significant changes to our critical accounting policies from those disclosed in our 201</w:t>
      </w:r>
      <w:r w:rsidR="00925E4B">
        <w:t>9</w:t>
      </w:r>
      <w:r w:rsidRPr="004A028C">
        <w:t xml:space="preserve"> Annual Report</w:t>
      </w:r>
      <w:r>
        <w:t>.</w:t>
      </w:r>
    </w:p>
    <w:p w14:paraId="26D8200B" w14:textId="77777777" w:rsidR="000A55AE" w:rsidRDefault="000A55AE" w:rsidP="000A55AE">
      <w:pPr>
        <w:pStyle w:val="BodyTitle"/>
        <w:spacing w:after="0"/>
        <w:rPr>
          <w:b/>
          <w:u w:val="none"/>
        </w:rPr>
      </w:pPr>
    </w:p>
    <w:p w14:paraId="611126D7" w14:textId="2EE1C891" w:rsidR="004A028C" w:rsidRPr="001C6303" w:rsidRDefault="004A028C" w:rsidP="000A55AE">
      <w:pPr>
        <w:pStyle w:val="BodyTitle"/>
        <w:spacing w:after="0"/>
        <w:rPr>
          <w:b/>
          <w:u w:val="none"/>
        </w:rPr>
      </w:pPr>
      <w:r>
        <w:rPr>
          <w:b/>
          <w:u w:val="none"/>
        </w:rPr>
        <w:t>Recent Accounting Pronouncements</w:t>
      </w:r>
    </w:p>
    <w:p w14:paraId="04405611" w14:textId="77777777" w:rsidR="000A55AE" w:rsidRDefault="000A55AE" w:rsidP="000A55AE"/>
    <w:p w14:paraId="2694DDD8" w14:textId="1B72538E" w:rsidR="004A028C" w:rsidRDefault="004A028C" w:rsidP="000A55AE">
      <w:r w:rsidRPr="004A028C">
        <w:t>Information regarding recent accounting pronouncements is contained in Note </w:t>
      </w:r>
      <w:r w:rsidR="00F63074">
        <w:t>3</w:t>
      </w:r>
      <w:r w:rsidRPr="004A028C">
        <w:t xml:space="preserve"> to the </w:t>
      </w:r>
      <w:r w:rsidR="0025217A">
        <w:t>c</w:t>
      </w:r>
      <w:r w:rsidRPr="004A028C">
        <w:t xml:space="preserve">ondensed </w:t>
      </w:r>
      <w:r w:rsidR="0025217A">
        <w:t>c</w:t>
      </w:r>
      <w:r w:rsidRPr="004A028C">
        <w:t xml:space="preserve">onsolidated </w:t>
      </w:r>
      <w:r w:rsidR="0025217A">
        <w:t>f</w:t>
      </w:r>
      <w:r w:rsidRPr="004A028C">
        <w:t xml:space="preserve">inancial </w:t>
      </w:r>
      <w:r w:rsidR="0025217A">
        <w:t>s</w:t>
      </w:r>
      <w:r w:rsidRPr="004A028C">
        <w:t>tatements included in this Quarterly Report</w:t>
      </w:r>
      <w:r w:rsidR="00F63074">
        <w:t>.</w:t>
      </w:r>
    </w:p>
    <w:p w14:paraId="32F7223F" w14:textId="77777777" w:rsidR="000A55AE" w:rsidRDefault="000A55AE" w:rsidP="000A55AE">
      <w:pPr>
        <w:pStyle w:val="BodyTitle"/>
        <w:spacing w:after="0"/>
        <w:rPr>
          <w:b/>
          <w:u w:val="none"/>
        </w:rPr>
      </w:pPr>
    </w:p>
    <w:p w14:paraId="4DC86191" w14:textId="33327D21" w:rsidR="00A420E8" w:rsidRPr="001C6303" w:rsidRDefault="00A420E8" w:rsidP="000A55AE">
      <w:pPr>
        <w:pStyle w:val="BodyTitle"/>
        <w:spacing w:after="0"/>
        <w:rPr>
          <w:b/>
          <w:u w:val="none"/>
        </w:rPr>
      </w:pPr>
      <w:r w:rsidRPr="001C6303">
        <w:rPr>
          <w:b/>
          <w:u w:val="none"/>
        </w:rPr>
        <w:t>Liquidity and Capital Resources</w:t>
      </w:r>
    </w:p>
    <w:p w14:paraId="15E2F672" w14:textId="77777777" w:rsidR="000A55AE" w:rsidRDefault="000A55AE" w:rsidP="000A55AE"/>
    <w:p w14:paraId="604FE554" w14:textId="1434829D" w:rsidR="00925E4B" w:rsidRDefault="00925E4B" w:rsidP="00925E4B">
      <w:r>
        <w:t>O</w:t>
      </w:r>
      <w:r w:rsidRPr="00612B10">
        <w:t xml:space="preserve">ur </w:t>
      </w:r>
      <w:r>
        <w:t>principal</w:t>
      </w:r>
      <w:r w:rsidRPr="00612B10">
        <w:t xml:space="preserve"> uses of cash </w:t>
      </w:r>
      <w:r>
        <w:t>are</w:t>
      </w:r>
      <w:r w:rsidRPr="00612B10">
        <w:t xml:space="preserve"> to finance our resear</w:t>
      </w:r>
      <w:r>
        <w:t xml:space="preserve">ch and development activities. </w:t>
      </w:r>
      <w:r w:rsidRPr="00612B10">
        <w:t>Since inception, we have funded these activities primarily from government grants and clinical trial assistance, and from sales of our equity securities.</w:t>
      </w:r>
      <w:r>
        <w:t xml:space="preserve"> </w:t>
      </w:r>
      <w:proofErr w:type="gramStart"/>
      <w:r w:rsidRPr="00612B10">
        <w:t>At</w:t>
      </w:r>
      <w:proofErr w:type="gramEnd"/>
      <w:r w:rsidRPr="00612B10">
        <w:t xml:space="preserve"> </w:t>
      </w:r>
      <w:r w:rsidR="001F207F">
        <w:t>June</w:t>
      </w:r>
      <w:r w:rsidR="00271E59">
        <w:t> </w:t>
      </w:r>
      <w:r>
        <w:t>3</w:t>
      </w:r>
      <w:r w:rsidR="001F207F">
        <w:t>0</w:t>
      </w:r>
      <w:r>
        <w:t>, 2020</w:t>
      </w:r>
      <w:r w:rsidRPr="00612B10">
        <w:t>, we had cash and cash equivalents of $</w:t>
      </w:r>
      <w:r w:rsidR="00D3101C">
        <w:t>710,682</w:t>
      </w:r>
      <w:r w:rsidRPr="00612B10">
        <w:t xml:space="preserve"> and total assets of $</w:t>
      </w:r>
      <w:r w:rsidR="00D3101C">
        <w:t>957,943</w:t>
      </w:r>
      <w:r w:rsidRPr="00612B10">
        <w:t>, as compared to $</w:t>
      </w:r>
      <w:r>
        <w:t>283,341</w:t>
      </w:r>
      <w:r w:rsidRPr="00612B10">
        <w:t xml:space="preserve"> and $</w:t>
      </w:r>
      <w:r>
        <w:t>468,880</w:t>
      </w:r>
      <w:r w:rsidRPr="00612B10">
        <w:t xml:space="preserve">, respectively, at </w:t>
      </w:r>
      <w:r>
        <w:t>December 31, 2019</w:t>
      </w:r>
      <w:r w:rsidRPr="00612B10">
        <w:t xml:space="preserve">. </w:t>
      </w:r>
      <w:proofErr w:type="gramStart"/>
      <w:r>
        <w:t>At</w:t>
      </w:r>
      <w:proofErr w:type="gramEnd"/>
      <w:r>
        <w:t xml:space="preserve"> </w:t>
      </w:r>
      <w:r w:rsidR="001F207F">
        <w:t>June</w:t>
      </w:r>
      <w:r>
        <w:t xml:space="preserve"> 3</w:t>
      </w:r>
      <w:r w:rsidR="001F207F">
        <w:t>0</w:t>
      </w:r>
      <w:r>
        <w:t>, 2020, we had a w</w:t>
      </w:r>
      <w:r w:rsidRPr="00612B10">
        <w:t xml:space="preserve">orking capital </w:t>
      </w:r>
      <w:r w:rsidRPr="00271E59">
        <w:t>deficit of $</w:t>
      </w:r>
      <w:r w:rsidR="00D3101C">
        <w:t>1,847,</w:t>
      </w:r>
      <w:r w:rsidR="00EF756C">
        <w:t>550</w:t>
      </w:r>
      <w:r w:rsidRPr="00271E59">
        <w:t xml:space="preserve">, compared to $1,568,929 at December 31, 2019. Our current liabilities </w:t>
      </w:r>
      <w:proofErr w:type="gramStart"/>
      <w:r w:rsidRPr="00271E59">
        <w:t>at</w:t>
      </w:r>
      <w:proofErr w:type="gramEnd"/>
      <w:r w:rsidRPr="00271E59">
        <w:t xml:space="preserve"> </w:t>
      </w:r>
      <w:r w:rsidR="001F207F">
        <w:t>June</w:t>
      </w:r>
      <w:r w:rsidRPr="00271E59">
        <w:t xml:space="preserve"> 3</w:t>
      </w:r>
      <w:r w:rsidR="001F207F">
        <w:t>0</w:t>
      </w:r>
      <w:r w:rsidRPr="00271E59">
        <w:t>, 2020 include $</w:t>
      </w:r>
      <w:r w:rsidR="00D3101C">
        <w:t>1,972,073</w:t>
      </w:r>
      <w:r>
        <w:t xml:space="preserve"> of accrued management salaries and director fees, payment of which is still being deferred as discussed further below.</w:t>
      </w:r>
    </w:p>
    <w:p w14:paraId="741DAFBD" w14:textId="77777777" w:rsidR="00925E4B" w:rsidRDefault="00925E4B" w:rsidP="00925E4B"/>
    <w:p w14:paraId="31EBD8E7" w14:textId="340DD952" w:rsidR="00925E4B" w:rsidRPr="007A4B96" w:rsidRDefault="00925E4B" w:rsidP="00925E4B">
      <w:r w:rsidRPr="00612B10">
        <w:t>Net cash used in operating activities was</w:t>
      </w:r>
      <w:r>
        <w:t xml:space="preserve"> </w:t>
      </w:r>
      <w:r w:rsidRPr="00612B10">
        <w:t>$</w:t>
      </w:r>
      <w:r w:rsidR="00D3101C">
        <w:t>925,493</w:t>
      </w:r>
      <w:r>
        <w:t xml:space="preserve"> </w:t>
      </w:r>
      <w:r w:rsidRPr="00612B10">
        <w:t xml:space="preserve">and </w:t>
      </w:r>
      <w:r>
        <w:t>$</w:t>
      </w:r>
      <w:r w:rsidR="001F207F">
        <w:t>773,809</w:t>
      </w:r>
      <w:r>
        <w:t xml:space="preserve"> </w:t>
      </w:r>
      <w:r w:rsidRPr="00612B10">
        <w:t xml:space="preserve">for the </w:t>
      </w:r>
      <w:r w:rsidR="00B02073">
        <w:t>six</w:t>
      </w:r>
      <w:r>
        <w:t>-month periods</w:t>
      </w:r>
      <w:r w:rsidRPr="00612B10">
        <w:t xml:space="preserve"> ended </w:t>
      </w:r>
      <w:r w:rsidR="001F207F">
        <w:t>June</w:t>
      </w:r>
      <w:r>
        <w:t> 3</w:t>
      </w:r>
      <w:r w:rsidR="001F207F">
        <w:t>0</w:t>
      </w:r>
      <w:r>
        <w:t>, 2020 and 2019</w:t>
      </w:r>
      <w:r w:rsidRPr="00612B10">
        <w:t>, respectively.</w:t>
      </w:r>
      <w:r>
        <w:t xml:space="preserve"> Generally, t</w:t>
      </w:r>
      <w:r w:rsidRPr="00612B10">
        <w:t>he variances between periods are due to fluctuations in our net losses, offset by non-cash charges such as depreciation and stock-based compensation expense, and by net changes in our assets and liabilities. Our net losses generally fluctuate based on expenditures for our research activities, partially offset by government grant revenues.</w:t>
      </w:r>
      <w:r>
        <w:t xml:space="preserve"> </w:t>
      </w:r>
      <w:r w:rsidRPr="007A4B96">
        <w:t xml:space="preserve">As of </w:t>
      </w:r>
      <w:r w:rsidR="001F207F">
        <w:t>June</w:t>
      </w:r>
      <w:r w:rsidRPr="007A4B96">
        <w:t xml:space="preserve"> 3</w:t>
      </w:r>
      <w:r w:rsidR="001F207F">
        <w:t>0</w:t>
      </w:r>
      <w:r w:rsidRPr="007A4B96">
        <w:t>, 20</w:t>
      </w:r>
      <w:r w:rsidR="00D503C2">
        <w:t>20</w:t>
      </w:r>
      <w:r w:rsidRPr="007A4B96">
        <w:t>, there is</w:t>
      </w:r>
      <w:r>
        <w:t xml:space="preserve"> $</w:t>
      </w:r>
      <w:r w:rsidR="00FC1D1F">
        <w:t>650,051</w:t>
      </w:r>
      <w:r>
        <w:t xml:space="preserve"> </w:t>
      </w:r>
      <w:r w:rsidRPr="007A4B96">
        <w:t xml:space="preserve">in approved grant funds available for use </w:t>
      </w:r>
      <w:r w:rsidR="001F207F">
        <w:t>through September 2021</w:t>
      </w:r>
      <w:r w:rsidR="000504C2">
        <w:t xml:space="preserve"> and approximately $</w:t>
      </w:r>
      <w:r w:rsidR="004C4EDD">
        <w:t>184,100</w:t>
      </w:r>
      <w:r w:rsidR="000504C2">
        <w:t xml:space="preserve"> of upcoming billable fees pursuant to collaborative arrangements</w:t>
      </w:r>
      <w:r w:rsidRPr="007A4B96">
        <w:t>.</w:t>
      </w:r>
      <w:r w:rsidRPr="007A4B96">
        <w:rPr>
          <w:rFonts w:ascii="CG Times (WN)" w:hAnsi="CG Times (WN)"/>
        </w:rPr>
        <w:t xml:space="preserve"> </w:t>
      </w:r>
      <w:r w:rsidRPr="000504C2">
        <w:rPr>
          <w:rFonts w:ascii="CG Times (WN)" w:hAnsi="CG Times (WN)"/>
        </w:rPr>
        <w:t>Of th</w:t>
      </w:r>
      <w:r w:rsidR="000504C2" w:rsidRPr="000504C2">
        <w:rPr>
          <w:rFonts w:ascii="CG Times (WN)" w:hAnsi="CG Times (WN)"/>
        </w:rPr>
        <w:t>ese</w:t>
      </w:r>
      <w:r w:rsidRPr="007A4B96">
        <w:rPr>
          <w:rFonts w:ascii="CG Times (WN)" w:hAnsi="CG Times (WN)"/>
        </w:rPr>
        <w:t xml:space="preserve"> amount</w:t>
      </w:r>
      <w:r w:rsidR="000504C2">
        <w:rPr>
          <w:rFonts w:ascii="CG Times (WN)" w:hAnsi="CG Times (WN)"/>
        </w:rPr>
        <w:t>s</w:t>
      </w:r>
      <w:r w:rsidRPr="007A4B96">
        <w:rPr>
          <w:rFonts w:ascii="CG Times (WN)" w:hAnsi="CG Times (WN)"/>
        </w:rPr>
        <w:t>, we expect that</w:t>
      </w:r>
      <w:r>
        <w:rPr>
          <w:rFonts w:ascii="CG Times (WN)" w:hAnsi="CG Times (WN)"/>
        </w:rPr>
        <w:t xml:space="preserve"> </w:t>
      </w:r>
      <w:r w:rsidR="004C4EDD">
        <w:rPr>
          <w:rFonts w:ascii="CG Times (WN)" w:hAnsi="CG Times (WN)"/>
        </w:rPr>
        <w:t xml:space="preserve">approximately </w:t>
      </w:r>
      <w:r>
        <w:rPr>
          <w:rFonts w:ascii="CG Times (WN)" w:hAnsi="CG Times (WN)"/>
        </w:rPr>
        <w:t>$</w:t>
      </w:r>
      <w:r w:rsidR="004C4EDD">
        <w:rPr>
          <w:rFonts w:ascii="CG Times (WN)" w:hAnsi="CG Times (WN)"/>
        </w:rPr>
        <w:t>400,800</w:t>
      </w:r>
      <w:r>
        <w:rPr>
          <w:rFonts w:ascii="CG Times (WN)" w:hAnsi="CG Times (WN)"/>
        </w:rPr>
        <w:t xml:space="preserve"> </w:t>
      </w:r>
      <w:r w:rsidRPr="007A4B96">
        <w:rPr>
          <w:rFonts w:ascii="CG Times (WN)" w:hAnsi="CG Times (WN)"/>
        </w:rPr>
        <w:t xml:space="preserve">will be used by us to reimburse third parties who will provide services covered by </w:t>
      </w:r>
      <w:r w:rsidR="000504C2">
        <w:rPr>
          <w:rFonts w:ascii="CG Times (WN)" w:hAnsi="CG Times (WN)"/>
        </w:rPr>
        <w:t xml:space="preserve">our </w:t>
      </w:r>
      <w:r w:rsidRPr="007A4B96">
        <w:rPr>
          <w:rFonts w:ascii="CG Times (WN)" w:hAnsi="CG Times (WN)"/>
        </w:rPr>
        <w:t>grants. See “Results of Operations – Grant and Collaboration Revenues” below for additional details concerning our government grants.</w:t>
      </w:r>
    </w:p>
    <w:p w14:paraId="3FECD77B" w14:textId="77777777" w:rsidR="00925E4B" w:rsidRDefault="00925E4B" w:rsidP="00925E4B">
      <w:pPr>
        <w:rPr>
          <w:rFonts w:ascii="CG Times (WN)" w:hAnsi="CG Times (WN)"/>
        </w:rPr>
      </w:pPr>
    </w:p>
    <w:p w14:paraId="78E948B8" w14:textId="5A03ACF6" w:rsidR="00A34115" w:rsidRPr="001B5698" w:rsidRDefault="00A34115" w:rsidP="00A34115">
      <w:r w:rsidRPr="00D013D7">
        <w:t xml:space="preserve">Members of our executive management team </w:t>
      </w:r>
      <w:r>
        <w:t>are</w:t>
      </w:r>
      <w:r w:rsidRPr="00D013D7">
        <w:t xml:space="preserve"> defer</w:t>
      </w:r>
      <w:r>
        <w:t>ring receipt of</w:t>
      </w:r>
      <w:r w:rsidRPr="00D013D7">
        <w:t xml:space="preserve"> portions of their salaries and </w:t>
      </w:r>
      <w:r>
        <w:t xml:space="preserve">members of our board of directors are deferring receipt of all of their </w:t>
      </w:r>
      <w:r w:rsidRPr="00D013D7">
        <w:t xml:space="preserve">fees in order to help conserve the Company’s cash </w:t>
      </w:r>
      <w:r w:rsidRPr="00F425CA">
        <w:t xml:space="preserve">resources. As of </w:t>
      </w:r>
      <w:r w:rsidR="001F207F">
        <w:t>June</w:t>
      </w:r>
      <w:r w:rsidRPr="00F425CA">
        <w:t xml:space="preserve"> 3</w:t>
      </w:r>
      <w:r w:rsidR="001F207F">
        <w:t>0</w:t>
      </w:r>
      <w:r w:rsidRPr="00F425CA">
        <w:t>, 20</w:t>
      </w:r>
      <w:r>
        <w:t>20</w:t>
      </w:r>
      <w:r w:rsidRPr="00F425CA">
        <w:t>, the accumulated deferrals totaled $</w:t>
      </w:r>
      <w:r w:rsidR="00FC1D1F">
        <w:t>1,972,073</w:t>
      </w:r>
      <w:r w:rsidRPr="00F425CA">
        <w:t xml:space="preserve">. We expect the ongoing deferrals of approximately </w:t>
      </w:r>
      <w:r w:rsidRPr="000504C2">
        <w:t>$</w:t>
      </w:r>
      <w:r w:rsidR="00FC1D1F">
        <w:t>26,600</w:t>
      </w:r>
      <w:r w:rsidRPr="000504C2">
        <w:t xml:space="preserve"> per month for the management salaries to continue until such time as a significant financing event (as determined by the board</w:t>
      </w:r>
      <w:r w:rsidRPr="00D013D7">
        <w:t xml:space="preserve"> of </w:t>
      </w:r>
      <w:r w:rsidRPr="00D013D7">
        <w:lastRenderedPageBreak/>
        <w:t xml:space="preserve">directors) is </w:t>
      </w:r>
      <w:r w:rsidRPr="001B5698">
        <w:t>consummated.</w:t>
      </w:r>
      <w:r w:rsidR="00F65A59" w:rsidRPr="001B5698">
        <w:t xml:space="preserve"> As of the date hereof, we have no agreements as to how and when these obligations will be satisfied, but such action may require payment of cash and/or issuance of equity securities.</w:t>
      </w:r>
    </w:p>
    <w:p w14:paraId="2897AA1D" w14:textId="77777777" w:rsidR="00A34115" w:rsidRPr="001B5698" w:rsidRDefault="00A34115" w:rsidP="00A34115"/>
    <w:p w14:paraId="5D65EA55" w14:textId="0BFC3AA4" w:rsidR="00A34115" w:rsidRDefault="00A34115" w:rsidP="00A34115">
      <w:r w:rsidRPr="0039334E">
        <w:t xml:space="preserve">NIAID has funded the costs of conducting all of our human clinical trials (Phase 1 and Phase 2a) to date for our preventive HIV vaccines, with </w:t>
      </w:r>
      <w:proofErr w:type="spellStart"/>
      <w:r w:rsidRPr="0039334E">
        <w:t>GeoVax</w:t>
      </w:r>
      <w:proofErr w:type="spellEnd"/>
      <w:r w:rsidRPr="0039334E">
        <w:t xml:space="preserve"> incurring certain costs associated with manufacturing the clinical vaccine supplies and other study support. </w:t>
      </w:r>
      <w:r>
        <w:t xml:space="preserve">We expect that </w:t>
      </w:r>
      <w:r w:rsidRPr="0039334E">
        <w:t xml:space="preserve">NIAID </w:t>
      </w:r>
      <w:r>
        <w:t>will also fund</w:t>
      </w:r>
      <w:r w:rsidRPr="0039334E">
        <w:t xml:space="preserve"> the cost of </w:t>
      </w:r>
      <w:r>
        <w:t xml:space="preserve">the planned </w:t>
      </w:r>
      <w:r w:rsidRPr="0039334E">
        <w:t>Phase 1 trial (HVTN 1</w:t>
      </w:r>
      <w:r>
        <w:t>32</w:t>
      </w:r>
      <w:r w:rsidRPr="0039334E">
        <w:t xml:space="preserve">) to further evaluate the safety and immunogenicity </w:t>
      </w:r>
      <w:r w:rsidRPr="000504C2">
        <w:t xml:space="preserve">of adding “protein boost” components to our vaccine, GOVX-B11. We expect HVTN 132 to commence patient enrollment in late 2020. Additionally, we are party to a collaboration with American Gene Technologies International, Inc. (AGT) whereby AGT intends to conduct a Phase 1 human clinical trial with our combined technologies, with the ultimate goal of developing a functional cure for HIV infection.  We expect that AGT will begin the </w:t>
      </w:r>
      <w:r w:rsidR="00F65A59">
        <w:t>P</w:t>
      </w:r>
      <w:r w:rsidRPr="000504C2">
        <w:t>hase 1 trial during 2020. A similar effort is underway with a consortium led by researchers at the University of California, San Francisco (UCSF), using our vaccine as part of a combinational therapy to induce remission in HIV-positive individuals.  We also expect this program to enter clinical trials during 2020.</w:t>
      </w:r>
      <w:r w:rsidR="000504C2">
        <w:t xml:space="preserve">  However, each of these programs could be delayed as a result of the ongoing COVID-19 pandemic.</w:t>
      </w:r>
    </w:p>
    <w:p w14:paraId="0096338F" w14:textId="77777777" w:rsidR="007A4B96" w:rsidRDefault="007A4B96" w:rsidP="000A55AE"/>
    <w:p w14:paraId="5643FAFF" w14:textId="731C4CCE" w:rsidR="00612B10" w:rsidRDefault="00612B10" w:rsidP="000A55AE">
      <w:r w:rsidRPr="00612B10">
        <w:t xml:space="preserve">Net cash used in investing activities was </w:t>
      </w:r>
      <w:r w:rsidR="00D503C2">
        <w:t>$</w:t>
      </w:r>
      <w:r w:rsidR="00D3101C">
        <w:t>-0-</w:t>
      </w:r>
      <w:r w:rsidR="00D503C2">
        <w:t xml:space="preserve"> and </w:t>
      </w:r>
      <w:r w:rsidR="0024365D">
        <w:t>$</w:t>
      </w:r>
      <w:r w:rsidR="00CA7960">
        <w:t>4,272</w:t>
      </w:r>
      <w:r w:rsidRPr="00612B10">
        <w:t xml:space="preserve"> for t</w:t>
      </w:r>
      <w:r>
        <w:t xml:space="preserve">he </w:t>
      </w:r>
      <w:r w:rsidR="00B02073">
        <w:t>six</w:t>
      </w:r>
      <w:r>
        <w:t>-month periods</w:t>
      </w:r>
      <w:r w:rsidRPr="00612B10">
        <w:t xml:space="preserve"> ended </w:t>
      </w:r>
      <w:r w:rsidR="00B02073">
        <w:t>June</w:t>
      </w:r>
      <w:r>
        <w:t> 3</w:t>
      </w:r>
      <w:r w:rsidR="00B02073">
        <w:t>0</w:t>
      </w:r>
      <w:r>
        <w:t>, 20</w:t>
      </w:r>
      <w:r w:rsidR="00D503C2">
        <w:t>20</w:t>
      </w:r>
      <w:r>
        <w:t xml:space="preserve"> and 201</w:t>
      </w:r>
      <w:r w:rsidR="00D503C2">
        <w:t>9</w:t>
      </w:r>
      <w:r w:rsidRPr="00612B10">
        <w:t>, respectively. Our investing activities have consisted predominantly of capital expenditures.</w:t>
      </w:r>
    </w:p>
    <w:p w14:paraId="71C14A4D" w14:textId="77777777" w:rsidR="000A55AE" w:rsidRPr="00612B10" w:rsidRDefault="000A55AE" w:rsidP="000A55AE"/>
    <w:p w14:paraId="0CB09D15" w14:textId="66626710" w:rsidR="00A6350E" w:rsidRDefault="00612B10" w:rsidP="000A55AE">
      <w:r w:rsidRPr="00612B10">
        <w:t>Net cash provided by financing activities was</w:t>
      </w:r>
      <w:r w:rsidR="0024365D">
        <w:t xml:space="preserve"> </w:t>
      </w:r>
      <w:r w:rsidR="00D503C2">
        <w:t>$</w:t>
      </w:r>
      <w:r w:rsidR="00D3101C">
        <w:t>1,352,834</w:t>
      </w:r>
      <w:r w:rsidR="00D503C2">
        <w:t xml:space="preserve"> and </w:t>
      </w:r>
      <w:r w:rsidR="0024365D">
        <w:t>$</w:t>
      </w:r>
      <w:r w:rsidR="00B02073">
        <w:t>734,791</w:t>
      </w:r>
      <w:r w:rsidRPr="00612B10">
        <w:t xml:space="preserve"> for t</w:t>
      </w:r>
      <w:r>
        <w:t xml:space="preserve">he </w:t>
      </w:r>
      <w:r w:rsidR="00B02073">
        <w:t>six</w:t>
      </w:r>
      <w:r>
        <w:t>-month periods</w:t>
      </w:r>
      <w:r w:rsidRPr="00612B10">
        <w:t xml:space="preserve"> ended </w:t>
      </w:r>
      <w:r w:rsidR="00B02073">
        <w:t>June</w:t>
      </w:r>
      <w:r>
        <w:t> 3</w:t>
      </w:r>
      <w:r w:rsidR="00B02073">
        <w:t>0</w:t>
      </w:r>
      <w:r>
        <w:t>, 20</w:t>
      </w:r>
      <w:r w:rsidR="00D503C2">
        <w:t>20</w:t>
      </w:r>
      <w:r>
        <w:t xml:space="preserve"> and 201</w:t>
      </w:r>
      <w:r w:rsidR="00D503C2">
        <w:t>9</w:t>
      </w:r>
      <w:r w:rsidRPr="00612B10">
        <w:t>, respectively</w:t>
      </w:r>
      <w:r>
        <w:t xml:space="preserve">. </w:t>
      </w:r>
      <w:r w:rsidR="007227E4">
        <w:t xml:space="preserve">Net cash provided by financing activities during the </w:t>
      </w:r>
      <w:r w:rsidR="00D503C2">
        <w:t>2020</w:t>
      </w:r>
      <w:r w:rsidR="007227E4">
        <w:t xml:space="preserve"> period relates to the sale of shares of our Series </w:t>
      </w:r>
      <w:r w:rsidR="00D503C2">
        <w:t>J</w:t>
      </w:r>
      <w:r w:rsidR="007227E4">
        <w:t xml:space="preserve"> convertible preferred stock </w:t>
      </w:r>
      <w:r w:rsidR="00D503C2">
        <w:t xml:space="preserve">for net proceeds of </w:t>
      </w:r>
      <w:r w:rsidR="007227E4">
        <w:t>$</w:t>
      </w:r>
      <w:r w:rsidR="00D503C2">
        <w:t>300</w:t>
      </w:r>
      <w:r w:rsidR="007227E4">
        <w:t>,000</w:t>
      </w:r>
      <w:r w:rsidR="00682A5E">
        <w:t>, $170,200 of PPP loan proceeds (see discussion below), $</w:t>
      </w:r>
      <w:r w:rsidR="00D3101C">
        <w:t>888,500</w:t>
      </w:r>
      <w:r w:rsidR="00682A5E">
        <w:t xml:space="preserve"> of net proceeds from our bridge financing (see discussion below),</w:t>
      </w:r>
      <w:r w:rsidR="007227E4">
        <w:t xml:space="preserve"> and </w:t>
      </w:r>
      <w:r w:rsidR="00D503C2">
        <w:t>$</w:t>
      </w:r>
      <w:r w:rsidR="00682A5E">
        <w:t>5,866</w:t>
      </w:r>
      <w:r w:rsidR="00D503C2">
        <w:t xml:space="preserve"> in principal repayments toward </w:t>
      </w:r>
      <w:r w:rsidR="007227E4">
        <w:rPr>
          <w:rFonts w:ascii="CG Times (WN)" w:hAnsi="CG Times (WN)"/>
        </w:rPr>
        <w:t>the GRA Note</w:t>
      </w:r>
      <w:r w:rsidR="007227E4" w:rsidRPr="007A4B96">
        <w:t>.</w:t>
      </w:r>
      <w:r w:rsidR="007227E4">
        <w:t xml:space="preserve">  Net cash provided by financing activities during the 2019 period relates to the sale of shares of our Series G convertible preferred stock </w:t>
      </w:r>
      <w:r w:rsidR="003705E9">
        <w:t xml:space="preserve">for net proceeds of </w:t>
      </w:r>
      <w:r w:rsidR="007227E4">
        <w:t>$</w:t>
      </w:r>
      <w:r w:rsidR="00B02073">
        <w:t>7</w:t>
      </w:r>
      <w:r w:rsidR="007227E4">
        <w:t>40,000</w:t>
      </w:r>
      <w:r w:rsidR="003705E9">
        <w:t xml:space="preserve"> </w:t>
      </w:r>
      <w:r w:rsidR="007227E4">
        <w:t>and $</w:t>
      </w:r>
      <w:r w:rsidR="00B02073">
        <w:t>5,209</w:t>
      </w:r>
      <w:r w:rsidR="007227E4">
        <w:t xml:space="preserve"> in </w:t>
      </w:r>
      <w:r w:rsidR="00A34115">
        <w:t xml:space="preserve">principal </w:t>
      </w:r>
      <w:r w:rsidR="007227E4">
        <w:t>repayments toward the GRA Note.</w:t>
      </w:r>
    </w:p>
    <w:p w14:paraId="07712158" w14:textId="77777777" w:rsidR="00B04966" w:rsidRDefault="00B04966" w:rsidP="000A55AE"/>
    <w:p w14:paraId="2A9A9664" w14:textId="0038ECB1" w:rsidR="00074805" w:rsidRDefault="00074805" w:rsidP="00074805">
      <w:r>
        <w:rPr>
          <w:iCs/>
        </w:rPr>
        <w:t xml:space="preserve">On April 17, 2020, we received a $170,200 bank loan backed by the United States Small Business Administration pursuant to the Paycheck Protection Program (PPP) provisions of the CARES Act. </w:t>
      </w:r>
      <w:r>
        <w:t xml:space="preserve">The loan bears an annual interest rate of one percent and is due April 17, 2022. No payments of principal or interest will be due until 180 days after the disbursement date.  Commencing November 17, 2020, monthly payments of $9,578.16 will be due. Amounts due may be prepaid without penalty. We </w:t>
      </w:r>
      <w:r w:rsidR="00F52137">
        <w:t>intend to</w:t>
      </w:r>
      <w:r>
        <w:t xml:space="preserve"> apply to the lender to have the principal amount reduced upon providing qualifying information regarding eligible expenses.</w:t>
      </w:r>
    </w:p>
    <w:p w14:paraId="547F0790" w14:textId="7170B7DB" w:rsidR="00074805" w:rsidRDefault="00074805" w:rsidP="000A55AE"/>
    <w:p w14:paraId="18C79E97" w14:textId="14CC36DD" w:rsidR="00B02073" w:rsidRDefault="00163B8F" w:rsidP="000A55AE">
      <w:r w:rsidRPr="00210E53">
        <w:t xml:space="preserve">On June </w:t>
      </w:r>
      <w:r>
        <w:t>26</w:t>
      </w:r>
      <w:r w:rsidRPr="00210E53">
        <w:t xml:space="preserve"> 2020, </w:t>
      </w:r>
      <w:r>
        <w:t>we</w:t>
      </w:r>
      <w:r w:rsidRPr="00210E53">
        <w:t xml:space="preserve"> entered into a Securities Purchase Agreement with </w:t>
      </w:r>
      <w:r w:rsidR="00F65A59">
        <w:t xml:space="preserve">two </w:t>
      </w:r>
      <w:r>
        <w:t>institutional investor</w:t>
      </w:r>
      <w:r w:rsidR="00F65A59">
        <w:t>s</w:t>
      </w:r>
      <w:r>
        <w:t>,</w:t>
      </w:r>
      <w:r w:rsidRPr="00210E53">
        <w:t xml:space="preserve"> pursuant to which </w:t>
      </w:r>
      <w:r>
        <w:t>we</w:t>
      </w:r>
      <w:r w:rsidRPr="00210E53">
        <w:t xml:space="preserve"> received </w:t>
      </w:r>
      <w:r>
        <w:t xml:space="preserve">gross proceeds of </w:t>
      </w:r>
      <w:r w:rsidRPr="00210E53">
        <w:t>$1,050,00</w:t>
      </w:r>
      <w:r w:rsidR="00D3101C">
        <w:t>0</w:t>
      </w:r>
      <w:r w:rsidRPr="00210E53">
        <w:t xml:space="preserve"> in exchange for the issuance of:</w:t>
      </w:r>
      <w:r>
        <w:t xml:space="preserve">(i) </w:t>
      </w:r>
      <w:r w:rsidRPr="00B10608">
        <w:t>5% Original Issue Discount Senior Secured Convertible Debenture</w:t>
      </w:r>
      <w:r w:rsidR="00EC50DD">
        <w:t>s</w:t>
      </w:r>
      <w:r w:rsidRPr="00B10608">
        <w:t xml:space="preserve"> (the “</w:t>
      </w:r>
      <w:r w:rsidR="00F65A59">
        <w:t xml:space="preserve">Convertible </w:t>
      </w:r>
      <w:r w:rsidRPr="00B10608">
        <w:t>Debenture</w:t>
      </w:r>
      <w:r w:rsidR="00F65A59">
        <w:t>s</w:t>
      </w:r>
      <w:r w:rsidRPr="00B10608">
        <w:t xml:space="preserve">”) in the </w:t>
      </w:r>
      <w:r w:rsidR="00EC50DD">
        <w:t xml:space="preserve">aggregate </w:t>
      </w:r>
      <w:r w:rsidRPr="00B10608">
        <w:t>principal amount of $1,200,000; and</w:t>
      </w:r>
      <w:r>
        <w:t xml:space="preserve"> (ii) </w:t>
      </w:r>
      <w:r w:rsidRPr="00B10608">
        <w:t>five-year warrant</w:t>
      </w:r>
      <w:r w:rsidR="00EC50DD">
        <w:t>s</w:t>
      </w:r>
      <w:r w:rsidRPr="00B10608">
        <w:t xml:space="preserve"> (the “</w:t>
      </w:r>
      <w:r w:rsidR="00F65A59">
        <w:t xml:space="preserve">June 2020 </w:t>
      </w:r>
      <w:r w:rsidRPr="00B10608">
        <w:t>Warrant</w:t>
      </w:r>
      <w:r w:rsidR="00F65A59">
        <w:t>s</w:t>
      </w:r>
      <w:r w:rsidRPr="00B10608">
        <w:t>”) to purchase</w:t>
      </w:r>
      <w:r w:rsidR="00EC50DD">
        <w:t xml:space="preserve"> an aggregate of</w:t>
      </w:r>
      <w:r w:rsidRPr="00B10608">
        <w:t xml:space="preserve"> 2,400,000 shares of the </w:t>
      </w:r>
      <w:r>
        <w:t>our</w:t>
      </w:r>
      <w:r w:rsidRPr="00B10608">
        <w:t xml:space="preserve"> common stock at an exercise price of $0.50 per share.</w:t>
      </w:r>
      <w:r>
        <w:t xml:space="preserve"> </w:t>
      </w:r>
      <w:r w:rsidR="00D3101C">
        <w:t xml:space="preserve">Net proceeds after deducting the original issue discount, finder’s fee and other debt issuance costs was $888,500.  </w:t>
      </w:r>
      <w:r>
        <w:t xml:space="preserve">The </w:t>
      </w:r>
      <w:r w:rsidR="00F65A59">
        <w:t xml:space="preserve">Convertible </w:t>
      </w:r>
      <w:r>
        <w:t>Debenture</w:t>
      </w:r>
      <w:r w:rsidR="00F65A59">
        <w:t>s</w:t>
      </w:r>
      <w:r>
        <w:t xml:space="preserve"> </w:t>
      </w:r>
      <w:r w:rsidR="00F65A59">
        <w:t>are</w:t>
      </w:r>
      <w:r>
        <w:t xml:space="preserve"> secured by substantially all of the Company’s assets. </w:t>
      </w:r>
      <w:r w:rsidRPr="00210E53">
        <w:t xml:space="preserve">The </w:t>
      </w:r>
      <w:r w:rsidR="00F65A59">
        <w:t xml:space="preserve">Convertible </w:t>
      </w:r>
      <w:r w:rsidRPr="00210E53">
        <w:t>Debenture</w:t>
      </w:r>
      <w:r w:rsidR="00F65A59">
        <w:t>s</w:t>
      </w:r>
      <w:r w:rsidRPr="00210E53">
        <w:t xml:space="preserve"> mature in </w:t>
      </w:r>
      <w:r>
        <w:t>twelve</w:t>
      </w:r>
      <w:r w:rsidRPr="00210E53">
        <w:t xml:space="preserve"> months, bear interest </w:t>
      </w:r>
      <w:r>
        <w:t xml:space="preserve">at a </w:t>
      </w:r>
      <w:r w:rsidRPr="00210E53">
        <w:t xml:space="preserve">rate of 5% per annum, and </w:t>
      </w:r>
      <w:r w:rsidR="00F65A59">
        <w:t>are</w:t>
      </w:r>
      <w:r w:rsidRPr="00210E53">
        <w:t xml:space="preserve"> convertible into </w:t>
      </w:r>
      <w:r>
        <w:t xml:space="preserve">our </w:t>
      </w:r>
      <w:r w:rsidRPr="00210E53">
        <w:t xml:space="preserve">common stock </w:t>
      </w:r>
      <w:r>
        <w:t>after</w:t>
      </w:r>
      <w:r w:rsidRPr="00210E53">
        <w:t xml:space="preserve"> six months at an initial conversion price of $0.50 per share.  Interest is payable quarterly in cash, or if certain conditions are met, </w:t>
      </w:r>
      <w:r>
        <w:t>we</w:t>
      </w:r>
      <w:r w:rsidRPr="00210E53">
        <w:t xml:space="preserve"> may pay accrued interest in shares of </w:t>
      </w:r>
      <w:r>
        <w:t xml:space="preserve">our </w:t>
      </w:r>
      <w:r w:rsidRPr="00210E53">
        <w:t xml:space="preserve">common stock. The </w:t>
      </w:r>
      <w:r w:rsidR="00F65A59">
        <w:t xml:space="preserve">Convertible </w:t>
      </w:r>
      <w:r w:rsidRPr="00210E53">
        <w:t>Debenture</w:t>
      </w:r>
      <w:r w:rsidR="00F65A59">
        <w:t>s</w:t>
      </w:r>
      <w:r w:rsidRPr="00210E53">
        <w:t xml:space="preserve"> may be prepaid at any time for the first 90 days at face value plus accrued interest.  From day 91 through day 180, the </w:t>
      </w:r>
      <w:r w:rsidR="00F65A59">
        <w:t xml:space="preserve">Convertible </w:t>
      </w:r>
      <w:r w:rsidRPr="00210E53">
        <w:t>Debenture</w:t>
      </w:r>
      <w:r w:rsidR="00F65A59">
        <w:t>s</w:t>
      </w:r>
      <w:r w:rsidRPr="00210E53">
        <w:t xml:space="preserve"> may be prepaid in an amount equal to 110% of the principal amount plus accrued interest.  From day 181 through day 365, it may be prepaid in an amount equal to 120% of the principal amount plus accrued interest.</w:t>
      </w:r>
      <w:r>
        <w:t xml:space="preserve"> </w:t>
      </w:r>
      <w:r w:rsidRPr="00210E53">
        <w:t xml:space="preserve">The </w:t>
      </w:r>
      <w:r w:rsidR="00F65A59">
        <w:t xml:space="preserve">Convertible </w:t>
      </w:r>
      <w:r w:rsidRPr="00210E53">
        <w:t>Debenture</w:t>
      </w:r>
      <w:r w:rsidR="00F65A59">
        <w:t>s</w:t>
      </w:r>
      <w:r w:rsidRPr="00210E53">
        <w:t xml:space="preserve"> will convert into common stock upon </w:t>
      </w:r>
      <w:r>
        <w:t>our</w:t>
      </w:r>
      <w:r w:rsidRPr="00210E53">
        <w:t xml:space="preserve"> consummation of a public offering of common stock with gross proceeds </w:t>
      </w:r>
      <w:r>
        <w:t>of</w:t>
      </w:r>
      <w:r w:rsidRPr="00210E53">
        <w:t xml:space="preserve"> $6,000,000 </w:t>
      </w:r>
      <w:r>
        <w:t xml:space="preserve">or more, and </w:t>
      </w:r>
      <w:r w:rsidRPr="00210E53">
        <w:t xml:space="preserve">which results in the listing of </w:t>
      </w:r>
      <w:r>
        <w:t xml:space="preserve">our </w:t>
      </w:r>
      <w:r w:rsidRPr="00210E53">
        <w:t xml:space="preserve">common stock on a national securities exchange.  The conversion price is equal to the lower of (i) </w:t>
      </w:r>
      <w:r w:rsidR="00202722">
        <w:t>$0.50 per share or</w:t>
      </w:r>
      <w:r w:rsidRPr="00210E53">
        <w:t xml:space="preserve"> (ii) 80% of the offering price.</w:t>
      </w:r>
    </w:p>
    <w:p w14:paraId="6DCD8945" w14:textId="77777777" w:rsidR="00B02073" w:rsidRDefault="00B02073" w:rsidP="000A55AE"/>
    <w:p w14:paraId="26C14AD7" w14:textId="3D837556" w:rsidR="001B694B" w:rsidRDefault="00A34115" w:rsidP="00DE7280">
      <w:r w:rsidRPr="00BC4931">
        <w:t xml:space="preserve">As of </w:t>
      </w:r>
      <w:r w:rsidR="00B02073">
        <w:t>June</w:t>
      </w:r>
      <w:r w:rsidRPr="00BC4931">
        <w:t xml:space="preserve"> 3</w:t>
      </w:r>
      <w:r w:rsidR="00B02073">
        <w:t>0</w:t>
      </w:r>
      <w:r>
        <w:t>, 2020</w:t>
      </w:r>
      <w:r w:rsidRPr="00BC4931">
        <w:t>, we had an accumulated deficit of $</w:t>
      </w:r>
      <w:r w:rsidR="00D3101C">
        <w:t>43.9</w:t>
      </w:r>
      <w:r w:rsidRPr="00BC4931">
        <w:t xml:space="preserve"> million.</w:t>
      </w:r>
      <w:r w:rsidRPr="00DD1724">
        <w:t xml:space="preserve"> </w:t>
      </w:r>
      <w:r>
        <w:t>W</w:t>
      </w:r>
      <w:r w:rsidRPr="00BC4931">
        <w:t xml:space="preserve">e expect for the foreseeable future </w:t>
      </w:r>
      <w:r>
        <w:t xml:space="preserve">we will continue to operate at a loss. </w:t>
      </w:r>
      <w:r w:rsidRPr="00090ABD">
        <w:t xml:space="preserve">The amount of the accumulated deficit will continue to increase, as it will be expensive to continue </w:t>
      </w:r>
      <w:r>
        <w:t xml:space="preserve">our </w:t>
      </w:r>
      <w:r w:rsidRPr="00090ABD">
        <w:t>res</w:t>
      </w:r>
      <w:r>
        <w:t>earch and development efforts</w:t>
      </w:r>
      <w:r w:rsidRPr="00090ABD">
        <w:t xml:space="preserve">. </w:t>
      </w:r>
      <w:r w:rsidRPr="009E6652">
        <w:t>We will continue to require substantial funds</w:t>
      </w:r>
      <w:r>
        <w:t xml:space="preserve"> to continue our activities and cannot predict the outcome of our efforts.</w:t>
      </w:r>
      <w:r w:rsidRPr="00640BA0">
        <w:t xml:space="preserve"> </w:t>
      </w:r>
      <w:r>
        <w:t xml:space="preserve">We have received a “going concern” opinion from our independent registered public </w:t>
      </w:r>
      <w:r w:rsidR="00EF756C">
        <w:t xml:space="preserve">accounting firm </w:t>
      </w:r>
      <w:r>
        <w:t xml:space="preserve">reflecting substantial doubt about our ability to continue as a going concern. </w:t>
      </w:r>
      <w:r w:rsidRPr="009E6652">
        <w:t xml:space="preserve">We believe that our existing cash resources, combined with </w:t>
      </w:r>
      <w:r>
        <w:t>funding</w:t>
      </w:r>
      <w:r w:rsidRPr="009E6652">
        <w:t xml:space="preserve"> </w:t>
      </w:r>
      <w:r w:rsidRPr="00F52137">
        <w:t xml:space="preserve">from existing government grants and </w:t>
      </w:r>
      <w:r w:rsidR="000504C2" w:rsidRPr="00F52137">
        <w:t>collaborative arrangements</w:t>
      </w:r>
      <w:r w:rsidRPr="00F52137">
        <w:t xml:space="preserve">, will be sufficient to fund our planned operations into the </w:t>
      </w:r>
      <w:r w:rsidR="00F52137" w:rsidRPr="00F52137">
        <w:t>fourth</w:t>
      </w:r>
      <w:r w:rsidRPr="00F52137">
        <w:t xml:space="preserve"> quarter of 2020. We will require additional funds to continue our planned operations beyond that date. We are currently seeking sources</w:t>
      </w:r>
      <w:r w:rsidRPr="00131E66">
        <w:t xml:space="preserve"> of capital through</w:t>
      </w:r>
      <w:r w:rsidRPr="00CF5AEA">
        <w:t xml:space="preserve"> additional government grant programs and clinical trial support, and we </w:t>
      </w:r>
      <w:r>
        <w:t>plan to</w:t>
      </w:r>
      <w:r w:rsidRPr="00CF5AEA">
        <w:t xml:space="preserve"> conduct </w:t>
      </w:r>
      <w:r>
        <w:t xml:space="preserve">at least one </w:t>
      </w:r>
      <w:r w:rsidRPr="00CF5AEA">
        <w:t xml:space="preserve">additional offering of our equity securities. </w:t>
      </w:r>
      <w:r>
        <w:t>A</w:t>
      </w:r>
      <w:r w:rsidRPr="00CF5AEA">
        <w:t>dditional funding may not be available on favorable terms or at all and if we fail to obtain additional capital when needed, we may be required to delay, scale back, or eliminate some or</w:t>
      </w:r>
      <w:r w:rsidRPr="009E6652">
        <w:t xml:space="preserve"> all of our research and development programs as well as reduce our general and administrative expenses.</w:t>
      </w:r>
    </w:p>
    <w:p w14:paraId="6452FE9C" w14:textId="77777777" w:rsidR="00B275EC" w:rsidRDefault="00B275EC" w:rsidP="00DE7280"/>
    <w:p w14:paraId="1A1634F7" w14:textId="47D365D2" w:rsidR="00FE073F" w:rsidRDefault="00FE073F" w:rsidP="000A55AE">
      <w:pPr>
        <w:rPr>
          <w:i/>
        </w:rPr>
      </w:pPr>
      <w:r w:rsidRPr="006C115A">
        <w:rPr>
          <w:i/>
        </w:rPr>
        <w:t>Off-Balance Sheet Arrangements</w:t>
      </w:r>
    </w:p>
    <w:p w14:paraId="13F61351" w14:textId="77777777" w:rsidR="000A55AE" w:rsidRPr="006C115A" w:rsidRDefault="000A55AE" w:rsidP="000A55AE">
      <w:pPr>
        <w:rPr>
          <w:i/>
        </w:rPr>
      </w:pPr>
    </w:p>
    <w:p w14:paraId="1E04909D" w14:textId="624FBEB9" w:rsidR="00D745F2" w:rsidRDefault="00D745F2" w:rsidP="000A55AE">
      <w:pPr>
        <w:rPr>
          <w:color w:val="000000"/>
        </w:rPr>
      </w:pPr>
      <w:r>
        <w:rPr>
          <w:color w:val="000000"/>
        </w:rPr>
        <w:t>We have no off-balance sheet arrangements that are likely or reasonably likely to have a material effect on our financial condition or results of operations.</w:t>
      </w:r>
    </w:p>
    <w:p w14:paraId="056008B7" w14:textId="503B08B4" w:rsidR="00AC34FC" w:rsidRDefault="00AC34FC" w:rsidP="000A55AE"/>
    <w:p w14:paraId="6DC10263" w14:textId="7018B1FF" w:rsidR="00C212D3" w:rsidRPr="001C6303" w:rsidRDefault="009E4E85" w:rsidP="000A55AE">
      <w:pPr>
        <w:pStyle w:val="BodyTitle"/>
        <w:spacing w:after="0"/>
        <w:rPr>
          <w:b/>
          <w:u w:val="none"/>
        </w:rPr>
      </w:pPr>
      <w:r w:rsidRPr="001C6303">
        <w:rPr>
          <w:b/>
          <w:u w:val="none"/>
        </w:rPr>
        <w:t>Results of Operations</w:t>
      </w:r>
    </w:p>
    <w:p w14:paraId="176DFFB3" w14:textId="77777777" w:rsidR="000A55AE" w:rsidRDefault="000A55AE" w:rsidP="000A55AE">
      <w:pPr>
        <w:pStyle w:val="BodyText"/>
        <w:spacing w:after="0"/>
        <w:rPr>
          <w:rStyle w:val="BodySubtitleChar"/>
        </w:rPr>
      </w:pPr>
    </w:p>
    <w:p w14:paraId="208573EC" w14:textId="14B8FA7B" w:rsidR="004A3014" w:rsidRPr="004A3014" w:rsidRDefault="0007631A" w:rsidP="000A55AE">
      <w:pPr>
        <w:pStyle w:val="BodyText"/>
        <w:spacing w:after="0"/>
      </w:pPr>
      <w:r w:rsidRPr="004A3014">
        <w:rPr>
          <w:rStyle w:val="BodySubtitleChar"/>
        </w:rPr>
        <w:t>Net Loss</w:t>
      </w:r>
    </w:p>
    <w:p w14:paraId="365E393A" w14:textId="77777777" w:rsidR="000A55AE" w:rsidRDefault="000A55AE" w:rsidP="000A55AE">
      <w:pPr>
        <w:pStyle w:val="BodyText"/>
        <w:spacing w:after="0"/>
      </w:pPr>
    </w:p>
    <w:p w14:paraId="634B040F" w14:textId="0B162451" w:rsidR="00B02073" w:rsidRPr="00EA0483" w:rsidRDefault="00B02073" w:rsidP="00B02073">
      <w:pPr>
        <w:pStyle w:val="BodyText"/>
        <w:spacing w:after="0"/>
        <w:rPr>
          <w:rStyle w:val="BodySubtitleChar"/>
          <w:i w:val="0"/>
          <w:iCs w:val="0"/>
        </w:rPr>
      </w:pPr>
      <w:r w:rsidRPr="001C6303">
        <w:t>We recorded a net loss of $</w:t>
      </w:r>
      <w:r w:rsidR="00D3101C">
        <w:t>455,204</w:t>
      </w:r>
      <w:r w:rsidRPr="001C6303">
        <w:t xml:space="preserve"> for the three</w:t>
      </w:r>
      <w:r>
        <w:t>-</w:t>
      </w:r>
      <w:r w:rsidRPr="001C6303">
        <w:t>month</w:t>
      </w:r>
      <w:r>
        <w:t xml:space="preserve"> period</w:t>
      </w:r>
      <w:r w:rsidRPr="001C6303">
        <w:t xml:space="preserve"> ended </w:t>
      </w:r>
      <w:r>
        <w:t>June 30, 2020, as compared to $654,148</w:t>
      </w:r>
      <w:r w:rsidRPr="001C6303">
        <w:t xml:space="preserve"> for the three</w:t>
      </w:r>
      <w:r>
        <w:t>-</w:t>
      </w:r>
      <w:r w:rsidRPr="001C6303">
        <w:t>month</w:t>
      </w:r>
      <w:r>
        <w:t xml:space="preserve"> period</w:t>
      </w:r>
      <w:r w:rsidRPr="001C6303">
        <w:t xml:space="preserve"> ended </w:t>
      </w:r>
      <w:r>
        <w:t>June 30, 2019</w:t>
      </w:r>
      <w:r w:rsidRPr="001C6303">
        <w:t>.</w:t>
      </w:r>
      <w:r w:rsidRPr="00884B35">
        <w:t xml:space="preserve"> </w:t>
      </w:r>
      <w:r>
        <w:t>For the six-month period ended June 30, 2020, we recorded a net loss of $</w:t>
      </w:r>
      <w:r w:rsidR="00D3101C">
        <w:t>1,050,898</w:t>
      </w:r>
      <w:r>
        <w:t xml:space="preserve">, as compared to $1,355,602 for the six-month period ended June 30, 2019. </w:t>
      </w:r>
      <w:r w:rsidRPr="001C6303">
        <w:t xml:space="preserve">Our net losses </w:t>
      </w:r>
      <w:r>
        <w:t xml:space="preserve">will </w:t>
      </w:r>
      <w:r w:rsidRPr="001C6303">
        <w:t>typically fluctuate due to the timing of activities and related costs associated with our vaccine research and development activities and our general and administrative costs, as described in more detail below.</w:t>
      </w:r>
    </w:p>
    <w:p w14:paraId="70D87118" w14:textId="77777777" w:rsidR="00B02073" w:rsidRDefault="00B02073" w:rsidP="000A55AE">
      <w:pPr>
        <w:pStyle w:val="BodyText"/>
        <w:spacing w:after="0"/>
        <w:rPr>
          <w:rStyle w:val="BodySubtitleChar"/>
        </w:rPr>
      </w:pPr>
    </w:p>
    <w:p w14:paraId="7B8B4C98" w14:textId="57C647B3" w:rsidR="004A3014" w:rsidRPr="008C5B79" w:rsidRDefault="0007631A" w:rsidP="000A55AE">
      <w:pPr>
        <w:pStyle w:val="BodyText"/>
        <w:spacing w:after="0"/>
      </w:pPr>
      <w:r w:rsidRPr="004A3014">
        <w:rPr>
          <w:rStyle w:val="BodySubtitleChar"/>
        </w:rPr>
        <w:t>Grant</w:t>
      </w:r>
      <w:r w:rsidR="009126EB">
        <w:rPr>
          <w:rStyle w:val="BodySubtitleChar"/>
        </w:rPr>
        <w:t xml:space="preserve"> and Collaboration</w:t>
      </w:r>
      <w:r w:rsidRPr="004A3014">
        <w:rPr>
          <w:rStyle w:val="BodySubtitleChar"/>
        </w:rPr>
        <w:t xml:space="preserve"> Revenue</w:t>
      </w:r>
      <w:r w:rsidR="009F36C6">
        <w:rPr>
          <w:rStyle w:val="BodySubtitleChar"/>
        </w:rPr>
        <w:t>s</w:t>
      </w:r>
    </w:p>
    <w:p w14:paraId="5F061850" w14:textId="554EEBD1" w:rsidR="000A55AE" w:rsidRDefault="000A55AE" w:rsidP="000A55AE">
      <w:pPr>
        <w:pStyle w:val="BodyText"/>
        <w:spacing w:after="0"/>
      </w:pPr>
    </w:p>
    <w:p w14:paraId="5B3B9277" w14:textId="3627BB12" w:rsidR="00B02073" w:rsidRDefault="00B02073" w:rsidP="00B02073">
      <w:pPr>
        <w:pStyle w:val="BodyText"/>
        <w:spacing w:after="0"/>
      </w:pPr>
      <w:r w:rsidRPr="00184417">
        <w:t>During the three</w:t>
      </w:r>
      <w:r>
        <w:t>-month</w:t>
      </w:r>
      <w:r w:rsidRPr="00184417">
        <w:t xml:space="preserve"> </w:t>
      </w:r>
      <w:r>
        <w:t xml:space="preserve">and six-month periods ended June 30, 2020, we </w:t>
      </w:r>
      <w:r w:rsidRPr="00184417">
        <w:t>recorded</w:t>
      </w:r>
      <w:r>
        <w:t xml:space="preserve"> </w:t>
      </w:r>
      <w:r w:rsidRPr="00E16565">
        <w:t>grant and collaboration</w:t>
      </w:r>
      <w:r>
        <w:t xml:space="preserve"> revenues of $</w:t>
      </w:r>
      <w:r w:rsidR="00174224">
        <w:t>440,602</w:t>
      </w:r>
      <w:r>
        <w:t xml:space="preserve"> and $</w:t>
      </w:r>
      <w:r w:rsidR="00174224">
        <w:t>1,156,579</w:t>
      </w:r>
      <w:r>
        <w:t>, respectively, as compared to $209,941 and $574,173, respectively, during the comparable periods of 2019.</w:t>
      </w:r>
    </w:p>
    <w:p w14:paraId="176EC416" w14:textId="77777777" w:rsidR="00B02073" w:rsidRDefault="00B02073" w:rsidP="00B02073">
      <w:pPr>
        <w:pStyle w:val="BodyText"/>
        <w:spacing w:after="0"/>
      </w:pPr>
    </w:p>
    <w:p w14:paraId="50C36B12" w14:textId="13B5C389" w:rsidR="00DE27BF" w:rsidRDefault="00B02073" w:rsidP="000A55AE">
      <w:r>
        <w:rPr>
          <w:u w:val="single"/>
        </w:rPr>
        <w:t xml:space="preserve">Grant </w:t>
      </w:r>
      <w:r w:rsidRPr="00540E25">
        <w:rPr>
          <w:u w:val="single"/>
        </w:rPr>
        <w:t>Revenues</w:t>
      </w:r>
      <w:r w:rsidRPr="00540E25">
        <w:t xml:space="preserve"> – Our grant revenues relate to grants and contracts from agencies of the U.S. government in support of our vaccine development activities. We record revenue</w:t>
      </w:r>
      <w:r w:rsidR="00F65A59">
        <w:t>s</w:t>
      </w:r>
      <w:r w:rsidRPr="00540E25">
        <w:t xml:space="preserve"> associated with these grants as the related costs and expenses are incurred. The difference in our grant revenues from period to period is dependent upon our expenditures for activities supported by the grants and fluctuates based on the timing of the expenditures. Additional detail concerning our grant revenues and the remaining funds available for use as of </w:t>
      </w:r>
      <w:r>
        <w:t>June</w:t>
      </w:r>
      <w:r w:rsidRPr="00540E25">
        <w:t xml:space="preserve"> 3</w:t>
      </w:r>
      <w:r>
        <w:t>0</w:t>
      </w:r>
      <w:r w:rsidRPr="00540E25">
        <w:t>, 20</w:t>
      </w:r>
      <w:r>
        <w:t>20</w:t>
      </w:r>
      <w:r w:rsidRPr="00540E25">
        <w:t xml:space="preserve"> is presented in the table below.</w:t>
      </w:r>
    </w:p>
    <w:p w14:paraId="6931F9D4" w14:textId="77777777" w:rsidR="00B02073" w:rsidRDefault="00B02073" w:rsidP="00B02073"/>
    <w:tbl>
      <w:tblPr>
        <w:tblStyle w:val="TableGrid1"/>
        <w:tblW w:w="9450" w:type="dxa"/>
        <w:tblLayout w:type="fixed"/>
        <w:tblLook w:val="04A0" w:firstRow="1" w:lastRow="0" w:firstColumn="1" w:lastColumn="0" w:noHBand="0" w:noVBand="1"/>
      </w:tblPr>
      <w:tblGrid>
        <w:gridCol w:w="3150"/>
        <w:gridCol w:w="1350"/>
        <w:gridCol w:w="1035"/>
        <w:gridCol w:w="1147"/>
        <w:gridCol w:w="1148"/>
        <w:gridCol w:w="1620"/>
      </w:tblGrid>
      <w:tr w:rsidR="00B02073" w:rsidRPr="00E90493" w14:paraId="0DDA0593" w14:textId="77777777" w:rsidTr="00B02073">
        <w:tc>
          <w:tcPr>
            <w:tcW w:w="3150" w:type="dxa"/>
            <w:tcBorders>
              <w:top w:val="nil"/>
              <w:left w:val="nil"/>
              <w:bottom w:val="nil"/>
              <w:right w:val="nil"/>
            </w:tcBorders>
          </w:tcPr>
          <w:p w14:paraId="3D4A36D9" w14:textId="77777777" w:rsidR="00B02073" w:rsidRPr="00E90493" w:rsidRDefault="00B02073" w:rsidP="00B02073">
            <w:pPr>
              <w:rPr>
                <w:sz w:val="18"/>
                <w:szCs w:val="18"/>
              </w:rPr>
            </w:pPr>
          </w:p>
        </w:tc>
        <w:tc>
          <w:tcPr>
            <w:tcW w:w="4680" w:type="dxa"/>
            <w:gridSpan w:val="4"/>
            <w:tcBorders>
              <w:top w:val="nil"/>
              <w:left w:val="nil"/>
              <w:bottom w:val="single" w:sz="4" w:space="0" w:color="auto"/>
              <w:right w:val="nil"/>
            </w:tcBorders>
          </w:tcPr>
          <w:p w14:paraId="6326EDD5" w14:textId="77777777" w:rsidR="00B02073" w:rsidRPr="00E90493" w:rsidRDefault="00B02073" w:rsidP="00B02073">
            <w:pPr>
              <w:tabs>
                <w:tab w:val="right" w:pos="989"/>
              </w:tabs>
              <w:jc w:val="center"/>
              <w:rPr>
                <w:sz w:val="18"/>
                <w:szCs w:val="18"/>
              </w:rPr>
            </w:pPr>
            <w:r>
              <w:rPr>
                <w:sz w:val="18"/>
                <w:szCs w:val="18"/>
              </w:rPr>
              <w:t>Grant Revenues Recorded During the Periods:</w:t>
            </w:r>
          </w:p>
        </w:tc>
        <w:tc>
          <w:tcPr>
            <w:tcW w:w="1620" w:type="dxa"/>
            <w:tcBorders>
              <w:top w:val="nil"/>
              <w:left w:val="nil"/>
              <w:bottom w:val="nil"/>
              <w:right w:val="nil"/>
            </w:tcBorders>
          </w:tcPr>
          <w:p w14:paraId="677EFDC3" w14:textId="77777777" w:rsidR="00B02073" w:rsidRPr="00E90493" w:rsidRDefault="00B02073" w:rsidP="00B02073">
            <w:pPr>
              <w:tabs>
                <w:tab w:val="right" w:pos="1246"/>
              </w:tabs>
              <w:jc w:val="center"/>
              <w:rPr>
                <w:sz w:val="18"/>
                <w:szCs w:val="18"/>
              </w:rPr>
            </w:pPr>
            <w:r>
              <w:rPr>
                <w:sz w:val="18"/>
                <w:szCs w:val="18"/>
              </w:rPr>
              <w:t>Unused</w:t>
            </w:r>
            <w:r w:rsidRPr="00E90493">
              <w:rPr>
                <w:sz w:val="18"/>
                <w:szCs w:val="18"/>
              </w:rPr>
              <w:t xml:space="preserve"> Funds</w:t>
            </w:r>
          </w:p>
        </w:tc>
      </w:tr>
      <w:tr w:rsidR="00B02073" w:rsidRPr="00E90493" w14:paraId="5A076534" w14:textId="77777777" w:rsidTr="00B02073">
        <w:tc>
          <w:tcPr>
            <w:tcW w:w="3150" w:type="dxa"/>
            <w:tcBorders>
              <w:top w:val="nil"/>
              <w:left w:val="nil"/>
              <w:bottom w:val="nil"/>
              <w:right w:val="nil"/>
            </w:tcBorders>
          </w:tcPr>
          <w:p w14:paraId="001482D1" w14:textId="77777777" w:rsidR="00B02073" w:rsidRPr="00E90493" w:rsidRDefault="00B02073" w:rsidP="00B02073">
            <w:pPr>
              <w:rPr>
                <w:sz w:val="18"/>
                <w:szCs w:val="18"/>
              </w:rPr>
            </w:pPr>
          </w:p>
        </w:tc>
        <w:tc>
          <w:tcPr>
            <w:tcW w:w="2385" w:type="dxa"/>
            <w:gridSpan w:val="2"/>
            <w:tcBorders>
              <w:top w:val="single" w:sz="4" w:space="0" w:color="auto"/>
              <w:left w:val="nil"/>
              <w:bottom w:val="single" w:sz="4" w:space="0" w:color="auto"/>
              <w:right w:val="nil"/>
            </w:tcBorders>
          </w:tcPr>
          <w:p w14:paraId="2DEB380F" w14:textId="77777777" w:rsidR="00B02073" w:rsidRPr="00E90493" w:rsidRDefault="00B02073" w:rsidP="00B02073">
            <w:pPr>
              <w:tabs>
                <w:tab w:val="right" w:pos="926"/>
                <w:tab w:val="right" w:pos="989"/>
              </w:tabs>
              <w:jc w:val="center"/>
              <w:rPr>
                <w:sz w:val="18"/>
                <w:szCs w:val="18"/>
              </w:rPr>
            </w:pPr>
            <w:r>
              <w:rPr>
                <w:sz w:val="18"/>
                <w:szCs w:val="18"/>
              </w:rPr>
              <w:t xml:space="preserve">Three Months </w:t>
            </w:r>
            <w:r w:rsidRPr="00E90493">
              <w:rPr>
                <w:sz w:val="18"/>
                <w:szCs w:val="18"/>
              </w:rPr>
              <w:t>Ended June 30,</w:t>
            </w:r>
          </w:p>
        </w:tc>
        <w:tc>
          <w:tcPr>
            <w:tcW w:w="2295" w:type="dxa"/>
            <w:gridSpan w:val="2"/>
            <w:tcBorders>
              <w:top w:val="single" w:sz="4" w:space="0" w:color="auto"/>
              <w:left w:val="nil"/>
              <w:bottom w:val="single" w:sz="4" w:space="0" w:color="auto"/>
              <w:right w:val="nil"/>
            </w:tcBorders>
          </w:tcPr>
          <w:p w14:paraId="33D270C4" w14:textId="77777777" w:rsidR="00B02073" w:rsidRPr="00E90493" w:rsidRDefault="00B02073" w:rsidP="00B02073">
            <w:pPr>
              <w:tabs>
                <w:tab w:val="right" w:pos="989"/>
              </w:tabs>
              <w:jc w:val="center"/>
              <w:rPr>
                <w:sz w:val="18"/>
                <w:szCs w:val="18"/>
              </w:rPr>
            </w:pPr>
            <w:r>
              <w:rPr>
                <w:sz w:val="18"/>
                <w:szCs w:val="18"/>
              </w:rPr>
              <w:t>Six Months Ended June 30,</w:t>
            </w:r>
          </w:p>
        </w:tc>
        <w:tc>
          <w:tcPr>
            <w:tcW w:w="1620" w:type="dxa"/>
            <w:tcBorders>
              <w:top w:val="nil"/>
              <w:left w:val="nil"/>
              <w:bottom w:val="nil"/>
              <w:right w:val="nil"/>
            </w:tcBorders>
          </w:tcPr>
          <w:p w14:paraId="2B3CE419" w14:textId="77777777" w:rsidR="00B02073" w:rsidRPr="00E90493" w:rsidRDefault="00B02073" w:rsidP="00B02073">
            <w:pPr>
              <w:tabs>
                <w:tab w:val="right" w:pos="1246"/>
              </w:tabs>
              <w:jc w:val="center"/>
              <w:rPr>
                <w:sz w:val="18"/>
                <w:szCs w:val="18"/>
              </w:rPr>
            </w:pPr>
            <w:r w:rsidRPr="00E90493">
              <w:rPr>
                <w:sz w:val="18"/>
                <w:szCs w:val="18"/>
              </w:rPr>
              <w:t>Available at</w:t>
            </w:r>
          </w:p>
        </w:tc>
      </w:tr>
      <w:tr w:rsidR="00B02073" w:rsidRPr="00E90493" w14:paraId="544B5A31" w14:textId="77777777" w:rsidTr="00B02073">
        <w:tc>
          <w:tcPr>
            <w:tcW w:w="3150" w:type="dxa"/>
            <w:tcBorders>
              <w:top w:val="nil"/>
              <w:left w:val="nil"/>
              <w:bottom w:val="nil"/>
              <w:right w:val="nil"/>
            </w:tcBorders>
          </w:tcPr>
          <w:p w14:paraId="68C258BA" w14:textId="77777777" w:rsidR="00B02073" w:rsidRPr="00E90493" w:rsidRDefault="00B02073" w:rsidP="00B02073">
            <w:pPr>
              <w:rPr>
                <w:sz w:val="18"/>
                <w:szCs w:val="18"/>
              </w:rPr>
            </w:pPr>
          </w:p>
        </w:tc>
        <w:tc>
          <w:tcPr>
            <w:tcW w:w="1350" w:type="dxa"/>
            <w:tcBorders>
              <w:top w:val="single" w:sz="4" w:space="0" w:color="auto"/>
              <w:left w:val="nil"/>
              <w:bottom w:val="single" w:sz="4" w:space="0" w:color="auto"/>
              <w:right w:val="nil"/>
            </w:tcBorders>
          </w:tcPr>
          <w:p w14:paraId="02D2B370" w14:textId="53D67739" w:rsidR="00B02073" w:rsidRPr="00E90493" w:rsidRDefault="00B02073" w:rsidP="00B02073">
            <w:pPr>
              <w:tabs>
                <w:tab w:val="right" w:pos="969"/>
              </w:tabs>
              <w:jc w:val="center"/>
              <w:rPr>
                <w:sz w:val="18"/>
                <w:szCs w:val="18"/>
              </w:rPr>
            </w:pPr>
            <w:r w:rsidRPr="00E90493">
              <w:rPr>
                <w:sz w:val="18"/>
                <w:szCs w:val="18"/>
              </w:rPr>
              <w:t>20</w:t>
            </w:r>
            <w:r>
              <w:rPr>
                <w:sz w:val="18"/>
                <w:szCs w:val="18"/>
              </w:rPr>
              <w:t>20</w:t>
            </w:r>
          </w:p>
        </w:tc>
        <w:tc>
          <w:tcPr>
            <w:tcW w:w="1035" w:type="dxa"/>
            <w:tcBorders>
              <w:top w:val="single" w:sz="4" w:space="0" w:color="auto"/>
              <w:left w:val="nil"/>
              <w:bottom w:val="single" w:sz="4" w:space="0" w:color="auto"/>
              <w:right w:val="nil"/>
            </w:tcBorders>
          </w:tcPr>
          <w:p w14:paraId="683A7753" w14:textId="0DAD4E81" w:rsidR="00B02073" w:rsidRPr="00E90493" w:rsidRDefault="00B02073" w:rsidP="00B02073">
            <w:pPr>
              <w:tabs>
                <w:tab w:val="right" w:pos="926"/>
                <w:tab w:val="right" w:pos="989"/>
              </w:tabs>
              <w:jc w:val="center"/>
              <w:rPr>
                <w:sz w:val="18"/>
                <w:szCs w:val="18"/>
              </w:rPr>
            </w:pPr>
            <w:r w:rsidRPr="00E90493">
              <w:rPr>
                <w:sz w:val="18"/>
                <w:szCs w:val="18"/>
              </w:rPr>
              <w:t>201</w:t>
            </w:r>
            <w:r>
              <w:rPr>
                <w:sz w:val="18"/>
                <w:szCs w:val="18"/>
              </w:rPr>
              <w:t>9</w:t>
            </w:r>
          </w:p>
        </w:tc>
        <w:tc>
          <w:tcPr>
            <w:tcW w:w="1147" w:type="dxa"/>
            <w:tcBorders>
              <w:top w:val="single" w:sz="4" w:space="0" w:color="auto"/>
              <w:left w:val="nil"/>
              <w:bottom w:val="single" w:sz="4" w:space="0" w:color="auto"/>
              <w:right w:val="nil"/>
            </w:tcBorders>
          </w:tcPr>
          <w:p w14:paraId="2600885E" w14:textId="7DD74C67" w:rsidR="00B02073" w:rsidRPr="00E90493" w:rsidRDefault="00B02073" w:rsidP="00B02073">
            <w:pPr>
              <w:tabs>
                <w:tab w:val="right" w:pos="989"/>
              </w:tabs>
              <w:jc w:val="center"/>
              <w:rPr>
                <w:sz w:val="18"/>
                <w:szCs w:val="18"/>
              </w:rPr>
            </w:pPr>
            <w:r w:rsidRPr="00E90493">
              <w:rPr>
                <w:sz w:val="18"/>
                <w:szCs w:val="18"/>
              </w:rPr>
              <w:t>20</w:t>
            </w:r>
            <w:r>
              <w:rPr>
                <w:sz w:val="18"/>
                <w:szCs w:val="18"/>
              </w:rPr>
              <w:t>20</w:t>
            </w:r>
          </w:p>
        </w:tc>
        <w:tc>
          <w:tcPr>
            <w:tcW w:w="1148" w:type="dxa"/>
            <w:tcBorders>
              <w:top w:val="single" w:sz="4" w:space="0" w:color="auto"/>
              <w:left w:val="nil"/>
              <w:bottom w:val="single" w:sz="4" w:space="0" w:color="auto"/>
              <w:right w:val="nil"/>
            </w:tcBorders>
          </w:tcPr>
          <w:p w14:paraId="7D7C4720" w14:textId="136DBB00" w:rsidR="00B02073" w:rsidRPr="00E90493" w:rsidRDefault="00B02073" w:rsidP="00B02073">
            <w:pPr>
              <w:tabs>
                <w:tab w:val="right" w:pos="989"/>
              </w:tabs>
              <w:jc w:val="center"/>
              <w:rPr>
                <w:sz w:val="18"/>
                <w:szCs w:val="18"/>
              </w:rPr>
            </w:pPr>
            <w:r w:rsidRPr="00E90493">
              <w:rPr>
                <w:sz w:val="18"/>
                <w:szCs w:val="18"/>
              </w:rPr>
              <w:t>201</w:t>
            </w:r>
            <w:r>
              <w:rPr>
                <w:sz w:val="18"/>
                <w:szCs w:val="18"/>
              </w:rPr>
              <w:t>9</w:t>
            </w:r>
          </w:p>
        </w:tc>
        <w:tc>
          <w:tcPr>
            <w:tcW w:w="1620" w:type="dxa"/>
            <w:tcBorders>
              <w:top w:val="nil"/>
              <w:left w:val="nil"/>
              <w:bottom w:val="single" w:sz="4" w:space="0" w:color="auto"/>
              <w:right w:val="nil"/>
            </w:tcBorders>
          </w:tcPr>
          <w:p w14:paraId="23C193AF" w14:textId="4EE35C7F" w:rsidR="00B02073" w:rsidRPr="00E90493" w:rsidRDefault="00B02073" w:rsidP="00B02073">
            <w:pPr>
              <w:tabs>
                <w:tab w:val="right" w:pos="1246"/>
              </w:tabs>
              <w:jc w:val="center"/>
              <w:rPr>
                <w:sz w:val="18"/>
                <w:szCs w:val="18"/>
              </w:rPr>
            </w:pPr>
            <w:r w:rsidRPr="00E90493">
              <w:rPr>
                <w:sz w:val="18"/>
                <w:szCs w:val="18"/>
              </w:rPr>
              <w:t>June 30, 20</w:t>
            </w:r>
            <w:r>
              <w:rPr>
                <w:sz w:val="18"/>
                <w:szCs w:val="18"/>
              </w:rPr>
              <w:t>20</w:t>
            </w:r>
          </w:p>
        </w:tc>
      </w:tr>
      <w:tr w:rsidR="00B02073" w:rsidRPr="00E90493" w14:paraId="302C1993" w14:textId="77777777" w:rsidTr="00B02073">
        <w:tc>
          <w:tcPr>
            <w:tcW w:w="3150" w:type="dxa"/>
            <w:tcBorders>
              <w:top w:val="nil"/>
              <w:left w:val="nil"/>
              <w:bottom w:val="nil"/>
              <w:right w:val="nil"/>
            </w:tcBorders>
          </w:tcPr>
          <w:p w14:paraId="69CFFDCA" w14:textId="77777777" w:rsidR="00B02073" w:rsidRDefault="00B02073" w:rsidP="00B02073">
            <w:pPr>
              <w:rPr>
                <w:sz w:val="18"/>
                <w:szCs w:val="18"/>
              </w:rPr>
            </w:pPr>
            <w:r>
              <w:rPr>
                <w:sz w:val="18"/>
                <w:szCs w:val="18"/>
              </w:rPr>
              <w:t>Lassa Fever – U.S. Army Grant</w:t>
            </w:r>
          </w:p>
        </w:tc>
        <w:tc>
          <w:tcPr>
            <w:tcW w:w="1350" w:type="dxa"/>
            <w:tcBorders>
              <w:top w:val="nil"/>
              <w:left w:val="nil"/>
              <w:bottom w:val="nil"/>
              <w:right w:val="nil"/>
            </w:tcBorders>
          </w:tcPr>
          <w:p w14:paraId="6B480F1D" w14:textId="3855BDCC" w:rsidR="00B02073" w:rsidRDefault="00D243D5" w:rsidP="00B02073">
            <w:pPr>
              <w:tabs>
                <w:tab w:val="right" w:pos="969"/>
              </w:tabs>
              <w:rPr>
                <w:sz w:val="18"/>
                <w:szCs w:val="18"/>
              </w:rPr>
            </w:pPr>
            <w:r>
              <w:rPr>
                <w:sz w:val="18"/>
                <w:szCs w:val="18"/>
              </w:rPr>
              <w:t>$</w:t>
            </w:r>
            <w:r w:rsidR="00B02073">
              <w:rPr>
                <w:sz w:val="18"/>
                <w:szCs w:val="18"/>
              </w:rPr>
              <w:tab/>
            </w:r>
            <w:r w:rsidR="00174224">
              <w:rPr>
                <w:sz w:val="18"/>
                <w:szCs w:val="18"/>
              </w:rPr>
              <w:t>301,493</w:t>
            </w:r>
          </w:p>
        </w:tc>
        <w:tc>
          <w:tcPr>
            <w:tcW w:w="1035" w:type="dxa"/>
            <w:tcBorders>
              <w:top w:val="nil"/>
              <w:left w:val="nil"/>
              <w:bottom w:val="nil"/>
              <w:right w:val="nil"/>
            </w:tcBorders>
          </w:tcPr>
          <w:p w14:paraId="4678B87B" w14:textId="0BEB31C1" w:rsidR="00B02073" w:rsidRDefault="00D243D5" w:rsidP="00B02073">
            <w:pPr>
              <w:tabs>
                <w:tab w:val="right" w:pos="926"/>
                <w:tab w:val="right" w:pos="989"/>
              </w:tabs>
              <w:rPr>
                <w:sz w:val="18"/>
                <w:szCs w:val="18"/>
              </w:rPr>
            </w:pPr>
            <w:r>
              <w:rPr>
                <w:sz w:val="18"/>
                <w:szCs w:val="18"/>
              </w:rPr>
              <w:t>$</w:t>
            </w:r>
            <w:r w:rsidR="00B02073">
              <w:rPr>
                <w:sz w:val="18"/>
                <w:szCs w:val="18"/>
              </w:rPr>
              <w:tab/>
              <w:t>151,819</w:t>
            </w:r>
          </w:p>
        </w:tc>
        <w:tc>
          <w:tcPr>
            <w:tcW w:w="1147" w:type="dxa"/>
            <w:tcBorders>
              <w:top w:val="nil"/>
              <w:left w:val="nil"/>
              <w:bottom w:val="nil"/>
              <w:right w:val="nil"/>
            </w:tcBorders>
          </w:tcPr>
          <w:p w14:paraId="204A24B9" w14:textId="551876F7" w:rsidR="00B02073" w:rsidRDefault="00D243D5" w:rsidP="00B02073">
            <w:pPr>
              <w:tabs>
                <w:tab w:val="right" w:pos="989"/>
              </w:tabs>
              <w:rPr>
                <w:sz w:val="18"/>
                <w:szCs w:val="18"/>
              </w:rPr>
            </w:pPr>
            <w:r>
              <w:rPr>
                <w:sz w:val="18"/>
                <w:szCs w:val="18"/>
              </w:rPr>
              <w:t>$</w:t>
            </w:r>
            <w:r w:rsidR="00B02073">
              <w:rPr>
                <w:sz w:val="18"/>
                <w:szCs w:val="18"/>
              </w:rPr>
              <w:tab/>
            </w:r>
            <w:r w:rsidR="00174224">
              <w:rPr>
                <w:sz w:val="18"/>
                <w:szCs w:val="18"/>
              </w:rPr>
              <w:t>955,514</w:t>
            </w:r>
          </w:p>
        </w:tc>
        <w:tc>
          <w:tcPr>
            <w:tcW w:w="1148" w:type="dxa"/>
            <w:tcBorders>
              <w:top w:val="nil"/>
              <w:left w:val="nil"/>
              <w:bottom w:val="nil"/>
              <w:right w:val="nil"/>
            </w:tcBorders>
          </w:tcPr>
          <w:p w14:paraId="576F7F1C" w14:textId="33CCB8E0" w:rsidR="00B02073" w:rsidRDefault="00D243D5" w:rsidP="00B02073">
            <w:pPr>
              <w:tabs>
                <w:tab w:val="right" w:pos="989"/>
              </w:tabs>
              <w:rPr>
                <w:sz w:val="18"/>
                <w:szCs w:val="18"/>
              </w:rPr>
            </w:pPr>
            <w:r>
              <w:rPr>
                <w:sz w:val="18"/>
                <w:szCs w:val="18"/>
              </w:rPr>
              <w:t>$</w:t>
            </w:r>
            <w:r w:rsidR="00B02073">
              <w:rPr>
                <w:sz w:val="18"/>
                <w:szCs w:val="18"/>
              </w:rPr>
              <w:tab/>
              <w:t>294,504</w:t>
            </w:r>
          </w:p>
        </w:tc>
        <w:tc>
          <w:tcPr>
            <w:tcW w:w="1620" w:type="dxa"/>
            <w:tcBorders>
              <w:top w:val="nil"/>
              <w:left w:val="nil"/>
              <w:bottom w:val="nil"/>
              <w:right w:val="nil"/>
            </w:tcBorders>
          </w:tcPr>
          <w:p w14:paraId="6B6C2DF6" w14:textId="680E40BB" w:rsidR="00B02073" w:rsidRDefault="00D243D5" w:rsidP="00B02073">
            <w:pPr>
              <w:tabs>
                <w:tab w:val="right" w:pos="1246"/>
              </w:tabs>
              <w:rPr>
                <w:sz w:val="18"/>
                <w:szCs w:val="18"/>
              </w:rPr>
            </w:pPr>
            <w:r>
              <w:rPr>
                <w:sz w:val="18"/>
                <w:szCs w:val="18"/>
              </w:rPr>
              <w:t>$</w:t>
            </w:r>
            <w:r w:rsidR="00B02073">
              <w:rPr>
                <w:sz w:val="18"/>
                <w:szCs w:val="18"/>
              </w:rPr>
              <w:tab/>
            </w:r>
            <w:r w:rsidR="006413D3">
              <w:rPr>
                <w:sz w:val="18"/>
                <w:szCs w:val="18"/>
              </w:rPr>
              <w:t>650,051</w:t>
            </w:r>
          </w:p>
        </w:tc>
      </w:tr>
      <w:tr w:rsidR="00B02073" w:rsidRPr="00E90493" w14:paraId="24B54C25" w14:textId="77777777" w:rsidTr="00B02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26DDE2C3" w14:textId="3561026A" w:rsidR="00B02073" w:rsidRPr="00E90493" w:rsidRDefault="00B02073" w:rsidP="00B02073">
            <w:pPr>
              <w:rPr>
                <w:sz w:val="18"/>
                <w:szCs w:val="18"/>
              </w:rPr>
            </w:pPr>
            <w:r>
              <w:rPr>
                <w:sz w:val="18"/>
                <w:szCs w:val="18"/>
              </w:rPr>
              <w:t>Lassa Fever</w:t>
            </w:r>
            <w:r w:rsidRPr="00E90493">
              <w:rPr>
                <w:sz w:val="18"/>
                <w:szCs w:val="18"/>
              </w:rPr>
              <w:t xml:space="preserve"> </w:t>
            </w:r>
            <w:r>
              <w:rPr>
                <w:sz w:val="18"/>
                <w:szCs w:val="18"/>
              </w:rPr>
              <w:t>–</w:t>
            </w:r>
            <w:r w:rsidRPr="00E90493">
              <w:rPr>
                <w:sz w:val="18"/>
                <w:szCs w:val="18"/>
              </w:rPr>
              <w:t xml:space="preserve"> </w:t>
            </w:r>
            <w:r>
              <w:rPr>
                <w:sz w:val="18"/>
                <w:szCs w:val="18"/>
              </w:rPr>
              <w:t xml:space="preserve">NIH </w:t>
            </w:r>
            <w:r w:rsidRPr="00E90493">
              <w:rPr>
                <w:sz w:val="18"/>
                <w:szCs w:val="18"/>
              </w:rPr>
              <w:t>SBIR Grant</w:t>
            </w:r>
          </w:p>
        </w:tc>
        <w:tc>
          <w:tcPr>
            <w:tcW w:w="1350" w:type="dxa"/>
          </w:tcPr>
          <w:p w14:paraId="29511BD2" w14:textId="4C5F02BE" w:rsidR="00B02073" w:rsidRPr="00E90493" w:rsidRDefault="00B02073" w:rsidP="00B02073">
            <w:pPr>
              <w:tabs>
                <w:tab w:val="right" w:pos="969"/>
              </w:tabs>
              <w:rPr>
                <w:sz w:val="18"/>
                <w:szCs w:val="18"/>
              </w:rPr>
            </w:pPr>
            <w:r w:rsidRPr="00E90493">
              <w:rPr>
                <w:sz w:val="18"/>
                <w:szCs w:val="18"/>
              </w:rPr>
              <w:tab/>
            </w:r>
            <w:r w:rsidR="00174224">
              <w:rPr>
                <w:sz w:val="18"/>
                <w:szCs w:val="18"/>
              </w:rPr>
              <w:t>-</w:t>
            </w:r>
          </w:p>
        </w:tc>
        <w:tc>
          <w:tcPr>
            <w:tcW w:w="1035" w:type="dxa"/>
          </w:tcPr>
          <w:p w14:paraId="27A51DFC" w14:textId="771B5F97" w:rsidR="00B02073" w:rsidRPr="00E90493" w:rsidRDefault="00B02073" w:rsidP="00B02073">
            <w:pPr>
              <w:tabs>
                <w:tab w:val="right" w:pos="926"/>
                <w:tab w:val="right" w:pos="989"/>
              </w:tabs>
              <w:rPr>
                <w:sz w:val="18"/>
                <w:szCs w:val="18"/>
              </w:rPr>
            </w:pPr>
            <w:r w:rsidRPr="00E90493">
              <w:rPr>
                <w:sz w:val="18"/>
                <w:szCs w:val="18"/>
              </w:rPr>
              <w:tab/>
            </w:r>
            <w:r>
              <w:rPr>
                <w:sz w:val="18"/>
                <w:szCs w:val="18"/>
              </w:rPr>
              <w:t>18,625</w:t>
            </w:r>
          </w:p>
        </w:tc>
        <w:tc>
          <w:tcPr>
            <w:tcW w:w="1147" w:type="dxa"/>
          </w:tcPr>
          <w:p w14:paraId="047C0619" w14:textId="2698B760" w:rsidR="00B02073" w:rsidRPr="00E90493" w:rsidRDefault="00B02073" w:rsidP="00B02073">
            <w:pPr>
              <w:tabs>
                <w:tab w:val="right" w:pos="989"/>
              </w:tabs>
              <w:rPr>
                <w:sz w:val="18"/>
                <w:szCs w:val="18"/>
              </w:rPr>
            </w:pPr>
            <w:r w:rsidRPr="00E90493">
              <w:rPr>
                <w:sz w:val="18"/>
                <w:szCs w:val="18"/>
              </w:rPr>
              <w:tab/>
            </w:r>
            <w:r w:rsidR="00174224">
              <w:rPr>
                <w:sz w:val="18"/>
                <w:szCs w:val="18"/>
              </w:rPr>
              <w:t>-</w:t>
            </w:r>
          </w:p>
        </w:tc>
        <w:tc>
          <w:tcPr>
            <w:tcW w:w="1148" w:type="dxa"/>
          </w:tcPr>
          <w:p w14:paraId="25028D61" w14:textId="0C3AD697" w:rsidR="00B02073" w:rsidRPr="00E90493" w:rsidRDefault="00B02073" w:rsidP="00B02073">
            <w:pPr>
              <w:tabs>
                <w:tab w:val="right" w:pos="989"/>
              </w:tabs>
              <w:rPr>
                <w:sz w:val="18"/>
                <w:szCs w:val="18"/>
              </w:rPr>
            </w:pPr>
            <w:r w:rsidRPr="00E90493">
              <w:rPr>
                <w:sz w:val="18"/>
                <w:szCs w:val="18"/>
              </w:rPr>
              <w:tab/>
            </w:r>
            <w:r>
              <w:rPr>
                <w:sz w:val="18"/>
                <w:szCs w:val="18"/>
              </w:rPr>
              <w:t>82,292</w:t>
            </w:r>
          </w:p>
        </w:tc>
        <w:tc>
          <w:tcPr>
            <w:tcW w:w="1620" w:type="dxa"/>
          </w:tcPr>
          <w:p w14:paraId="6DF680BA" w14:textId="05D6380E" w:rsidR="00B02073" w:rsidRPr="00E90493" w:rsidRDefault="00B02073" w:rsidP="00B02073">
            <w:pPr>
              <w:tabs>
                <w:tab w:val="right" w:pos="1246"/>
              </w:tabs>
              <w:rPr>
                <w:sz w:val="18"/>
                <w:szCs w:val="18"/>
              </w:rPr>
            </w:pPr>
            <w:r w:rsidRPr="00E90493">
              <w:rPr>
                <w:sz w:val="18"/>
                <w:szCs w:val="18"/>
              </w:rPr>
              <w:tab/>
            </w:r>
            <w:r w:rsidR="006413D3">
              <w:rPr>
                <w:sz w:val="18"/>
                <w:szCs w:val="18"/>
              </w:rPr>
              <w:t>-</w:t>
            </w:r>
          </w:p>
        </w:tc>
      </w:tr>
      <w:tr w:rsidR="00B02073" w:rsidRPr="00E90493" w14:paraId="1768E8F4" w14:textId="77777777" w:rsidTr="00B02073">
        <w:tc>
          <w:tcPr>
            <w:tcW w:w="3150" w:type="dxa"/>
            <w:tcBorders>
              <w:top w:val="nil"/>
              <w:left w:val="nil"/>
              <w:bottom w:val="nil"/>
              <w:right w:val="nil"/>
            </w:tcBorders>
          </w:tcPr>
          <w:p w14:paraId="5A36E28F" w14:textId="101D7313" w:rsidR="00B02073" w:rsidRDefault="00B02073" w:rsidP="00B02073">
            <w:pPr>
              <w:rPr>
                <w:sz w:val="18"/>
                <w:szCs w:val="18"/>
              </w:rPr>
            </w:pPr>
            <w:bookmarkStart w:id="25" w:name="_Hlk14353163"/>
            <w:r>
              <w:rPr>
                <w:sz w:val="18"/>
                <w:szCs w:val="18"/>
              </w:rPr>
              <w:t>Zika – NIH SBIR Grant</w:t>
            </w:r>
          </w:p>
        </w:tc>
        <w:tc>
          <w:tcPr>
            <w:tcW w:w="1350" w:type="dxa"/>
            <w:tcBorders>
              <w:top w:val="nil"/>
              <w:left w:val="nil"/>
              <w:bottom w:val="nil"/>
              <w:right w:val="nil"/>
            </w:tcBorders>
          </w:tcPr>
          <w:p w14:paraId="069E6DDB" w14:textId="73F8FF5F" w:rsidR="00B02073" w:rsidRDefault="00B02073" w:rsidP="00B02073">
            <w:pPr>
              <w:tabs>
                <w:tab w:val="right" w:pos="969"/>
              </w:tabs>
              <w:rPr>
                <w:sz w:val="18"/>
                <w:szCs w:val="18"/>
              </w:rPr>
            </w:pPr>
            <w:r>
              <w:rPr>
                <w:sz w:val="18"/>
                <w:szCs w:val="18"/>
              </w:rPr>
              <w:tab/>
            </w:r>
            <w:r w:rsidR="00174224">
              <w:rPr>
                <w:sz w:val="18"/>
                <w:szCs w:val="18"/>
              </w:rPr>
              <w:t>-</w:t>
            </w:r>
          </w:p>
        </w:tc>
        <w:tc>
          <w:tcPr>
            <w:tcW w:w="1035" w:type="dxa"/>
            <w:tcBorders>
              <w:top w:val="nil"/>
              <w:left w:val="nil"/>
              <w:bottom w:val="nil"/>
              <w:right w:val="nil"/>
            </w:tcBorders>
          </w:tcPr>
          <w:p w14:paraId="06E91F3D" w14:textId="21CCFC68" w:rsidR="00B02073" w:rsidRDefault="00B02073" w:rsidP="00B02073">
            <w:pPr>
              <w:tabs>
                <w:tab w:val="right" w:pos="926"/>
                <w:tab w:val="right" w:pos="989"/>
              </w:tabs>
              <w:rPr>
                <w:sz w:val="18"/>
                <w:szCs w:val="18"/>
              </w:rPr>
            </w:pPr>
            <w:r>
              <w:rPr>
                <w:sz w:val="18"/>
                <w:szCs w:val="18"/>
              </w:rPr>
              <w:tab/>
              <w:t>14,494</w:t>
            </w:r>
          </w:p>
        </w:tc>
        <w:tc>
          <w:tcPr>
            <w:tcW w:w="1147" w:type="dxa"/>
            <w:tcBorders>
              <w:top w:val="nil"/>
              <w:left w:val="nil"/>
              <w:bottom w:val="nil"/>
              <w:right w:val="nil"/>
            </w:tcBorders>
          </w:tcPr>
          <w:p w14:paraId="38600EDF" w14:textId="4BBFA8F4" w:rsidR="00B02073" w:rsidRDefault="00B02073" w:rsidP="00B02073">
            <w:pPr>
              <w:tabs>
                <w:tab w:val="right" w:pos="989"/>
              </w:tabs>
              <w:rPr>
                <w:sz w:val="18"/>
                <w:szCs w:val="18"/>
              </w:rPr>
            </w:pPr>
            <w:r>
              <w:rPr>
                <w:sz w:val="18"/>
                <w:szCs w:val="18"/>
              </w:rPr>
              <w:tab/>
            </w:r>
            <w:r w:rsidR="00174224">
              <w:rPr>
                <w:sz w:val="18"/>
                <w:szCs w:val="18"/>
              </w:rPr>
              <w:t>-</w:t>
            </w:r>
          </w:p>
        </w:tc>
        <w:tc>
          <w:tcPr>
            <w:tcW w:w="1148" w:type="dxa"/>
            <w:tcBorders>
              <w:top w:val="nil"/>
              <w:left w:val="nil"/>
              <w:bottom w:val="nil"/>
              <w:right w:val="nil"/>
            </w:tcBorders>
          </w:tcPr>
          <w:p w14:paraId="58276531" w14:textId="72642DC1" w:rsidR="00B02073" w:rsidRPr="00DE2803" w:rsidRDefault="00B02073" w:rsidP="00B02073">
            <w:pPr>
              <w:tabs>
                <w:tab w:val="right" w:pos="989"/>
              </w:tabs>
              <w:rPr>
                <w:sz w:val="18"/>
                <w:szCs w:val="18"/>
              </w:rPr>
            </w:pPr>
            <w:r>
              <w:rPr>
                <w:sz w:val="18"/>
                <w:szCs w:val="18"/>
              </w:rPr>
              <w:tab/>
              <w:t>162,461</w:t>
            </w:r>
          </w:p>
        </w:tc>
        <w:tc>
          <w:tcPr>
            <w:tcW w:w="1620" w:type="dxa"/>
            <w:tcBorders>
              <w:top w:val="nil"/>
              <w:left w:val="nil"/>
              <w:bottom w:val="nil"/>
              <w:right w:val="nil"/>
            </w:tcBorders>
          </w:tcPr>
          <w:p w14:paraId="7A61DD04" w14:textId="77777777" w:rsidR="00B02073" w:rsidRDefault="00B02073" w:rsidP="00B02073">
            <w:pPr>
              <w:tabs>
                <w:tab w:val="right" w:pos="1246"/>
              </w:tabs>
              <w:rPr>
                <w:sz w:val="18"/>
                <w:szCs w:val="18"/>
              </w:rPr>
            </w:pPr>
            <w:r>
              <w:rPr>
                <w:sz w:val="18"/>
                <w:szCs w:val="18"/>
              </w:rPr>
              <w:tab/>
              <w:t>-</w:t>
            </w:r>
          </w:p>
        </w:tc>
      </w:tr>
      <w:bookmarkEnd w:id="25"/>
      <w:tr w:rsidR="00B02073" w:rsidRPr="00E90493" w14:paraId="0515A7A5" w14:textId="77777777" w:rsidTr="00B02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50" w:type="dxa"/>
          </w:tcPr>
          <w:p w14:paraId="14322419" w14:textId="77777777" w:rsidR="00B02073" w:rsidRPr="00E90493" w:rsidRDefault="00B02073" w:rsidP="00B02073">
            <w:pPr>
              <w:rPr>
                <w:sz w:val="18"/>
                <w:szCs w:val="18"/>
              </w:rPr>
            </w:pPr>
            <w:r w:rsidRPr="00E90493">
              <w:rPr>
                <w:sz w:val="18"/>
                <w:szCs w:val="18"/>
              </w:rPr>
              <w:t>Total</w:t>
            </w:r>
          </w:p>
        </w:tc>
        <w:tc>
          <w:tcPr>
            <w:tcW w:w="1350" w:type="dxa"/>
            <w:tcBorders>
              <w:top w:val="single" w:sz="4" w:space="0" w:color="auto"/>
              <w:bottom w:val="double" w:sz="4" w:space="0" w:color="auto"/>
            </w:tcBorders>
          </w:tcPr>
          <w:p w14:paraId="629F9E62" w14:textId="559D5E30" w:rsidR="00B02073" w:rsidRPr="00E90493" w:rsidRDefault="00B02073" w:rsidP="00B02073">
            <w:pPr>
              <w:tabs>
                <w:tab w:val="right" w:pos="969"/>
              </w:tabs>
              <w:rPr>
                <w:sz w:val="18"/>
                <w:szCs w:val="18"/>
              </w:rPr>
            </w:pPr>
            <w:r w:rsidRPr="00E90493">
              <w:rPr>
                <w:sz w:val="18"/>
                <w:szCs w:val="18"/>
              </w:rPr>
              <w:t>$</w:t>
            </w:r>
            <w:r w:rsidRPr="00E90493">
              <w:rPr>
                <w:sz w:val="18"/>
                <w:szCs w:val="18"/>
              </w:rPr>
              <w:tab/>
            </w:r>
            <w:r w:rsidR="00174224">
              <w:rPr>
                <w:sz w:val="18"/>
                <w:szCs w:val="18"/>
              </w:rPr>
              <w:t>301,493</w:t>
            </w:r>
          </w:p>
        </w:tc>
        <w:tc>
          <w:tcPr>
            <w:tcW w:w="1035" w:type="dxa"/>
            <w:tcBorders>
              <w:top w:val="single" w:sz="4" w:space="0" w:color="auto"/>
              <w:bottom w:val="double" w:sz="4" w:space="0" w:color="auto"/>
            </w:tcBorders>
          </w:tcPr>
          <w:p w14:paraId="208C047F" w14:textId="19D70A0B" w:rsidR="00B02073" w:rsidRPr="00E90493" w:rsidRDefault="00B02073" w:rsidP="00B02073">
            <w:pPr>
              <w:tabs>
                <w:tab w:val="right" w:pos="926"/>
                <w:tab w:val="right" w:pos="989"/>
              </w:tabs>
              <w:rPr>
                <w:sz w:val="18"/>
                <w:szCs w:val="18"/>
              </w:rPr>
            </w:pPr>
            <w:r w:rsidRPr="00E90493">
              <w:rPr>
                <w:sz w:val="18"/>
                <w:szCs w:val="18"/>
              </w:rPr>
              <w:t>$</w:t>
            </w:r>
            <w:r w:rsidRPr="00E90493">
              <w:rPr>
                <w:sz w:val="18"/>
                <w:szCs w:val="18"/>
              </w:rPr>
              <w:tab/>
            </w:r>
            <w:r>
              <w:rPr>
                <w:sz w:val="18"/>
                <w:szCs w:val="18"/>
              </w:rPr>
              <w:t>184,938</w:t>
            </w:r>
          </w:p>
        </w:tc>
        <w:tc>
          <w:tcPr>
            <w:tcW w:w="1147" w:type="dxa"/>
            <w:tcBorders>
              <w:top w:val="single" w:sz="4" w:space="0" w:color="auto"/>
              <w:bottom w:val="double" w:sz="4" w:space="0" w:color="auto"/>
            </w:tcBorders>
          </w:tcPr>
          <w:p w14:paraId="36954F62" w14:textId="3981A38A" w:rsidR="00B02073" w:rsidRPr="00E90493" w:rsidRDefault="00B02073" w:rsidP="00B02073">
            <w:pPr>
              <w:tabs>
                <w:tab w:val="right" w:pos="989"/>
              </w:tabs>
              <w:rPr>
                <w:sz w:val="18"/>
                <w:szCs w:val="18"/>
              </w:rPr>
            </w:pPr>
            <w:r w:rsidRPr="00E90493">
              <w:rPr>
                <w:sz w:val="18"/>
                <w:szCs w:val="18"/>
              </w:rPr>
              <w:t>$</w:t>
            </w:r>
            <w:r w:rsidRPr="00E90493">
              <w:rPr>
                <w:sz w:val="18"/>
                <w:szCs w:val="18"/>
              </w:rPr>
              <w:tab/>
            </w:r>
            <w:r w:rsidR="006413D3">
              <w:rPr>
                <w:sz w:val="18"/>
                <w:szCs w:val="18"/>
              </w:rPr>
              <w:t>955,514</w:t>
            </w:r>
          </w:p>
        </w:tc>
        <w:tc>
          <w:tcPr>
            <w:tcW w:w="1148" w:type="dxa"/>
            <w:tcBorders>
              <w:top w:val="single" w:sz="4" w:space="0" w:color="auto"/>
              <w:bottom w:val="double" w:sz="4" w:space="0" w:color="auto"/>
            </w:tcBorders>
          </w:tcPr>
          <w:p w14:paraId="191334E0" w14:textId="062477DD" w:rsidR="00B02073" w:rsidRPr="00E90493" w:rsidRDefault="00B02073" w:rsidP="00B02073">
            <w:pPr>
              <w:tabs>
                <w:tab w:val="right" w:pos="989"/>
              </w:tabs>
              <w:rPr>
                <w:sz w:val="18"/>
                <w:szCs w:val="18"/>
              </w:rPr>
            </w:pPr>
            <w:r w:rsidRPr="00E90493">
              <w:rPr>
                <w:sz w:val="18"/>
                <w:szCs w:val="18"/>
              </w:rPr>
              <w:t>$</w:t>
            </w:r>
            <w:r w:rsidRPr="00E90493">
              <w:rPr>
                <w:sz w:val="18"/>
                <w:szCs w:val="18"/>
              </w:rPr>
              <w:tab/>
            </w:r>
            <w:r>
              <w:rPr>
                <w:sz w:val="18"/>
                <w:szCs w:val="18"/>
              </w:rPr>
              <w:t>539,257</w:t>
            </w:r>
          </w:p>
        </w:tc>
        <w:tc>
          <w:tcPr>
            <w:tcW w:w="1620" w:type="dxa"/>
            <w:tcBorders>
              <w:top w:val="single" w:sz="4" w:space="0" w:color="auto"/>
              <w:bottom w:val="double" w:sz="4" w:space="0" w:color="auto"/>
            </w:tcBorders>
          </w:tcPr>
          <w:p w14:paraId="10E039CA" w14:textId="0125BDBD" w:rsidR="00B02073" w:rsidRPr="00E90493" w:rsidRDefault="00B02073" w:rsidP="00B02073">
            <w:pPr>
              <w:tabs>
                <w:tab w:val="right" w:pos="1246"/>
              </w:tabs>
              <w:rPr>
                <w:sz w:val="18"/>
                <w:szCs w:val="18"/>
              </w:rPr>
            </w:pPr>
            <w:r w:rsidRPr="00E90493">
              <w:rPr>
                <w:sz w:val="18"/>
                <w:szCs w:val="18"/>
              </w:rPr>
              <w:t>$</w:t>
            </w:r>
            <w:r w:rsidRPr="00E90493">
              <w:rPr>
                <w:sz w:val="18"/>
                <w:szCs w:val="18"/>
              </w:rPr>
              <w:tab/>
            </w:r>
            <w:r w:rsidR="006413D3">
              <w:rPr>
                <w:sz w:val="18"/>
                <w:szCs w:val="18"/>
              </w:rPr>
              <w:t>650,051</w:t>
            </w:r>
          </w:p>
        </w:tc>
      </w:tr>
    </w:tbl>
    <w:p w14:paraId="2ACD0D54" w14:textId="77777777" w:rsidR="00B02073" w:rsidRDefault="00B02073" w:rsidP="00B02073"/>
    <w:p w14:paraId="52708DB5" w14:textId="1F5063B5" w:rsidR="00D243D5" w:rsidRDefault="00D243D5" w:rsidP="00D243D5">
      <w:r w:rsidRPr="00FC1C96">
        <w:rPr>
          <w:rFonts w:ascii="CG Times (WN)" w:hAnsi="CG Times (WN)"/>
          <w:u w:val="single"/>
        </w:rPr>
        <w:t>Collaboration Revenues</w:t>
      </w:r>
      <w:r w:rsidRPr="00FC1C96">
        <w:rPr>
          <w:rFonts w:ascii="CG Times (WN)" w:hAnsi="CG Times (WN)"/>
        </w:rPr>
        <w:t xml:space="preserve"> – In addition to the grant revenues above, during the </w:t>
      </w:r>
      <w:r>
        <w:rPr>
          <w:rFonts w:ascii="CG Times (WN)" w:hAnsi="CG Times (WN)"/>
        </w:rPr>
        <w:t>three-month and six-month periods ended</w:t>
      </w:r>
      <w:r w:rsidRPr="00FC1C96">
        <w:rPr>
          <w:rFonts w:ascii="CG Times (WN)" w:hAnsi="CG Times (WN)"/>
        </w:rPr>
        <w:t xml:space="preserve"> </w:t>
      </w:r>
      <w:r>
        <w:rPr>
          <w:rFonts w:ascii="CG Times (WN)" w:hAnsi="CG Times (WN)"/>
        </w:rPr>
        <w:t>June</w:t>
      </w:r>
      <w:r w:rsidRPr="00FC1C96">
        <w:rPr>
          <w:rFonts w:ascii="CG Times (WN)" w:hAnsi="CG Times (WN)"/>
        </w:rPr>
        <w:t xml:space="preserve"> 3</w:t>
      </w:r>
      <w:r>
        <w:rPr>
          <w:rFonts w:ascii="CG Times (WN)" w:hAnsi="CG Times (WN)"/>
        </w:rPr>
        <w:t>0</w:t>
      </w:r>
      <w:r w:rsidRPr="00FC1C96">
        <w:rPr>
          <w:rFonts w:ascii="CG Times (WN)" w:hAnsi="CG Times (WN)"/>
        </w:rPr>
        <w:t xml:space="preserve">, </w:t>
      </w:r>
      <w:r>
        <w:rPr>
          <w:rFonts w:ascii="CG Times (WN)" w:hAnsi="CG Times (WN)"/>
        </w:rPr>
        <w:t xml:space="preserve">2020 </w:t>
      </w:r>
      <w:r w:rsidRPr="00FC1C96">
        <w:rPr>
          <w:rFonts w:ascii="CG Times (WN)" w:hAnsi="CG Times (WN)"/>
        </w:rPr>
        <w:t>we recorded</w:t>
      </w:r>
      <w:r w:rsidRPr="00B4718E">
        <w:rPr>
          <w:rFonts w:ascii="CG Times (WN)" w:hAnsi="CG Times (WN)"/>
        </w:rPr>
        <w:t xml:space="preserve"> </w:t>
      </w:r>
      <w:r w:rsidRPr="00FC1C96">
        <w:rPr>
          <w:rFonts w:ascii="CG Times (WN)" w:hAnsi="CG Times (WN)"/>
        </w:rPr>
        <w:t>revenue</w:t>
      </w:r>
      <w:r>
        <w:rPr>
          <w:rFonts w:ascii="CG Times (WN)" w:hAnsi="CG Times (WN)"/>
        </w:rPr>
        <w:t>s</w:t>
      </w:r>
      <w:r w:rsidRPr="00FC1C96">
        <w:rPr>
          <w:rFonts w:ascii="CG Times (WN)" w:hAnsi="CG Times (WN)"/>
        </w:rPr>
        <w:t xml:space="preserve"> associated with several research collaborations with third parties </w:t>
      </w:r>
      <w:r>
        <w:rPr>
          <w:rFonts w:ascii="CG Times (WN)" w:hAnsi="CG Times (WN)"/>
        </w:rPr>
        <w:t xml:space="preserve">of </w:t>
      </w:r>
      <w:r w:rsidRPr="00FC1C96">
        <w:rPr>
          <w:rFonts w:ascii="CG Times (WN)" w:hAnsi="CG Times (WN)"/>
        </w:rPr>
        <w:t>$</w:t>
      </w:r>
      <w:r w:rsidR="006413D3">
        <w:rPr>
          <w:rFonts w:ascii="CG Times (WN)" w:hAnsi="CG Times (WN)"/>
        </w:rPr>
        <w:t>139,1</w:t>
      </w:r>
      <w:r w:rsidR="00EF756C">
        <w:rPr>
          <w:rFonts w:ascii="CG Times (WN)" w:hAnsi="CG Times (WN)"/>
        </w:rPr>
        <w:t>09</w:t>
      </w:r>
      <w:r>
        <w:rPr>
          <w:rFonts w:ascii="CG Times (WN)" w:hAnsi="CG Times (WN)"/>
        </w:rPr>
        <w:t xml:space="preserve"> and $</w:t>
      </w:r>
      <w:r w:rsidR="00EF756C">
        <w:rPr>
          <w:rFonts w:ascii="CG Times (WN)" w:hAnsi="CG Times (WN)"/>
        </w:rPr>
        <w:t>201,065</w:t>
      </w:r>
      <w:r>
        <w:rPr>
          <w:rFonts w:ascii="CG Times (WN)" w:hAnsi="CG Times (WN)"/>
        </w:rPr>
        <w:t>, respectively,</w:t>
      </w:r>
      <w:r w:rsidRPr="00FC1C96">
        <w:rPr>
          <w:rFonts w:ascii="CG Times (WN)" w:hAnsi="CG Times (WN)"/>
        </w:rPr>
        <w:t xml:space="preserve"> </w:t>
      </w:r>
      <w:r>
        <w:rPr>
          <w:rFonts w:ascii="CG Times (WN)" w:hAnsi="CG Times (WN)"/>
        </w:rPr>
        <w:t>as compared to $25,003 and $34,916, respectively, during the comparable periods of 2019</w:t>
      </w:r>
      <w:r w:rsidRPr="00FC1C96">
        <w:rPr>
          <w:rFonts w:ascii="CG Times (WN)" w:hAnsi="CG Times (WN)"/>
        </w:rPr>
        <w:t>. These amounts primarily represent amounts paid to us by the other parties for materials and other costs associated with joint studies</w:t>
      </w:r>
      <w:r w:rsidRPr="00FC1C96">
        <w:t>.</w:t>
      </w:r>
      <w:r w:rsidRPr="00D243D5">
        <w:t xml:space="preserve"> </w:t>
      </w:r>
      <w:r>
        <w:t>As of June 30, 2020, there is approximately $</w:t>
      </w:r>
      <w:r w:rsidR="006413D3">
        <w:t>184,1</w:t>
      </w:r>
      <w:r w:rsidR="00EF756C">
        <w:t>00</w:t>
      </w:r>
      <w:r>
        <w:t xml:space="preserve"> of upcoming billable fees pursuant to collaborative arrangements.</w:t>
      </w:r>
    </w:p>
    <w:p w14:paraId="5B00B30B" w14:textId="7A8C785B" w:rsidR="000A55AE" w:rsidRDefault="000A55AE" w:rsidP="000A55AE">
      <w:pPr>
        <w:pStyle w:val="BodyText"/>
        <w:spacing w:after="0"/>
        <w:rPr>
          <w:rStyle w:val="BodySubtitleChar"/>
        </w:rPr>
      </w:pPr>
    </w:p>
    <w:p w14:paraId="23937EE7" w14:textId="04CA2BD8" w:rsidR="00285F4C" w:rsidRPr="00285F4C" w:rsidRDefault="0007631A" w:rsidP="000A55AE">
      <w:pPr>
        <w:pStyle w:val="BodyText"/>
        <w:spacing w:after="0"/>
        <w:rPr>
          <w:i/>
          <w:iCs/>
        </w:rPr>
      </w:pPr>
      <w:r w:rsidRPr="004A3014">
        <w:rPr>
          <w:rStyle w:val="BodySubtitleChar"/>
        </w:rPr>
        <w:t>Research and Development</w:t>
      </w:r>
      <w:r w:rsidR="005268FE">
        <w:rPr>
          <w:rStyle w:val="BodySubtitleChar"/>
        </w:rPr>
        <w:t xml:space="preserve"> Expenses</w:t>
      </w:r>
    </w:p>
    <w:p w14:paraId="1A43B9D3" w14:textId="77777777" w:rsidR="000A55AE" w:rsidRDefault="000A55AE" w:rsidP="000A55AE"/>
    <w:p w14:paraId="4051890C" w14:textId="781D4C15" w:rsidR="002C1C67" w:rsidRDefault="002C1C67" w:rsidP="002C1C67">
      <w:r w:rsidRPr="005268FE">
        <w:t>Our research and development expenses were $</w:t>
      </w:r>
      <w:r w:rsidR="006413D3">
        <w:t>461,421</w:t>
      </w:r>
      <w:r w:rsidRPr="005268FE">
        <w:t xml:space="preserve"> and $</w:t>
      </w:r>
      <w:r w:rsidR="006413D3">
        <w:t>1,270,357</w:t>
      </w:r>
      <w:r>
        <w:t xml:space="preserve"> </w:t>
      </w:r>
      <w:r w:rsidRPr="005268FE">
        <w:t xml:space="preserve">for the </w:t>
      </w:r>
      <w:r>
        <w:t>three-month and six-month periods</w:t>
      </w:r>
      <w:r w:rsidRPr="005268FE">
        <w:t xml:space="preserve"> ended </w:t>
      </w:r>
      <w:r>
        <w:t>June 30, 2020 as compared to $451,227 and $1,006,945 for the comparable periods of 2019</w:t>
      </w:r>
      <w:r w:rsidRPr="005268FE">
        <w:t xml:space="preserve">. </w:t>
      </w:r>
      <w:r>
        <w:t>Research and development expense for the three-month and six-month periods of 2020 include</w:t>
      </w:r>
      <w:r w:rsidR="006413D3">
        <w:t>d no</w:t>
      </w:r>
      <w:r>
        <w:t xml:space="preserve"> stock-based compensation expense, as compared to $11,322 and $22,641, respectively, for the comparable periods of 2019 </w:t>
      </w:r>
      <w:r w:rsidRPr="003434EE">
        <w:t>(see discussion under “Stock-Based</w:t>
      </w:r>
      <w:r>
        <w:t xml:space="preserve"> Compensation Expense” below).</w:t>
      </w:r>
    </w:p>
    <w:p w14:paraId="4F3DCB45" w14:textId="77777777" w:rsidR="006B2A98" w:rsidRPr="009E4569" w:rsidRDefault="006B2A98" w:rsidP="009E4569">
      <w:pPr>
        <w:rPr>
          <w:rFonts w:ascii="CG Times (WN)" w:hAnsi="CG Times (WN)"/>
        </w:rPr>
      </w:pPr>
    </w:p>
    <w:p w14:paraId="1D1BFF6B" w14:textId="32DF10BA" w:rsidR="006B2A98" w:rsidRPr="009E4569" w:rsidRDefault="006B2A98" w:rsidP="006B2A98">
      <w:pPr>
        <w:rPr>
          <w:rFonts w:ascii="CG Times (WN)" w:hAnsi="CG Times (WN)"/>
        </w:rPr>
      </w:pPr>
      <w:r w:rsidRPr="009E4569">
        <w:rPr>
          <w:rFonts w:ascii="CG Times (WN)" w:hAnsi="CG Times (WN)"/>
        </w:rPr>
        <w:t xml:space="preserve">Our research and development expenses can fluctuate considerably on a period-to-period basis, </w:t>
      </w:r>
      <w:r w:rsidRPr="00640BA0">
        <w:t xml:space="preserve">depending on the timing of expenditures related to our </w:t>
      </w:r>
      <w:r>
        <w:t xml:space="preserve">government </w:t>
      </w:r>
      <w:r w:rsidRPr="00640BA0">
        <w:t>grants</w:t>
      </w:r>
      <w:r>
        <w:t xml:space="preserve"> and other research projects, and other factors.  </w:t>
      </w:r>
      <w:r w:rsidRPr="009E4569">
        <w:t xml:space="preserve">Research and development expenses </w:t>
      </w:r>
      <w:r w:rsidRPr="006E769B">
        <w:t>increased</w:t>
      </w:r>
      <w:r w:rsidRPr="009E4569">
        <w:t xml:space="preserve"> by </w:t>
      </w:r>
      <w:r>
        <w:t>$</w:t>
      </w:r>
      <w:r w:rsidR="006413D3">
        <w:t>263,412</w:t>
      </w:r>
      <w:r>
        <w:t xml:space="preserve">, or </w:t>
      </w:r>
      <w:r w:rsidR="006413D3">
        <w:t>26</w:t>
      </w:r>
      <w:r>
        <w:t xml:space="preserve">%, </w:t>
      </w:r>
      <w:bookmarkStart w:id="26" w:name="_Hlk45118342"/>
      <w:r w:rsidRPr="009E4569">
        <w:t xml:space="preserve">from </w:t>
      </w:r>
      <w:r>
        <w:t xml:space="preserve">the six-month period of 2019 to 2020 </w:t>
      </w:r>
      <w:bookmarkEnd w:id="26"/>
      <w:r w:rsidRPr="009E4569">
        <w:t xml:space="preserve">primarily due to the timing </w:t>
      </w:r>
      <w:r w:rsidR="006413D3">
        <w:t xml:space="preserve">and amount </w:t>
      </w:r>
      <w:r w:rsidRPr="009E4569">
        <w:t xml:space="preserve">of expenditures related to our government grants. </w:t>
      </w:r>
      <w:r w:rsidRPr="009E4569">
        <w:rPr>
          <w:rFonts w:ascii="CG Times (WN)" w:hAnsi="CG Times (WN)"/>
        </w:rPr>
        <w:t>Our r</w:t>
      </w:r>
      <w:r>
        <w:rPr>
          <w:rFonts w:ascii="CG Times (WN)" w:hAnsi="CG Times (WN)"/>
        </w:rPr>
        <w:t>es</w:t>
      </w:r>
      <w:r w:rsidRPr="009E4569">
        <w:rPr>
          <w:rFonts w:ascii="CG Times (WN)" w:hAnsi="CG Times (WN)"/>
        </w:rPr>
        <w:t xml:space="preserve">earch and development costs do not include costs incurred by the </w:t>
      </w:r>
      <w:r>
        <w:rPr>
          <w:rFonts w:ascii="CG Times (WN)" w:hAnsi="CG Times (WN)"/>
        </w:rPr>
        <w:t>HIV Vaccine Trials Network (</w:t>
      </w:r>
      <w:r w:rsidRPr="009E4569">
        <w:rPr>
          <w:rFonts w:ascii="CG Times (WN)" w:hAnsi="CG Times (WN)"/>
        </w:rPr>
        <w:t>HVTN</w:t>
      </w:r>
      <w:r>
        <w:rPr>
          <w:rFonts w:ascii="CG Times (WN)" w:hAnsi="CG Times (WN)"/>
        </w:rPr>
        <w:t>)</w:t>
      </w:r>
      <w:r w:rsidRPr="009E4569">
        <w:rPr>
          <w:rFonts w:ascii="CG Times (WN)" w:hAnsi="CG Times (WN)"/>
        </w:rPr>
        <w:t xml:space="preserve"> in conducting clinical trials of our preventive HIV vaccines; those costs are funded directly to the HVTN by NIAID.</w:t>
      </w:r>
    </w:p>
    <w:p w14:paraId="31494B84" w14:textId="77777777" w:rsidR="009E4569" w:rsidRPr="0014178D" w:rsidRDefault="009E4569" w:rsidP="000A55AE"/>
    <w:p w14:paraId="08B20BD0" w14:textId="6837777E" w:rsidR="00D338E8" w:rsidRPr="00632F8B" w:rsidRDefault="00D338E8" w:rsidP="00D338E8">
      <w:pPr>
        <w:pStyle w:val="NormalWeb"/>
        <w:spacing w:before="0" w:beforeAutospacing="0" w:after="0" w:afterAutospacing="0"/>
        <w:rPr>
          <w:sz w:val="20"/>
          <w:szCs w:val="20"/>
        </w:rPr>
      </w:pPr>
      <w:r>
        <w:rPr>
          <w:sz w:val="20"/>
          <w:szCs w:val="20"/>
        </w:rPr>
        <w:t>We do not</w:t>
      </w:r>
      <w:r w:rsidRPr="00632F8B">
        <w:rPr>
          <w:sz w:val="20"/>
          <w:szCs w:val="20"/>
        </w:rPr>
        <w:t xml:space="preserve"> </w:t>
      </w:r>
      <w:r>
        <w:rPr>
          <w:sz w:val="20"/>
          <w:szCs w:val="20"/>
        </w:rPr>
        <w:t>disclose our</w:t>
      </w:r>
      <w:r w:rsidRPr="00632F8B">
        <w:rPr>
          <w:sz w:val="20"/>
          <w:szCs w:val="20"/>
        </w:rPr>
        <w:t xml:space="preserve"> research and development expenses by project, since our employees</w:t>
      </w:r>
      <w:r>
        <w:rPr>
          <w:sz w:val="20"/>
          <w:szCs w:val="20"/>
        </w:rPr>
        <w:t>’</w:t>
      </w:r>
      <w:r w:rsidRPr="00632F8B">
        <w:rPr>
          <w:sz w:val="20"/>
          <w:szCs w:val="20"/>
        </w:rPr>
        <w:t xml:space="preserve"> time is spread across multiple programs and our laboratory facility is used for multiple vaccine candidates. We track the direct cost of research and </w:t>
      </w:r>
      <w:r w:rsidRPr="00632F8B">
        <w:rPr>
          <w:sz w:val="20"/>
          <w:szCs w:val="20"/>
        </w:rPr>
        <w:lastRenderedPageBreak/>
        <w:t xml:space="preserve">development expenses </w:t>
      </w:r>
      <w:r>
        <w:rPr>
          <w:sz w:val="20"/>
          <w:szCs w:val="20"/>
        </w:rPr>
        <w:t xml:space="preserve">related to </w:t>
      </w:r>
      <w:r w:rsidRPr="00632F8B">
        <w:rPr>
          <w:sz w:val="20"/>
          <w:szCs w:val="20"/>
        </w:rPr>
        <w:t>government grant revenue by the percentage of assigned employees’ time spent on each grant and other direct costs associated with each grant. Indirect costs associated with grants are not tracked separately but are applied based on a contracted overhead</w:t>
      </w:r>
      <w:r>
        <w:rPr>
          <w:sz w:val="20"/>
          <w:szCs w:val="20"/>
        </w:rPr>
        <w:t xml:space="preserve"> rate negotiated with the NIH. </w:t>
      </w:r>
      <w:r w:rsidRPr="00632F8B">
        <w:rPr>
          <w:sz w:val="20"/>
          <w:szCs w:val="20"/>
        </w:rPr>
        <w:t>Therefore, the recorded revenues associated with government grants ap</w:t>
      </w:r>
      <w:r>
        <w:rPr>
          <w:sz w:val="20"/>
          <w:szCs w:val="20"/>
        </w:rPr>
        <w:t xml:space="preserve">proximate the costs incurred. </w:t>
      </w:r>
    </w:p>
    <w:p w14:paraId="317BE289" w14:textId="77777777" w:rsidR="00D338E8" w:rsidRPr="00640BA0" w:rsidRDefault="00D338E8" w:rsidP="00D338E8"/>
    <w:p w14:paraId="78AE6F8B" w14:textId="77777777" w:rsidR="00D338E8" w:rsidRDefault="00D338E8" w:rsidP="00D338E8">
      <w:r w:rsidRPr="00176BE5">
        <w:t xml:space="preserve">We do not provide forward-looking estimates of costs and time to complete our research programs due to the many uncertainties associated with vaccine development. </w:t>
      </w:r>
      <w:r w:rsidRPr="00640BA0">
        <w:t xml:space="preserve">Due to </w:t>
      </w:r>
      <w:r>
        <w:t>these uncertainties</w:t>
      </w:r>
      <w:r w:rsidRPr="00640BA0">
        <w:t>, our future expenditures are likely to be highly volatile in future periods depending on the outcomes of the trials and studies</w:t>
      </w:r>
      <w:r>
        <w:t xml:space="preserve">. </w:t>
      </w:r>
      <w:r w:rsidRPr="00176BE5">
        <w:t xml:space="preserve">As we obtain data from pre-clinical studies and clinical trials, we may elect to discontinue or delay </w:t>
      </w:r>
      <w:r>
        <w:t>vaccine development programs</w:t>
      </w:r>
      <w:r w:rsidRPr="00176BE5">
        <w:t xml:space="preserve"> to focus our resources on more promising vaccine candidates. Completion of </w:t>
      </w:r>
      <w:r>
        <w:t xml:space="preserve">preclinical studies and human </w:t>
      </w:r>
      <w:r w:rsidRPr="00176BE5">
        <w:t xml:space="preserve">clinical trials may take several years or more, but the length of time can vary substantially depending upon </w:t>
      </w:r>
      <w:r>
        <w:t>several factors</w:t>
      </w:r>
      <w:r w:rsidRPr="00176BE5">
        <w:t>.</w:t>
      </w:r>
      <w:r>
        <w:t xml:space="preserve"> </w:t>
      </w:r>
      <w:r w:rsidRPr="00640BA0">
        <w:t>The duration and the cost of future clinical trials may vary significantly over the life of the project because of differences arising during development of the human clinical trial pro</w:t>
      </w:r>
      <w:r>
        <w:t xml:space="preserve">tocols, including </w:t>
      </w:r>
      <w:r w:rsidRPr="00426C8F">
        <w:t>the number of patients that ultimately participate in the clinical trial;</w:t>
      </w:r>
      <w:r>
        <w:t xml:space="preserve"> </w:t>
      </w:r>
      <w:r w:rsidRPr="00426C8F">
        <w:t>the duration of patient follow-up that seems appropriate in view of the results;</w:t>
      </w:r>
      <w:r>
        <w:t xml:space="preserve"> </w:t>
      </w:r>
      <w:r w:rsidRPr="00426C8F">
        <w:t>the number of clinical sites included in the clinical trials; and</w:t>
      </w:r>
      <w:r>
        <w:t xml:space="preserve"> </w:t>
      </w:r>
      <w:r w:rsidRPr="00426C8F">
        <w:t>the length of time required to enroll suitable patient subjects.</w:t>
      </w:r>
    </w:p>
    <w:p w14:paraId="3B115EF6" w14:textId="77777777" w:rsidR="000A55AE" w:rsidRPr="0014178D" w:rsidRDefault="000A55AE" w:rsidP="000A55AE"/>
    <w:p w14:paraId="384A07AB" w14:textId="6621E700" w:rsidR="00C323DF" w:rsidRPr="004A3014" w:rsidRDefault="009771C4" w:rsidP="000A55AE">
      <w:pPr>
        <w:pStyle w:val="BodyText"/>
        <w:spacing w:after="0"/>
        <w:rPr>
          <w:rStyle w:val="BodySubtitleChar"/>
        </w:rPr>
      </w:pPr>
      <w:r w:rsidRPr="004A3014">
        <w:rPr>
          <w:rStyle w:val="BodySubtitleChar"/>
        </w:rPr>
        <w:t>General and Administrative Expense</w:t>
      </w:r>
      <w:r w:rsidR="005268FE">
        <w:rPr>
          <w:rStyle w:val="BodySubtitleChar"/>
        </w:rPr>
        <w:t>s</w:t>
      </w:r>
    </w:p>
    <w:p w14:paraId="2F323023" w14:textId="77777777" w:rsidR="000A55AE" w:rsidRDefault="000A55AE" w:rsidP="000A55AE"/>
    <w:p w14:paraId="7FDCA8D0" w14:textId="611FE96D" w:rsidR="006B2A98" w:rsidRDefault="006B2A98" w:rsidP="006B2A98">
      <w:r w:rsidRPr="00E47E5D">
        <w:t xml:space="preserve">Our general and administrative expenses </w:t>
      </w:r>
      <w:r w:rsidRPr="00D3101C">
        <w:t>were $</w:t>
      </w:r>
      <w:r w:rsidR="00D3101C" w:rsidRPr="00D3101C">
        <w:t>427</w:t>
      </w:r>
      <w:r w:rsidR="00911886" w:rsidRPr="00D3101C">
        <w:t>,292</w:t>
      </w:r>
      <w:r w:rsidRPr="00D3101C">
        <w:t xml:space="preserve"> and $</w:t>
      </w:r>
      <w:r w:rsidR="00D3101C" w:rsidRPr="00D3101C">
        <w:t>929</w:t>
      </w:r>
      <w:r w:rsidR="00911886" w:rsidRPr="00D3101C">
        <w:t>,637</w:t>
      </w:r>
      <w:r w:rsidRPr="00D3101C">
        <w:t xml:space="preserve"> for the three-month and six-month periods ended June 30, 2020, as compared to $412,650 and $922,714 during the comparable periods of 2019. General and administrative costs include officers’ salaries, legal and accounting costs, patent costs, and other general corporate expenses. General and administrative expense for the three-month and six-month periods of 2020 include</w:t>
      </w:r>
      <w:r w:rsidR="00911886" w:rsidRPr="00D3101C">
        <w:t>d</w:t>
      </w:r>
      <w:r w:rsidRPr="00D3101C">
        <w:t xml:space="preserve"> stock-based compensation expense of $</w:t>
      </w:r>
      <w:r w:rsidR="00911886" w:rsidRPr="00D3101C">
        <w:t>12,000</w:t>
      </w:r>
      <w:r w:rsidRPr="00D3101C">
        <w:t xml:space="preserve"> and $</w:t>
      </w:r>
      <w:r w:rsidR="00911886" w:rsidRPr="00D3101C">
        <w:t>18,000</w:t>
      </w:r>
      <w:r w:rsidRPr="00D3101C">
        <w:t>, respectively; as compared to $93,851 and $235,755, respectively, for the comparable periods of 2019 (see discussion under “Stock-Based Compensation Expense” below). Excluding stock-based compensation expense, general and administrative expenses were $</w:t>
      </w:r>
      <w:r w:rsidR="00D3101C" w:rsidRPr="00D3101C">
        <w:t>415</w:t>
      </w:r>
      <w:r w:rsidR="00911886" w:rsidRPr="00D3101C">
        <w:t>,292</w:t>
      </w:r>
      <w:r w:rsidRPr="00D3101C">
        <w:t xml:space="preserve"> and $</w:t>
      </w:r>
      <w:r w:rsidR="00D3101C" w:rsidRPr="00D3101C">
        <w:t>911</w:t>
      </w:r>
      <w:r w:rsidR="00911886" w:rsidRPr="00D3101C">
        <w:t>,637</w:t>
      </w:r>
      <w:r w:rsidRPr="00D3101C">
        <w:t xml:space="preserve"> during the three-month and six-month periods ended June 30, 2020, respectively, as compared to $318,799 and $686,959, respectively during the comparable periods of 2019, representing an increase of $</w:t>
      </w:r>
      <w:r w:rsidR="00D3101C" w:rsidRPr="00D3101C">
        <w:t>224</w:t>
      </w:r>
      <w:r w:rsidR="00911886" w:rsidRPr="00D3101C">
        <w:t>,678</w:t>
      </w:r>
      <w:r w:rsidRPr="00D3101C">
        <w:t xml:space="preserve">, or </w:t>
      </w:r>
      <w:r w:rsidR="00D3101C" w:rsidRPr="00D3101C">
        <w:t>33</w:t>
      </w:r>
      <w:r w:rsidRPr="00D3101C">
        <w:t>%, from</w:t>
      </w:r>
      <w:r w:rsidRPr="009E4569">
        <w:t xml:space="preserve"> </w:t>
      </w:r>
      <w:r>
        <w:t>the six-month period of 2019 to the comparable period of 2020</w:t>
      </w:r>
      <w:r w:rsidRPr="008D6E78">
        <w:t xml:space="preserve">. </w:t>
      </w:r>
      <w:r w:rsidRPr="00E47E5D">
        <w:rPr>
          <w:color w:val="000000"/>
        </w:rPr>
        <w:t xml:space="preserve">The overall </w:t>
      </w:r>
      <w:r w:rsidRPr="009E4569">
        <w:rPr>
          <w:color w:val="000000"/>
        </w:rPr>
        <w:t>increase</w:t>
      </w:r>
      <w:r w:rsidRPr="00E47E5D">
        <w:rPr>
          <w:color w:val="000000"/>
        </w:rPr>
        <w:t xml:space="preserve"> in </w:t>
      </w:r>
      <w:r>
        <w:rPr>
          <w:color w:val="000000"/>
        </w:rPr>
        <w:t xml:space="preserve">general and administrative expense from 2019 to 2020 is primarily attributable </w:t>
      </w:r>
      <w:r w:rsidRPr="0083192B">
        <w:rPr>
          <w:color w:val="000000"/>
        </w:rPr>
        <w:t xml:space="preserve">to higher legal </w:t>
      </w:r>
      <w:r w:rsidR="00B41B9D" w:rsidRPr="0083192B">
        <w:rPr>
          <w:color w:val="000000"/>
        </w:rPr>
        <w:t xml:space="preserve">and patent </w:t>
      </w:r>
      <w:r w:rsidRPr="0083192B">
        <w:rPr>
          <w:color w:val="000000"/>
        </w:rPr>
        <w:t xml:space="preserve">costs. </w:t>
      </w:r>
      <w:r w:rsidRPr="0083192B">
        <w:t>We expect that our general and administrative costs may</w:t>
      </w:r>
      <w:r w:rsidRPr="00F11B56">
        <w:t xml:space="preserve"> increase in the future in support of expanded research and development</w:t>
      </w:r>
      <w:r w:rsidRPr="00E47E5D">
        <w:t xml:space="preserve"> activities and other general corporate activities.</w:t>
      </w:r>
    </w:p>
    <w:p w14:paraId="35365160" w14:textId="77777777" w:rsidR="006B2A98" w:rsidRDefault="006B2A98" w:rsidP="000A55AE">
      <w:pPr>
        <w:pStyle w:val="BodyText"/>
        <w:spacing w:after="0"/>
        <w:rPr>
          <w:rStyle w:val="BodySubtitleChar"/>
        </w:rPr>
      </w:pPr>
    </w:p>
    <w:p w14:paraId="3DB48256" w14:textId="336D8B1A" w:rsidR="00C323DF" w:rsidRPr="004A3014" w:rsidRDefault="00B07D72" w:rsidP="000A55AE">
      <w:pPr>
        <w:pStyle w:val="BodyText"/>
        <w:spacing w:after="0"/>
        <w:rPr>
          <w:i/>
        </w:rPr>
      </w:pPr>
      <w:r w:rsidRPr="004A3014">
        <w:rPr>
          <w:rStyle w:val="BodySubtitleChar"/>
        </w:rPr>
        <w:t>Stock-Based Compensation Expense</w:t>
      </w:r>
    </w:p>
    <w:p w14:paraId="0F2C7D45" w14:textId="77777777" w:rsidR="000A55AE" w:rsidRDefault="000A55AE" w:rsidP="000A55AE">
      <w:pPr>
        <w:pStyle w:val="BodyText"/>
        <w:spacing w:after="0"/>
        <w:rPr>
          <w:color w:val="000000"/>
        </w:rPr>
      </w:pPr>
    </w:p>
    <w:p w14:paraId="18EDE5F6" w14:textId="2DD9F353" w:rsidR="006B2A98" w:rsidRDefault="006B2A98" w:rsidP="006B2A98">
      <w:pPr>
        <w:pStyle w:val="BodyText"/>
        <w:spacing w:after="0"/>
      </w:pPr>
      <w:r>
        <w:rPr>
          <w:color w:val="000000"/>
        </w:rPr>
        <w:t xml:space="preserve">The table below shows the components of stock-based compensation expense for the three-month and six-month periods ended June 30, 2020 and 2019. </w:t>
      </w:r>
      <w:r w:rsidRPr="006B2A98">
        <w:t xml:space="preserve"> </w:t>
      </w:r>
      <w:r w:rsidRPr="00137D87">
        <w:t>In general, stock-based compensation expense is allocated to research and development expense or general and administrative expense according to the classification of cash compensation paid to the employee, consultant or director to whom the stock compensation was granted.</w:t>
      </w:r>
    </w:p>
    <w:p w14:paraId="1D587412" w14:textId="77777777" w:rsidR="006B2A98" w:rsidRDefault="006B2A98" w:rsidP="006B2A98">
      <w:pPr>
        <w:pStyle w:val="BodyText"/>
        <w:spacing w:after="0"/>
        <w:rPr>
          <w:color w:val="000000"/>
        </w:rPr>
      </w:pPr>
    </w:p>
    <w:tbl>
      <w:tblPr>
        <w:tblW w:w="0" w:type="auto"/>
        <w:tblLook w:val="01E0" w:firstRow="1" w:lastRow="1" w:firstColumn="1" w:lastColumn="1" w:noHBand="0" w:noVBand="0"/>
      </w:tblPr>
      <w:tblGrid>
        <w:gridCol w:w="3944"/>
        <w:gridCol w:w="1499"/>
        <w:gridCol w:w="1498"/>
        <w:gridCol w:w="1498"/>
        <w:gridCol w:w="1497"/>
      </w:tblGrid>
      <w:tr w:rsidR="006B2A98" w:rsidRPr="00C44927" w14:paraId="703B86BC" w14:textId="77777777" w:rsidTr="00A2288D">
        <w:tc>
          <w:tcPr>
            <w:tcW w:w="4108" w:type="dxa"/>
          </w:tcPr>
          <w:p w14:paraId="799BC882" w14:textId="77777777" w:rsidR="006B2A98" w:rsidRPr="00C44927" w:rsidRDefault="006B2A98" w:rsidP="00A2288D">
            <w:pPr>
              <w:rPr>
                <w:color w:val="000000"/>
              </w:rPr>
            </w:pPr>
          </w:p>
        </w:tc>
        <w:tc>
          <w:tcPr>
            <w:tcW w:w="3022" w:type="dxa"/>
            <w:gridSpan w:val="2"/>
            <w:tcBorders>
              <w:bottom w:val="single" w:sz="4" w:space="0" w:color="auto"/>
            </w:tcBorders>
          </w:tcPr>
          <w:p w14:paraId="686821A1" w14:textId="77777777" w:rsidR="006B2A98" w:rsidRPr="00C44927" w:rsidRDefault="006B2A98" w:rsidP="00A2288D">
            <w:pPr>
              <w:jc w:val="center"/>
              <w:rPr>
                <w:color w:val="000000"/>
              </w:rPr>
            </w:pPr>
            <w:r w:rsidRPr="00C44927">
              <w:rPr>
                <w:color w:val="000000"/>
              </w:rPr>
              <w:t>Three Months Ended June 30,</w:t>
            </w:r>
          </w:p>
        </w:tc>
        <w:tc>
          <w:tcPr>
            <w:tcW w:w="3022" w:type="dxa"/>
            <w:gridSpan w:val="2"/>
            <w:tcBorders>
              <w:bottom w:val="single" w:sz="4" w:space="0" w:color="auto"/>
            </w:tcBorders>
          </w:tcPr>
          <w:p w14:paraId="7DDF07CF" w14:textId="77777777" w:rsidR="006B2A98" w:rsidRPr="00C44927" w:rsidRDefault="006B2A98" w:rsidP="00A2288D">
            <w:pPr>
              <w:jc w:val="center"/>
              <w:rPr>
                <w:color w:val="000000"/>
              </w:rPr>
            </w:pPr>
            <w:r w:rsidRPr="00C44927">
              <w:rPr>
                <w:color w:val="000000"/>
              </w:rPr>
              <w:t>Six Months Ended June 30,</w:t>
            </w:r>
          </w:p>
        </w:tc>
      </w:tr>
      <w:tr w:rsidR="006B2A98" w:rsidRPr="00C44927" w14:paraId="32735B90" w14:textId="77777777" w:rsidTr="00A2288D">
        <w:tc>
          <w:tcPr>
            <w:tcW w:w="4108" w:type="dxa"/>
            <w:tcBorders>
              <w:bottom w:val="single" w:sz="4" w:space="0" w:color="auto"/>
            </w:tcBorders>
          </w:tcPr>
          <w:p w14:paraId="36ACC1EC" w14:textId="77777777" w:rsidR="006B2A98" w:rsidRPr="00C44927" w:rsidRDefault="006B2A98" w:rsidP="00A2288D">
            <w:pPr>
              <w:rPr>
                <w:color w:val="000000"/>
              </w:rPr>
            </w:pPr>
          </w:p>
        </w:tc>
        <w:tc>
          <w:tcPr>
            <w:tcW w:w="1511" w:type="dxa"/>
            <w:tcBorders>
              <w:top w:val="single" w:sz="4" w:space="0" w:color="auto"/>
              <w:bottom w:val="single" w:sz="4" w:space="0" w:color="auto"/>
            </w:tcBorders>
          </w:tcPr>
          <w:p w14:paraId="1C985CAB" w14:textId="627BE60B" w:rsidR="006B2A98" w:rsidRPr="00C44927" w:rsidRDefault="006B2A98" w:rsidP="00A2288D">
            <w:pPr>
              <w:jc w:val="center"/>
              <w:rPr>
                <w:color w:val="000000"/>
              </w:rPr>
            </w:pPr>
            <w:r>
              <w:rPr>
                <w:color w:val="000000"/>
              </w:rPr>
              <w:t>2020</w:t>
            </w:r>
          </w:p>
        </w:tc>
        <w:tc>
          <w:tcPr>
            <w:tcW w:w="1511" w:type="dxa"/>
            <w:tcBorders>
              <w:top w:val="single" w:sz="4" w:space="0" w:color="auto"/>
              <w:bottom w:val="single" w:sz="4" w:space="0" w:color="auto"/>
            </w:tcBorders>
          </w:tcPr>
          <w:p w14:paraId="1C27CF1C" w14:textId="0179FCD8" w:rsidR="006B2A98" w:rsidRPr="00C44927" w:rsidRDefault="006B2A98" w:rsidP="00A2288D">
            <w:pPr>
              <w:jc w:val="center"/>
              <w:rPr>
                <w:color w:val="000000"/>
              </w:rPr>
            </w:pPr>
            <w:r>
              <w:rPr>
                <w:color w:val="000000"/>
              </w:rPr>
              <w:t>2019</w:t>
            </w:r>
          </w:p>
        </w:tc>
        <w:tc>
          <w:tcPr>
            <w:tcW w:w="1511" w:type="dxa"/>
            <w:tcBorders>
              <w:bottom w:val="single" w:sz="4" w:space="0" w:color="auto"/>
            </w:tcBorders>
          </w:tcPr>
          <w:p w14:paraId="3E41277C" w14:textId="12AF71AC" w:rsidR="006B2A98" w:rsidRPr="00C44927" w:rsidRDefault="006B2A98" w:rsidP="00A2288D">
            <w:pPr>
              <w:jc w:val="center"/>
              <w:rPr>
                <w:color w:val="000000"/>
              </w:rPr>
            </w:pPr>
            <w:r>
              <w:rPr>
                <w:color w:val="000000"/>
              </w:rPr>
              <w:t>2020</w:t>
            </w:r>
          </w:p>
        </w:tc>
        <w:tc>
          <w:tcPr>
            <w:tcW w:w="1511" w:type="dxa"/>
            <w:tcBorders>
              <w:bottom w:val="single" w:sz="4" w:space="0" w:color="auto"/>
            </w:tcBorders>
          </w:tcPr>
          <w:p w14:paraId="6494905E" w14:textId="6180E819" w:rsidR="006B2A98" w:rsidRPr="00C44927" w:rsidRDefault="006B2A98" w:rsidP="00A2288D">
            <w:pPr>
              <w:jc w:val="center"/>
              <w:rPr>
                <w:color w:val="000000"/>
              </w:rPr>
            </w:pPr>
            <w:r>
              <w:rPr>
                <w:color w:val="000000"/>
              </w:rPr>
              <w:t>2019</w:t>
            </w:r>
          </w:p>
        </w:tc>
      </w:tr>
      <w:tr w:rsidR="006B2A98" w:rsidRPr="00C44927" w14:paraId="055710F2" w14:textId="77777777" w:rsidTr="00A2288D">
        <w:tc>
          <w:tcPr>
            <w:tcW w:w="4108" w:type="dxa"/>
            <w:tcBorders>
              <w:top w:val="single" w:sz="4" w:space="0" w:color="auto"/>
            </w:tcBorders>
          </w:tcPr>
          <w:p w14:paraId="0E8C6EFE" w14:textId="77777777" w:rsidR="006B2A98" w:rsidRPr="00C44927" w:rsidRDefault="006B2A98" w:rsidP="00A2288D">
            <w:pPr>
              <w:rPr>
                <w:color w:val="000000"/>
              </w:rPr>
            </w:pPr>
            <w:r>
              <w:rPr>
                <w:color w:val="000000"/>
              </w:rPr>
              <w:t>Stock option expense</w:t>
            </w:r>
          </w:p>
        </w:tc>
        <w:tc>
          <w:tcPr>
            <w:tcW w:w="1511" w:type="dxa"/>
            <w:tcBorders>
              <w:top w:val="single" w:sz="4" w:space="0" w:color="auto"/>
            </w:tcBorders>
          </w:tcPr>
          <w:p w14:paraId="3C8ACB48" w14:textId="10549A8E" w:rsidR="006B2A98" w:rsidRPr="00C44927" w:rsidRDefault="006B2A98" w:rsidP="00A2288D">
            <w:pPr>
              <w:tabs>
                <w:tab w:val="decimal" w:pos="1092"/>
              </w:tabs>
              <w:rPr>
                <w:color w:val="000000"/>
              </w:rPr>
            </w:pPr>
            <w:r>
              <w:rPr>
                <w:color w:val="000000"/>
              </w:rPr>
              <w:t xml:space="preserve">$  </w:t>
            </w:r>
            <w:r w:rsidR="00911886">
              <w:rPr>
                <w:color w:val="000000"/>
              </w:rPr>
              <w:t xml:space="preserve">         -</w:t>
            </w:r>
          </w:p>
        </w:tc>
        <w:tc>
          <w:tcPr>
            <w:tcW w:w="1511" w:type="dxa"/>
            <w:tcBorders>
              <w:top w:val="single" w:sz="4" w:space="0" w:color="auto"/>
            </w:tcBorders>
          </w:tcPr>
          <w:p w14:paraId="33A56E29" w14:textId="57BFF28A" w:rsidR="006B2A98" w:rsidRPr="00C44927" w:rsidRDefault="006B2A98" w:rsidP="00A2288D">
            <w:pPr>
              <w:tabs>
                <w:tab w:val="decimal" w:pos="1081"/>
              </w:tabs>
              <w:rPr>
                <w:color w:val="000000"/>
              </w:rPr>
            </w:pPr>
            <w:proofErr w:type="gramStart"/>
            <w:r>
              <w:rPr>
                <w:color w:val="000000"/>
              </w:rPr>
              <w:t xml:space="preserve">$ </w:t>
            </w:r>
            <w:r w:rsidRPr="00C44927">
              <w:rPr>
                <w:color w:val="000000"/>
              </w:rPr>
              <w:t xml:space="preserve"> </w:t>
            </w:r>
            <w:r>
              <w:rPr>
                <w:color w:val="000000"/>
              </w:rPr>
              <w:t>26,664</w:t>
            </w:r>
            <w:proofErr w:type="gramEnd"/>
          </w:p>
        </w:tc>
        <w:tc>
          <w:tcPr>
            <w:tcW w:w="1511" w:type="dxa"/>
            <w:tcBorders>
              <w:top w:val="single" w:sz="4" w:space="0" w:color="auto"/>
            </w:tcBorders>
          </w:tcPr>
          <w:p w14:paraId="6C7FEF09" w14:textId="55EAE027" w:rsidR="006B2A98" w:rsidRPr="00C44927" w:rsidRDefault="006B2A98" w:rsidP="00A2288D">
            <w:pPr>
              <w:tabs>
                <w:tab w:val="decimal" w:pos="1070"/>
              </w:tabs>
              <w:rPr>
                <w:color w:val="000000"/>
              </w:rPr>
            </w:pPr>
            <w:r>
              <w:rPr>
                <w:color w:val="000000"/>
              </w:rPr>
              <w:t xml:space="preserve">$   </w:t>
            </w:r>
            <w:r w:rsidR="00911886">
              <w:rPr>
                <w:color w:val="000000"/>
              </w:rPr>
              <w:t xml:space="preserve">       -</w:t>
            </w:r>
          </w:p>
        </w:tc>
        <w:tc>
          <w:tcPr>
            <w:tcW w:w="1511" w:type="dxa"/>
            <w:tcBorders>
              <w:top w:val="single" w:sz="4" w:space="0" w:color="auto"/>
            </w:tcBorders>
          </w:tcPr>
          <w:p w14:paraId="03022BCD" w14:textId="6B547AE0" w:rsidR="006B2A98" w:rsidRPr="00C44927" w:rsidRDefault="006B2A98" w:rsidP="00A2288D">
            <w:pPr>
              <w:tabs>
                <w:tab w:val="decimal" w:pos="1059"/>
              </w:tabs>
              <w:rPr>
                <w:color w:val="000000"/>
              </w:rPr>
            </w:pPr>
            <w:r>
              <w:rPr>
                <w:color w:val="000000"/>
              </w:rPr>
              <w:t>$   53,316</w:t>
            </w:r>
          </w:p>
        </w:tc>
      </w:tr>
      <w:tr w:rsidR="006B2A98" w:rsidRPr="00C44927" w14:paraId="5C5DC405" w14:textId="77777777" w:rsidTr="00A2288D">
        <w:tc>
          <w:tcPr>
            <w:tcW w:w="4108" w:type="dxa"/>
          </w:tcPr>
          <w:p w14:paraId="7831D39A" w14:textId="77777777" w:rsidR="006B2A98" w:rsidRPr="00C44927" w:rsidRDefault="006B2A98" w:rsidP="00A2288D">
            <w:pPr>
              <w:rPr>
                <w:color w:val="000000"/>
              </w:rPr>
            </w:pPr>
            <w:r>
              <w:rPr>
                <w:color w:val="000000"/>
              </w:rPr>
              <w:t>Stock issued for services</w:t>
            </w:r>
          </w:p>
        </w:tc>
        <w:tc>
          <w:tcPr>
            <w:tcW w:w="1511" w:type="dxa"/>
            <w:tcBorders>
              <w:bottom w:val="single" w:sz="4" w:space="0" w:color="auto"/>
            </w:tcBorders>
          </w:tcPr>
          <w:p w14:paraId="2A8FBAEA" w14:textId="2EBB2542" w:rsidR="006B2A98" w:rsidRPr="00C44927" w:rsidRDefault="00911886" w:rsidP="00A2288D">
            <w:pPr>
              <w:tabs>
                <w:tab w:val="decimal" w:pos="1092"/>
              </w:tabs>
              <w:rPr>
                <w:color w:val="000000"/>
              </w:rPr>
            </w:pPr>
            <w:r>
              <w:rPr>
                <w:color w:val="000000"/>
              </w:rPr>
              <w:t>12,000</w:t>
            </w:r>
          </w:p>
        </w:tc>
        <w:tc>
          <w:tcPr>
            <w:tcW w:w="1511" w:type="dxa"/>
            <w:tcBorders>
              <w:bottom w:val="single" w:sz="4" w:space="0" w:color="auto"/>
            </w:tcBorders>
          </w:tcPr>
          <w:p w14:paraId="67027700" w14:textId="5D44B705" w:rsidR="006B2A98" w:rsidRPr="00C44927" w:rsidRDefault="006B2A98" w:rsidP="00A2288D">
            <w:pPr>
              <w:tabs>
                <w:tab w:val="decimal" w:pos="1081"/>
              </w:tabs>
              <w:rPr>
                <w:color w:val="000000"/>
              </w:rPr>
            </w:pPr>
            <w:r>
              <w:rPr>
                <w:color w:val="000000"/>
              </w:rPr>
              <w:t>78,509</w:t>
            </w:r>
          </w:p>
        </w:tc>
        <w:tc>
          <w:tcPr>
            <w:tcW w:w="1511" w:type="dxa"/>
            <w:tcBorders>
              <w:bottom w:val="single" w:sz="4" w:space="0" w:color="auto"/>
            </w:tcBorders>
          </w:tcPr>
          <w:p w14:paraId="649C2C97" w14:textId="7B669140" w:rsidR="006B2A98" w:rsidRPr="00C44927" w:rsidRDefault="00911886" w:rsidP="00A2288D">
            <w:pPr>
              <w:tabs>
                <w:tab w:val="decimal" w:pos="1070"/>
              </w:tabs>
              <w:rPr>
                <w:color w:val="000000"/>
              </w:rPr>
            </w:pPr>
            <w:r>
              <w:rPr>
                <w:color w:val="000000"/>
              </w:rPr>
              <w:t>18,000</w:t>
            </w:r>
          </w:p>
        </w:tc>
        <w:tc>
          <w:tcPr>
            <w:tcW w:w="1511" w:type="dxa"/>
            <w:tcBorders>
              <w:bottom w:val="single" w:sz="4" w:space="0" w:color="auto"/>
            </w:tcBorders>
          </w:tcPr>
          <w:p w14:paraId="566784C8" w14:textId="3A223815" w:rsidR="006B2A98" w:rsidRPr="00C44927" w:rsidRDefault="006B2A98" w:rsidP="00A2288D">
            <w:pPr>
              <w:tabs>
                <w:tab w:val="decimal" w:pos="1059"/>
              </w:tabs>
              <w:rPr>
                <w:color w:val="000000"/>
              </w:rPr>
            </w:pPr>
            <w:r>
              <w:rPr>
                <w:color w:val="000000"/>
              </w:rPr>
              <w:t>205,080</w:t>
            </w:r>
          </w:p>
        </w:tc>
      </w:tr>
      <w:tr w:rsidR="006B2A98" w:rsidRPr="00C44927" w14:paraId="46D73F71" w14:textId="77777777" w:rsidTr="00A2288D">
        <w:tc>
          <w:tcPr>
            <w:tcW w:w="4108" w:type="dxa"/>
          </w:tcPr>
          <w:p w14:paraId="1435EC14" w14:textId="77777777" w:rsidR="006B2A98" w:rsidRPr="00C44927" w:rsidRDefault="006B2A98" w:rsidP="00A2288D">
            <w:pPr>
              <w:rPr>
                <w:color w:val="000000"/>
              </w:rPr>
            </w:pPr>
            <w:r>
              <w:rPr>
                <w:color w:val="000000"/>
              </w:rPr>
              <w:t>Total stock-based compensation e</w:t>
            </w:r>
            <w:r w:rsidRPr="00C44927">
              <w:rPr>
                <w:color w:val="000000"/>
              </w:rPr>
              <w:t>xpense</w:t>
            </w:r>
          </w:p>
        </w:tc>
        <w:tc>
          <w:tcPr>
            <w:tcW w:w="1511" w:type="dxa"/>
            <w:tcBorders>
              <w:top w:val="single" w:sz="4" w:space="0" w:color="auto"/>
              <w:bottom w:val="double" w:sz="4" w:space="0" w:color="auto"/>
            </w:tcBorders>
          </w:tcPr>
          <w:p w14:paraId="73AE8332" w14:textId="365E9450" w:rsidR="006B2A98" w:rsidRPr="00C44927" w:rsidRDefault="006B2A98" w:rsidP="00A2288D">
            <w:pPr>
              <w:tabs>
                <w:tab w:val="decimal" w:pos="1092"/>
              </w:tabs>
              <w:rPr>
                <w:color w:val="000000"/>
              </w:rPr>
            </w:pPr>
            <w:r w:rsidRPr="00C44927">
              <w:rPr>
                <w:color w:val="000000"/>
              </w:rPr>
              <w:t xml:space="preserve">$ </w:t>
            </w:r>
            <w:r w:rsidR="00911886">
              <w:rPr>
                <w:color w:val="000000"/>
              </w:rPr>
              <w:t>12,000</w:t>
            </w:r>
          </w:p>
        </w:tc>
        <w:tc>
          <w:tcPr>
            <w:tcW w:w="1511" w:type="dxa"/>
            <w:tcBorders>
              <w:top w:val="single" w:sz="4" w:space="0" w:color="auto"/>
              <w:bottom w:val="double" w:sz="4" w:space="0" w:color="auto"/>
            </w:tcBorders>
          </w:tcPr>
          <w:p w14:paraId="08EBFD65" w14:textId="6D83EA5C" w:rsidR="006B2A98" w:rsidRPr="00C44927" w:rsidRDefault="006B2A98" w:rsidP="00A2288D">
            <w:pPr>
              <w:tabs>
                <w:tab w:val="decimal" w:pos="1081"/>
              </w:tabs>
              <w:rPr>
                <w:color w:val="000000"/>
              </w:rPr>
            </w:pPr>
            <w:r>
              <w:rPr>
                <w:color w:val="000000"/>
              </w:rPr>
              <w:t>$ 105,173</w:t>
            </w:r>
          </w:p>
        </w:tc>
        <w:tc>
          <w:tcPr>
            <w:tcW w:w="1511" w:type="dxa"/>
            <w:tcBorders>
              <w:top w:val="single" w:sz="4" w:space="0" w:color="auto"/>
              <w:bottom w:val="double" w:sz="4" w:space="0" w:color="auto"/>
            </w:tcBorders>
          </w:tcPr>
          <w:p w14:paraId="6064B247" w14:textId="06A7295F" w:rsidR="006B2A98" w:rsidRPr="00C44927" w:rsidRDefault="006B2A98" w:rsidP="00A2288D">
            <w:pPr>
              <w:tabs>
                <w:tab w:val="decimal" w:pos="1070"/>
              </w:tabs>
              <w:rPr>
                <w:color w:val="000000"/>
              </w:rPr>
            </w:pPr>
            <w:r>
              <w:rPr>
                <w:color w:val="000000"/>
              </w:rPr>
              <w:t xml:space="preserve">$ </w:t>
            </w:r>
            <w:r w:rsidR="00911886">
              <w:rPr>
                <w:color w:val="000000"/>
              </w:rPr>
              <w:t>18,000</w:t>
            </w:r>
          </w:p>
        </w:tc>
        <w:tc>
          <w:tcPr>
            <w:tcW w:w="1511" w:type="dxa"/>
            <w:tcBorders>
              <w:top w:val="single" w:sz="4" w:space="0" w:color="auto"/>
              <w:bottom w:val="double" w:sz="4" w:space="0" w:color="auto"/>
            </w:tcBorders>
          </w:tcPr>
          <w:p w14:paraId="12183C8A" w14:textId="5EBF48B0" w:rsidR="006B2A98" w:rsidRPr="00C44927" w:rsidRDefault="006B2A98" w:rsidP="00A2288D">
            <w:pPr>
              <w:tabs>
                <w:tab w:val="decimal" w:pos="1059"/>
              </w:tabs>
              <w:rPr>
                <w:color w:val="000000"/>
              </w:rPr>
            </w:pPr>
            <w:r>
              <w:rPr>
                <w:color w:val="000000"/>
              </w:rPr>
              <w:t>$ 258,396</w:t>
            </w:r>
          </w:p>
        </w:tc>
      </w:tr>
    </w:tbl>
    <w:p w14:paraId="52A4D78C" w14:textId="0D768393" w:rsidR="006B2A98" w:rsidRDefault="006B2A98" w:rsidP="000A55AE">
      <w:pPr>
        <w:pStyle w:val="BodyText"/>
        <w:spacing w:after="0"/>
        <w:rPr>
          <w:rStyle w:val="BodySubtitleChar"/>
        </w:rPr>
      </w:pPr>
    </w:p>
    <w:p w14:paraId="0B97F812" w14:textId="32F01E2D" w:rsidR="00F65A59" w:rsidRPr="001B5698" w:rsidRDefault="0083192B" w:rsidP="0083192B">
      <w:r>
        <w:t>As a result of the reverse stock splits enacted in April 2019 and in January 2020, we made adjustments and retroactive restatements to all of our outstanding stock options such that the balances in January 2020 were negligible.</w:t>
      </w:r>
      <w:r>
        <w:rPr>
          <w:color w:val="000000"/>
        </w:rPr>
        <w:t xml:space="preserve"> </w:t>
      </w:r>
      <w:r>
        <w:t>We therefore recorded no</w:t>
      </w:r>
      <w:r w:rsidRPr="00125121">
        <w:t xml:space="preserve"> </w:t>
      </w:r>
      <w:r w:rsidRPr="001B5698">
        <w:t xml:space="preserve">stock-based compensation expense related to our stock option plan for the three-month or six-month periods ended June 30, 2020. </w:t>
      </w:r>
      <w:r w:rsidR="00F65A59" w:rsidRPr="001B5698">
        <w:t>If we make grants under our 2020 Stock Incentive Plan, we will incur related compensation expenses.</w:t>
      </w:r>
    </w:p>
    <w:p w14:paraId="105AECCA" w14:textId="77777777" w:rsidR="00F65A59" w:rsidRPr="001B5698" w:rsidRDefault="00F65A59" w:rsidP="0083192B"/>
    <w:p w14:paraId="6B6DC9A2" w14:textId="60149311" w:rsidR="0083192B" w:rsidRPr="0083192B" w:rsidRDefault="0083192B" w:rsidP="0083192B">
      <w:r w:rsidRPr="001B5698">
        <w:t xml:space="preserve">During the three-month </w:t>
      </w:r>
      <w:r>
        <w:t xml:space="preserve">and six-month </w:t>
      </w:r>
      <w:r w:rsidRPr="00E0278C">
        <w:t>period</w:t>
      </w:r>
      <w:r>
        <w:t>s</w:t>
      </w:r>
      <w:r w:rsidRPr="00E0278C">
        <w:t xml:space="preserve"> ended </w:t>
      </w:r>
      <w:r>
        <w:t>June 30</w:t>
      </w:r>
      <w:r w:rsidRPr="00E0278C">
        <w:t>, 20</w:t>
      </w:r>
      <w:r>
        <w:t>20</w:t>
      </w:r>
      <w:r w:rsidRPr="00E0278C">
        <w:t xml:space="preserve"> we recorded stock-based compensation expense of $</w:t>
      </w:r>
      <w:r>
        <w:t>12,000 and $18,000, respectively,</w:t>
      </w:r>
      <w:r w:rsidRPr="00E0278C">
        <w:t xml:space="preserve"> associated with common stock issued for </w:t>
      </w:r>
      <w:r>
        <w:t>a consulting agreement, as compared to $78,509 and $205,080, respectively, during the same periods of 2019,</w:t>
      </w:r>
      <w:r w:rsidRPr="00E02787">
        <w:t xml:space="preserve"> </w:t>
      </w:r>
      <w:r w:rsidRPr="00E0278C">
        <w:t xml:space="preserve">associated with common stock issued for </w:t>
      </w:r>
      <w:r>
        <w:t xml:space="preserve">consulting and </w:t>
      </w:r>
      <w:r w:rsidRPr="00E0278C">
        <w:t>financial advisory services</w:t>
      </w:r>
      <w:r>
        <w:t>.</w:t>
      </w:r>
    </w:p>
    <w:p w14:paraId="3BFDBC3C" w14:textId="77777777" w:rsidR="0083192B" w:rsidRDefault="0083192B" w:rsidP="000A55AE">
      <w:pPr>
        <w:pStyle w:val="BodyText"/>
        <w:spacing w:after="0"/>
        <w:rPr>
          <w:rStyle w:val="BodySubtitleChar"/>
        </w:rPr>
      </w:pPr>
    </w:p>
    <w:p w14:paraId="767F4ED0" w14:textId="0AD56846" w:rsidR="00C323DF" w:rsidRPr="004A3014" w:rsidRDefault="00FB1EB5" w:rsidP="000A55AE">
      <w:pPr>
        <w:pStyle w:val="BodyText"/>
        <w:spacing w:after="0"/>
      </w:pPr>
      <w:r w:rsidRPr="00904E61">
        <w:rPr>
          <w:rStyle w:val="BodySubtitleChar"/>
        </w:rPr>
        <w:t>Other Incom</w:t>
      </w:r>
      <w:r w:rsidR="00C323DF" w:rsidRPr="00904E61">
        <w:rPr>
          <w:rStyle w:val="BodySubtitleChar"/>
        </w:rPr>
        <w:t>e</w:t>
      </w:r>
      <w:r w:rsidR="00904E61" w:rsidRPr="00904E61">
        <w:rPr>
          <w:rStyle w:val="BodySubtitleChar"/>
        </w:rPr>
        <w:t xml:space="preserve"> (Expense)</w:t>
      </w:r>
    </w:p>
    <w:p w14:paraId="7FEB73F5" w14:textId="77777777" w:rsidR="000A55AE" w:rsidRDefault="000A55AE" w:rsidP="000A55AE">
      <w:pPr>
        <w:pStyle w:val="BodyText"/>
        <w:spacing w:after="0"/>
      </w:pPr>
      <w:bookmarkStart w:id="27" w:name="_Hlk511146650"/>
      <w:bookmarkStart w:id="28" w:name="_Toc197922411"/>
    </w:p>
    <w:p w14:paraId="3525AA06" w14:textId="1D3EF255" w:rsidR="006B2A98" w:rsidRDefault="006B2A98" w:rsidP="006B2A98">
      <w:pPr>
        <w:pStyle w:val="BodyText"/>
        <w:spacing w:after="0"/>
      </w:pPr>
      <w:r>
        <w:t>Interest income for the three-</w:t>
      </w:r>
      <w:r w:rsidRPr="00184417">
        <w:t>mont</w:t>
      </w:r>
      <w:r>
        <w:t>h</w:t>
      </w:r>
      <w:r w:rsidRPr="00184417">
        <w:t xml:space="preserve"> </w:t>
      </w:r>
      <w:r>
        <w:t xml:space="preserve">and six-month periods </w:t>
      </w:r>
      <w:r w:rsidRPr="00184417">
        <w:t xml:space="preserve">ended </w:t>
      </w:r>
      <w:r>
        <w:t>June 30, 20</w:t>
      </w:r>
      <w:r w:rsidR="005A62F5">
        <w:t>20</w:t>
      </w:r>
      <w:r w:rsidRPr="00184417">
        <w:t xml:space="preserve"> was $</w:t>
      </w:r>
      <w:r w:rsidR="002B5B88">
        <w:t>60</w:t>
      </w:r>
      <w:r>
        <w:t xml:space="preserve"> and $</w:t>
      </w:r>
      <w:r w:rsidR="002B5B88">
        <w:t>812</w:t>
      </w:r>
      <w:r>
        <w:t xml:space="preserve">, respectively, </w:t>
      </w:r>
      <w:r w:rsidRPr="00184417">
        <w:t xml:space="preserve">as </w:t>
      </w:r>
      <w:r w:rsidRPr="00D311E6">
        <w:t xml:space="preserve">compared to </w:t>
      </w:r>
      <w:r>
        <w:t>$881 and $2,105, respectively,</w:t>
      </w:r>
      <w:r w:rsidRPr="00D311E6">
        <w:t xml:space="preserve"> for </w:t>
      </w:r>
      <w:r>
        <w:t xml:space="preserve">comparable periods of 2019. </w:t>
      </w:r>
      <w:r w:rsidRPr="001C6303">
        <w:t>The variances between periods are</w:t>
      </w:r>
      <w:r>
        <w:t xml:space="preserve"> primarily</w:t>
      </w:r>
      <w:r w:rsidRPr="001C6303">
        <w:t xml:space="preserve"> attributable to </w:t>
      </w:r>
      <w:r>
        <w:t>cash available for investment and interest rate fluctuations.</w:t>
      </w:r>
      <w:r w:rsidRPr="008D6E78">
        <w:t xml:space="preserve"> </w:t>
      </w:r>
      <w:r>
        <w:t>Interest expense for the three-</w:t>
      </w:r>
      <w:r w:rsidRPr="00184417">
        <w:t>mont</w:t>
      </w:r>
      <w:r>
        <w:t>h</w:t>
      </w:r>
      <w:r w:rsidRPr="00184417">
        <w:t xml:space="preserve"> </w:t>
      </w:r>
      <w:r>
        <w:t>and six-</w:t>
      </w:r>
      <w:r>
        <w:lastRenderedPageBreak/>
        <w:t xml:space="preserve">month periods </w:t>
      </w:r>
      <w:r w:rsidRPr="00184417">
        <w:t xml:space="preserve">ended </w:t>
      </w:r>
      <w:r>
        <w:t>June 30, 20</w:t>
      </w:r>
      <w:r w:rsidR="005A62F5">
        <w:t>20</w:t>
      </w:r>
      <w:r w:rsidRPr="00184417">
        <w:t xml:space="preserve"> was $</w:t>
      </w:r>
      <w:r w:rsidR="00D3101C">
        <w:t>7,153</w:t>
      </w:r>
      <w:r w:rsidR="005A62F5">
        <w:t xml:space="preserve"> </w:t>
      </w:r>
      <w:r>
        <w:t>and $</w:t>
      </w:r>
      <w:r w:rsidR="00D3101C">
        <w:t>8,295</w:t>
      </w:r>
      <w:r>
        <w:t xml:space="preserve">, respectively, </w:t>
      </w:r>
      <w:r w:rsidRPr="00184417">
        <w:t xml:space="preserve">as </w:t>
      </w:r>
      <w:r w:rsidRPr="00D311E6">
        <w:t xml:space="preserve">compared to </w:t>
      </w:r>
      <w:r>
        <w:t>$</w:t>
      </w:r>
      <w:r w:rsidR="005A62F5">
        <w:t>1,093</w:t>
      </w:r>
      <w:r>
        <w:t xml:space="preserve"> and $</w:t>
      </w:r>
      <w:r w:rsidR="005A62F5">
        <w:t>2,221</w:t>
      </w:r>
      <w:r>
        <w:t>, respectively,</w:t>
      </w:r>
      <w:r w:rsidRPr="00D311E6">
        <w:t xml:space="preserve"> for </w:t>
      </w:r>
      <w:r>
        <w:t>comparable periods of 201</w:t>
      </w:r>
      <w:r w:rsidR="005A62F5">
        <w:t>9</w:t>
      </w:r>
      <w:r>
        <w:t xml:space="preserve">. Interest expense relates to the </w:t>
      </w:r>
      <w:r w:rsidR="00435674">
        <w:t xml:space="preserve">Convertible </w:t>
      </w:r>
      <w:r w:rsidR="00D3101C">
        <w:t xml:space="preserve">Debentures, </w:t>
      </w:r>
      <w:r>
        <w:t>GRA Note</w:t>
      </w:r>
      <w:r w:rsidR="00D3101C">
        <w:t>, PPP Loan,</w:t>
      </w:r>
      <w:r>
        <w:t xml:space="preserve"> and financing costs associated with insurance premiums.</w:t>
      </w:r>
    </w:p>
    <w:p w14:paraId="63634285" w14:textId="77777777" w:rsidR="006B2A98" w:rsidRDefault="006B2A98" w:rsidP="000A55AE">
      <w:pPr>
        <w:pStyle w:val="BodyText"/>
        <w:spacing w:after="0"/>
      </w:pPr>
    </w:p>
    <w:bookmarkEnd w:id="27"/>
    <w:p w14:paraId="6E128900" w14:textId="77777777" w:rsidR="000A55AE" w:rsidRDefault="000A55AE" w:rsidP="000A55AE">
      <w:pPr>
        <w:pStyle w:val="Heading2"/>
        <w:numPr>
          <w:ilvl w:val="0"/>
          <w:numId w:val="0"/>
        </w:numPr>
        <w:tabs>
          <w:tab w:val="left" w:pos="1080"/>
        </w:tabs>
        <w:spacing w:after="0"/>
        <w:rPr>
          <w:u w:val="none"/>
        </w:rPr>
      </w:pPr>
    </w:p>
    <w:p w14:paraId="4067366E" w14:textId="07BAE135"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28"/>
    </w:p>
    <w:p w14:paraId="2ABA84AD" w14:textId="77777777" w:rsidR="000A55AE" w:rsidRDefault="000A55AE" w:rsidP="000A55AE">
      <w:pPr>
        <w:pStyle w:val="BodyText"/>
        <w:spacing w:after="0"/>
        <w:rPr>
          <w:rFonts w:eastAsia="????"/>
        </w:rPr>
      </w:pPr>
    </w:p>
    <w:p w14:paraId="52A0009D" w14:textId="18DE4EBC" w:rsidR="0035003D" w:rsidRDefault="00535ED7" w:rsidP="000A55AE">
      <w:pPr>
        <w:pStyle w:val="BodyText"/>
        <w:spacing w:after="0"/>
        <w:rPr>
          <w:rFonts w:eastAsia="????"/>
        </w:rPr>
      </w:pPr>
      <w:r>
        <w:rPr>
          <w:rFonts w:eastAsia="????"/>
        </w:rPr>
        <w:t>Not applicable.</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9" w:name="_Toc197922412"/>
      <w:r w:rsidRPr="001C6303">
        <w:rPr>
          <w:u w:val="none"/>
        </w:rPr>
        <w:t>Item 4</w:t>
      </w:r>
      <w:r w:rsidRPr="001C6303">
        <w:rPr>
          <w:u w:val="none"/>
        </w:rPr>
        <w:tab/>
      </w:r>
      <w:r w:rsidR="00BD6BBE" w:rsidRPr="001C6303">
        <w:t>Controls and Procedures</w:t>
      </w:r>
      <w:bookmarkEnd w:id="29"/>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E463B6D"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3F3D99E" w14:textId="4606786E" w:rsidR="00EB48EF" w:rsidRDefault="00482DED" w:rsidP="000A55AE">
      <w:pPr>
        <w:pStyle w:val="BodyText"/>
        <w:spacing w:after="0"/>
      </w:pPr>
      <w:r>
        <w:t>Although we have modified certain of our internal control procedures as a result of the COVID-19 pandemic, t</w:t>
      </w:r>
      <w:r w:rsidR="00143716" w:rsidRPr="001C6303">
        <w:t xml:space="preserve">here </w:t>
      </w:r>
      <w:r>
        <w:t>were</w:t>
      </w:r>
      <w:r w:rsidR="00143716" w:rsidRPr="001C6303">
        <w:t xml:space="preserve"> no </w:t>
      </w:r>
      <w:r>
        <w:t xml:space="preserve">significant </w:t>
      </w:r>
      <w:r w:rsidR="00143716" w:rsidRPr="001C6303">
        <w:t>change</w:t>
      </w:r>
      <w:r>
        <w:t>s</w:t>
      </w:r>
      <w:r w:rsidR="00143716" w:rsidRPr="001C6303">
        <w:t xml:space="preserve"> in our internal control over financial reporting that occurred during the </w:t>
      </w:r>
      <w:r w:rsidR="00A920D8" w:rsidRPr="001C6303">
        <w:t xml:space="preserve">three months ended </w:t>
      </w:r>
      <w:r w:rsidR="005A62F5">
        <w:t>June</w:t>
      </w:r>
      <w:r w:rsidR="00644AFF">
        <w:t> </w:t>
      </w:r>
      <w:r w:rsidR="006B43ED">
        <w:t>3</w:t>
      </w:r>
      <w:r w:rsidR="005A62F5">
        <w:t>0</w:t>
      </w:r>
      <w:r w:rsidR="006B43ED">
        <w:t>, 20</w:t>
      </w:r>
      <w:r w:rsidR="00717940">
        <w:t>20</w:t>
      </w:r>
      <w:r w:rsidR="000D595F">
        <w:t xml:space="preserve"> </w:t>
      </w:r>
      <w:r w:rsidR="00143716" w:rsidRPr="001C6303">
        <w:t>that ha</w:t>
      </w:r>
      <w:r>
        <w:t>ve</w:t>
      </w:r>
      <w:r w:rsidR="00143716" w:rsidRPr="001C6303">
        <w:t xml:space="preserve"> materially affected, or </w:t>
      </w:r>
      <w:r>
        <w:t>are</w:t>
      </w:r>
      <w:r w:rsidR="00143716" w:rsidRPr="001C6303">
        <w:t xml:space="preserve"> reasonably likely to materially affect, our internal c</w:t>
      </w:r>
      <w:bookmarkStart w:id="30" w:name="_Toc197922413"/>
      <w:r w:rsidR="002D75EF">
        <w:t>ontrol over financial reporting.</w:t>
      </w:r>
      <w:r>
        <w:t xml:space="preserve"> </w:t>
      </w:r>
    </w:p>
    <w:p w14:paraId="65D403B1" w14:textId="39F8DFEE" w:rsidR="00F63074" w:rsidRDefault="00F63074" w:rsidP="000A55AE">
      <w:pPr>
        <w:pStyle w:val="Heading1"/>
        <w:numPr>
          <w:ilvl w:val="0"/>
          <w:numId w:val="0"/>
        </w:numPr>
        <w:jc w:val="left"/>
      </w:pPr>
    </w:p>
    <w:p w14:paraId="1BB38AF9" w14:textId="782556E3" w:rsidR="006F2532" w:rsidRPr="00374DEE" w:rsidRDefault="006F2532" w:rsidP="006F2532">
      <w:pPr>
        <w:rPr>
          <w:i/>
        </w:rPr>
      </w:pPr>
      <w:r w:rsidRPr="00374DEE">
        <w:rPr>
          <w:i/>
        </w:rPr>
        <w:t>Limitations on Controls</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558F715B" w14:textId="77777777" w:rsidR="006F2532" w:rsidRDefault="006F2532" w:rsidP="006F2532"/>
    <w:p w14:paraId="063EF8A5" w14:textId="77777777" w:rsidR="006F2532" w:rsidRPr="00374DEE" w:rsidRDefault="006F2532" w:rsidP="00DB3B22"/>
    <w:p w14:paraId="085C063C" w14:textId="77777777" w:rsidR="00DA35B1" w:rsidRDefault="00DA35B1">
      <w:pPr>
        <w:rPr>
          <w:b/>
        </w:rPr>
      </w:pPr>
      <w:r>
        <w:br w:type="page"/>
      </w:r>
    </w:p>
    <w:p w14:paraId="5CF04708" w14:textId="6B67CE23" w:rsidR="00BD6BBE" w:rsidRDefault="004E3374" w:rsidP="000A55AE">
      <w:pPr>
        <w:pStyle w:val="Heading1"/>
        <w:numPr>
          <w:ilvl w:val="0"/>
          <w:numId w:val="0"/>
        </w:numPr>
      </w:pPr>
      <w:r>
        <w:lastRenderedPageBreak/>
        <w:t>PART</w:t>
      </w:r>
      <w:r w:rsidR="002D50D9">
        <w:t xml:space="preserve"> II -- </w:t>
      </w:r>
      <w:r w:rsidR="00BD6BBE" w:rsidRPr="001C6303">
        <w:t>OTHER INFORMATION</w:t>
      </w:r>
      <w:bookmarkEnd w:id="30"/>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1" w:name="_Toc197922414"/>
      <w:r w:rsidRPr="001C6303">
        <w:t>Legal Proceedings</w:t>
      </w:r>
      <w:bookmarkEnd w:id="31"/>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32" w:name="_Toc197922415"/>
      <w:r w:rsidRPr="001C6303">
        <w:t>Risk Factors</w:t>
      </w:r>
      <w:bookmarkEnd w:id="32"/>
    </w:p>
    <w:p w14:paraId="2421EF43" w14:textId="77777777" w:rsidR="000A55AE" w:rsidRDefault="000A55AE" w:rsidP="000A55AE">
      <w:pPr>
        <w:pStyle w:val="BodyText"/>
        <w:spacing w:after="0"/>
      </w:pPr>
    </w:p>
    <w:p w14:paraId="11082EF5" w14:textId="371462E0" w:rsidR="00906109" w:rsidRDefault="00906109" w:rsidP="000A55AE">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Item 2 of this </w:t>
      </w:r>
      <w:r w:rsidR="00815F96">
        <w:t xml:space="preserve">Quarterly Report on Form 10-Q. </w:t>
      </w:r>
      <w:r w:rsidRPr="001C6303">
        <w:t>There have been no material changes from the risk factors previously disclosed in our most recent Annual Report on Form 10-K.</w:t>
      </w:r>
      <w:r w:rsidR="00B15B2D" w:rsidRPr="001C6303">
        <w:t xml:space="preserve"> </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33" w:name="_Toc197922416"/>
      <w:r w:rsidRPr="001C6303">
        <w:t>Unregistered Sale</w:t>
      </w:r>
      <w:r w:rsidR="00A63414" w:rsidRPr="001C6303">
        <w:t>s</w:t>
      </w:r>
      <w:r w:rsidRPr="001C6303">
        <w:t xml:space="preserve"> of Equity Securities and Use of Proceeds</w:t>
      </w:r>
      <w:bookmarkEnd w:id="33"/>
    </w:p>
    <w:p w14:paraId="12D60E19" w14:textId="77777777" w:rsidR="000A55AE" w:rsidRDefault="000A55AE" w:rsidP="000A55AE">
      <w:pPr>
        <w:pStyle w:val="BodyText"/>
        <w:spacing w:after="0"/>
      </w:pPr>
      <w:bookmarkStart w:id="34" w:name="_Toc197922417"/>
    </w:p>
    <w:p w14:paraId="204824D7" w14:textId="14CC6BFA" w:rsidR="0011159C" w:rsidRPr="0011159C" w:rsidRDefault="0011159C" w:rsidP="0031755F">
      <w:pPr>
        <w:pStyle w:val="BodyText"/>
        <w:spacing w:after="0"/>
      </w:pPr>
      <w:r w:rsidRPr="0011159C">
        <w:t xml:space="preserve">Effective as of May 1, 2020, we entered into a Customer Agreement and Subscription Agreement with Content Carnivores, LLC, pursuant to which the Company received services related to the management of our social media accounts in exchange for the monthly issuance of shares of our common stock valued at $3,000. During the three-month period ended June 30, 2020, we issued </w:t>
      </w:r>
      <w:r w:rsidR="00CC28DE">
        <w:t>42,477</w:t>
      </w:r>
      <w:r w:rsidRPr="0011159C">
        <w:t xml:space="preserve"> shares of our common stock to Content Carnivores, LLC at an aggregate value of $</w:t>
      </w:r>
      <w:r w:rsidR="00CC28DE">
        <w:t>12</w:t>
      </w:r>
      <w:r w:rsidRPr="0011159C">
        <w:t>,000. The Company relied on an exemption from the registration requirements of the</w:t>
      </w:r>
      <w:r w:rsidR="0031755F">
        <w:t xml:space="preserve"> </w:t>
      </w:r>
      <w:r w:rsidRPr="0011159C">
        <w:t>Securities Act</w:t>
      </w:r>
      <w:r w:rsidR="0031755F">
        <w:t xml:space="preserve"> </w:t>
      </w:r>
      <w:r w:rsidRPr="0011159C">
        <w:t>afforded by Section 4(a) (2) thereof and Rule</w:t>
      </w:r>
      <w:r w:rsidR="0031755F">
        <w:t xml:space="preserve"> </w:t>
      </w:r>
      <w:r w:rsidRPr="0011159C">
        <w:t>506</w:t>
      </w:r>
      <w:r w:rsidR="0031755F">
        <w:t xml:space="preserve"> </w:t>
      </w:r>
      <w:r w:rsidRPr="0011159C">
        <w:t>of</w:t>
      </w:r>
      <w:r w:rsidR="0031755F">
        <w:t xml:space="preserve"> </w:t>
      </w:r>
      <w:r w:rsidRPr="0011159C">
        <w:t>Regulation D.</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34"/>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6315D336" w:rsidR="00F44C3F" w:rsidRDefault="000D4A4B" w:rsidP="000A55AE">
      <w:r>
        <w:t>Not applicable</w:t>
      </w:r>
      <w:r w:rsidR="00202722">
        <w:t>.</w:t>
      </w:r>
    </w:p>
    <w:p w14:paraId="1027084F" w14:textId="77777777" w:rsidR="000A55AE" w:rsidRDefault="000A55AE" w:rsidP="000A55AE"/>
    <w:p w14:paraId="189BAF65" w14:textId="77777777" w:rsidR="00025C72" w:rsidRPr="001C6303" w:rsidRDefault="00C07C60" w:rsidP="000A55AE">
      <w:pPr>
        <w:pStyle w:val="Heading2"/>
        <w:spacing w:after="0"/>
      </w:pPr>
      <w:bookmarkStart w:id="35" w:name="_Toc197922419"/>
      <w:r>
        <w:t>Other Information</w:t>
      </w:r>
      <w:r w:rsidR="00025C72" w:rsidRPr="001C6303">
        <w:t xml:space="preserve"> </w:t>
      </w:r>
    </w:p>
    <w:p w14:paraId="72A27140" w14:textId="77777777" w:rsidR="000A55AE" w:rsidRDefault="000A55AE" w:rsidP="000A55AE"/>
    <w:p w14:paraId="27A46366" w14:textId="51E5A973" w:rsidR="00A17B7E" w:rsidRDefault="003467A5" w:rsidP="000A55AE">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35"/>
    </w:p>
    <w:p w14:paraId="0D468E33" w14:textId="77777777" w:rsidR="000A55AE" w:rsidRDefault="000A55AE" w:rsidP="000A55AE"/>
    <w:p w14:paraId="260145B0" w14:textId="77777777" w:rsidR="00DA35B1" w:rsidRDefault="00DA35B1">
      <w:pPr>
        <w:rPr>
          <w:b/>
        </w:rPr>
      </w:pPr>
      <w:bookmarkStart w:id="36" w:name="_Toc197922420"/>
      <w:r>
        <w:br w:type="page"/>
      </w:r>
    </w:p>
    <w:p w14:paraId="3B899785" w14:textId="4D67E677" w:rsidR="00717940" w:rsidRPr="005A62F5" w:rsidRDefault="005E7A32" w:rsidP="00742E05">
      <w:pPr>
        <w:pStyle w:val="Heading2"/>
        <w:numPr>
          <w:ilvl w:val="0"/>
          <w:numId w:val="0"/>
        </w:numPr>
        <w:tabs>
          <w:tab w:val="left" w:pos="1000"/>
        </w:tabs>
        <w:spacing w:after="0"/>
        <w:rPr>
          <w:u w:val="none"/>
        </w:rPr>
      </w:pPr>
      <w:r w:rsidRPr="001C6303">
        <w:rPr>
          <w:u w:val="none"/>
        </w:rPr>
        <w:lastRenderedPageBreak/>
        <w:t>Item 6</w:t>
      </w:r>
      <w:r w:rsidRPr="001C6303">
        <w:rPr>
          <w:u w:val="none"/>
        </w:rPr>
        <w:tab/>
      </w:r>
      <w:r w:rsidR="00BD6BBE" w:rsidRPr="001C6303">
        <w:t>Exhibits</w:t>
      </w:r>
      <w:bookmarkEnd w:id="36"/>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717940">
      <w:pPr>
        <w:keepNext/>
        <w:tabs>
          <w:tab w:val="left" w:pos="900"/>
        </w:tabs>
        <w:spacing w:after="60"/>
        <w:rPr>
          <w:u w:val="single"/>
        </w:rPr>
      </w:pPr>
      <w:r w:rsidRPr="001C6303">
        <w:rPr>
          <w:u w:val="single"/>
        </w:rPr>
        <w:t>Number</w:t>
      </w:r>
      <w:r w:rsidRPr="001C6303">
        <w:tab/>
      </w:r>
      <w:r w:rsidRPr="001C6303">
        <w:rPr>
          <w:u w:val="single"/>
        </w:rPr>
        <w:t>Description</w:t>
      </w:r>
    </w:p>
    <w:p w14:paraId="0EB056D1" w14:textId="1FCD6408" w:rsidR="00277C53" w:rsidRDefault="00277C53" w:rsidP="00742E05">
      <w:pPr>
        <w:ind w:left="990" w:hanging="990"/>
        <w:rPr>
          <w:bCs/>
        </w:rPr>
      </w:pPr>
      <w:r>
        <w:rPr>
          <w:bCs/>
        </w:rPr>
        <w:t>3.1</w:t>
      </w:r>
      <w:r>
        <w:rPr>
          <w:bCs/>
        </w:rPr>
        <w:tab/>
      </w:r>
      <w:hyperlink r:id="rId22" w:history="1">
        <w:r w:rsidRPr="00B00B21">
          <w:rPr>
            <w:rStyle w:val="Hyperlink"/>
            <w:bCs/>
          </w:rPr>
          <w:t xml:space="preserve">Certificate of Amendment to the Certificate of Incorporation of </w:t>
        </w:r>
        <w:proofErr w:type="spellStart"/>
        <w:r w:rsidRPr="00B00B21">
          <w:rPr>
            <w:rStyle w:val="Hyperlink"/>
            <w:bCs/>
          </w:rPr>
          <w:t>GeoVax</w:t>
        </w:r>
        <w:proofErr w:type="spellEnd"/>
        <w:r w:rsidRPr="00B00B21">
          <w:rPr>
            <w:rStyle w:val="Hyperlink"/>
            <w:bCs/>
          </w:rPr>
          <w:t xml:space="preserve"> Labs, Inc. filed January 21, 2020 (</w:t>
        </w:r>
        <w:r>
          <w:rPr>
            <w:rStyle w:val="Hyperlink"/>
            <w:bCs/>
          </w:rPr>
          <w:t>1</w:t>
        </w:r>
        <w:r w:rsidRPr="00B00B21">
          <w:rPr>
            <w:rStyle w:val="Hyperlink"/>
            <w:bCs/>
          </w:rPr>
          <w:t>)</w:t>
        </w:r>
      </w:hyperlink>
    </w:p>
    <w:p w14:paraId="1CF2AA43" w14:textId="77C6E06D" w:rsidR="00277C53" w:rsidRDefault="00277C53" w:rsidP="00742E05">
      <w:pPr>
        <w:ind w:left="990" w:hanging="990"/>
        <w:rPr>
          <w:bCs/>
        </w:rPr>
      </w:pPr>
      <w:r>
        <w:rPr>
          <w:bCs/>
        </w:rPr>
        <w:t>4.1</w:t>
      </w:r>
      <w:r>
        <w:rPr>
          <w:bCs/>
        </w:rPr>
        <w:tab/>
      </w:r>
      <w:hyperlink r:id="rId23" w:history="1">
        <w:r w:rsidRPr="00B00B21">
          <w:rPr>
            <w:rStyle w:val="Hyperlink"/>
            <w:bCs/>
          </w:rPr>
          <w:t>Form of Stock Certificate represent</w:t>
        </w:r>
        <w:r>
          <w:rPr>
            <w:rStyle w:val="Hyperlink"/>
            <w:bCs/>
          </w:rPr>
          <w:t>ing</w:t>
        </w:r>
        <w:r w:rsidRPr="00B00B21">
          <w:rPr>
            <w:rStyle w:val="Hyperlink"/>
            <w:bCs/>
          </w:rPr>
          <w:t xml:space="preserve"> the Company’s Common Stock, par value $0.001 per share (</w:t>
        </w:r>
        <w:r>
          <w:rPr>
            <w:rStyle w:val="Hyperlink"/>
            <w:bCs/>
          </w:rPr>
          <w:t>1</w:t>
        </w:r>
        <w:r w:rsidRPr="00B00B21">
          <w:rPr>
            <w:rStyle w:val="Hyperlink"/>
            <w:bCs/>
          </w:rPr>
          <w:t>)</w:t>
        </w:r>
      </w:hyperlink>
    </w:p>
    <w:p w14:paraId="1D1E1370" w14:textId="682BFFCF" w:rsidR="00277C53" w:rsidRDefault="00277C53" w:rsidP="00742E05">
      <w:pPr>
        <w:ind w:left="990" w:hanging="990"/>
        <w:rPr>
          <w:bCs/>
        </w:rPr>
      </w:pPr>
      <w:r>
        <w:rPr>
          <w:bCs/>
        </w:rPr>
        <w:t>4.</w:t>
      </w:r>
      <w:r w:rsidR="00742E05">
        <w:rPr>
          <w:bCs/>
        </w:rPr>
        <w:t>2</w:t>
      </w:r>
      <w:r>
        <w:rPr>
          <w:bCs/>
        </w:rPr>
        <w:tab/>
      </w:r>
      <w:hyperlink r:id="rId24" w:history="1">
        <w:r w:rsidRPr="00B00B21">
          <w:rPr>
            <w:rStyle w:val="Hyperlink"/>
            <w:bCs/>
          </w:rPr>
          <w:t>Form of Stock Certificate for the Series J Convertible Preferred Stock (</w:t>
        </w:r>
        <w:r>
          <w:rPr>
            <w:rStyle w:val="Hyperlink"/>
            <w:bCs/>
          </w:rPr>
          <w:t>2</w:t>
        </w:r>
        <w:r w:rsidRPr="00B00B21">
          <w:rPr>
            <w:rStyle w:val="Hyperlink"/>
            <w:bCs/>
          </w:rPr>
          <w:t>)</w:t>
        </w:r>
      </w:hyperlink>
    </w:p>
    <w:p w14:paraId="344FA035" w14:textId="058478B0" w:rsidR="00277C53" w:rsidRDefault="00277C53" w:rsidP="00742E05">
      <w:pPr>
        <w:ind w:left="990" w:hanging="990"/>
      </w:pPr>
      <w:r>
        <w:t>10.</w:t>
      </w:r>
      <w:r w:rsidR="00742E05">
        <w:t>1</w:t>
      </w:r>
      <w:r w:rsidRPr="003434EE">
        <w:tab/>
      </w:r>
      <w:hyperlink r:id="rId25" w:history="1">
        <w:r w:rsidRPr="00742E05">
          <w:rPr>
            <w:rStyle w:val="Hyperlink"/>
            <w:bCs/>
          </w:rPr>
          <w:t xml:space="preserve">Office and Laboratory Lease between UCB, Inc. and </w:t>
        </w:r>
        <w:proofErr w:type="spellStart"/>
        <w:r w:rsidRPr="00742E05">
          <w:rPr>
            <w:rStyle w:val="Hyperlink"/>
            <w:bCs/>
          </w:rPr>
          <w:t>GeoVax</w:t>
        </w:r>
        <w:proofErr w:type="spellEnd"/>
        <w:r w:rsidRPr="00742E05">
          <w:rPr>
            <w:rStyle w:val="Hyperlink"/>
            <w:bCs/>
          </w:rPr>
          <w:t>, Inc. (3)</w:t>
        </w:r>
      </w:hyperlink>
    </w:p>
    <w:p w14:paraId="4394E6F4" w14:textId="752777C7" w:rsidR="00277C53" w:rsidRDefault="00277C53" w:rsidP="00742E05">
      <w:pPr>
        <w:ind w:left="990" w:hanging="990"/>
        <w:rPr>
          <w:bCs/>
        </w:rPr>
      </w:pPr>
      <w:r>
        <w:rPr>
          <w:bCs/>
        </w:rPr>
        <w:t>10.</w:t>
      </w:r>
      <w:r w:rsidR="00742E05">
        <w:rPr>
          <w:bCs/>
        </w:rPr>
        <w:t>2</w:t>
      </w:r>
      <w:r>
        <w:rPr>
          <w:bCs/>
        </w:rPr>
        <w:tab/>
      </w:r>
      <w:hyperlink r:id="rId26" w:history="1">
        <w:r w:rsidRPr="00B00B21">
          <w:rPr>
            <w:rStyle w:val="Hyperlink"/>
            <w:bCs/>
          </w:rPr>
          <w:t>Form of Securities Purchase Agreement dated January 24, 2020 (</w:t>
        </w:r>
        <w:r>
          <w:rPr>
            <w:rStyle w:val="Hyperlink"/>
            <w:bCs/>
          </w:rPr>
          <w:t>2</w:t>
        </w:r>
        <w:r w:rsidRPr="00B00B21">
          <w:rPr>
            <w:rStyle w:val="Hyperlink"/>
            <w:bCs/>
          </w:rPr>
          <w:t>)</w:t>
        </w:r>
      </w:hyperlink>
    </w:p>
    <w:p w14:paraId="0BDCDE00" w14:textId="701EEE86" w:rsidR="00074805" w:rsidRPr="00077C69" w:rsidRDefault="00074805" w:rsidP="00742E05">
      <w:pPr>
        <w:ind w:left="990" w:hanging="990"/>
      </w:pPr>
      <w:r w:rsidRPr="00077C69">
        <w:t>10.3</w:t>
      </w:r>
      <w:r w:rsidRPr="00077C69">
        <w:tab/>
      </w:r>
      <w:hyperlink r:id="rId27" w:history="1">
        <w:r w:rsidRPr="00077C69">
          <w:rPr>
            <w:rStyle w:val="Hyperlink"/>
          </w:rPr>
          <w:t>Form of Note dated April 17, 2020 (4)</w:t>
        </w:r>
      </w:hyperlink>
    </w:p>
    <w:p w14:paraId="3E21092F" w14:textId="174290E3" w:rsidR="005D3DDB" w:rsidRPr="00077C69" w:rsidRDefault="005D3DDB" w:rsidP="00742E05">
      <w:pPr>
        <w:ind w:left="990" w:hanging="990"/>
      </w:pPr>
      <w:r w:rsidRPr="00077C69">
        <w:t>10.4</w:t>
      </w:r>
      <w:r w:rsidRPr="00077C69">
        <w:tab/>
      </w:r>
      <w:hyperlink r:id="rId28" w:history="1">
        <w:r w:rsidRPr="00077C69">
          <w:rPr>
            <w:rStyle w:val="Hyperlink"/>
          </w:rPr>
          <w:t>Letter Amendment to Employment Agreement with Farshad Guirakhoo dated May 18, 2020 (5)</w:t>
        </w:r>
      </w:hyperlink>
    </w:p>
    <w:p w14:paraId="3239C44D" w14:textId="2EC06C2B" w:rsidR="005D3DDB" w:rsidRPr="00077C69" w:rsidRDefault="005D3DDB" w:rsidP="00742E05">
      <w:pPr>
        <w:ind w:left="990" w:hanging="990"/>
      </w:pPr>
      <w:r w:rsidRPr="00077C69">
        <w:t>10.5</w:t>
      </w:r>
      <w:r w:rsidRPr="00077C69">
        <w:tab/>
      </w:r>
      <w:hyperlink r:id="rId29" w:history="1">
        <w:r w:rsidRPr="00C459F4">
          <w:rPr>
            <w:rStyle w:val="Hyperlink"/>
          </w:rPr>
          <w:t>2020 Stock Incentive Plan (6)</w:t>
        </w:r>
      </w:hyperlink>
    </w:p>
    <w:p w14:paraId="139FB607" w14:textId="7CEFC7D9" w:rsidR="005D3DDB" w:rsidRPr="00077C69" w:rsidRDefault="005D3DDB" w:rsidP="00742E05">
      <w:pPr>
        <w:ind w:left="990" w:hanging="990"/>
      </w:pPr>
      <w:r w:rsidRPr="00077C69">
        <w:t>10.6</w:t>
      </w:r>
      <w:r w:rsidRPr="00077C69">
        <w:tab/>
      </w:r>
      <w:hyperlink r:id="rId30" w:history="1">
        <w:r w:rsidRPr="00077C69">
          <w:rPr>
            <w:rStyle w:val="Hyperlink"/>
          </w:rPr>
          <w:t>Securities Purchase Agreement dated June 26, 2020 (7)</w:t>
        </w:r>
      </w:hyperlink>
    </w:p>
    <w:p w14:paraId="6D708595" w14:textId="306A7FE8" w:rsidR="005D3DDB" w:rsidRPr="00077C69" w:rsidRDefault="005D3DDB" w:rsidP="00742E05">
      <w:pPr>
        <w:ind w:left="990" w:hanging="990"/>
      </w:pPr>
      <w:r w:rsidRPr="00077C69">
        <w:t>10.7</w:t>
      </w:r>
      <w:r w:rsidRPr="00077C69">
        <w:tab/>
      </w:r>
      <w:hyperlink r:id="rId31" w:history="1">
        <w:r w:rsidRPr="00077C69">
          <w:rPr>
            <w:rStyle w:val="Hyperlink"/>
          </w:rPr>
          <w:t>Form of 5% Original Issue Discount Senior Secured Convertible Debenture dated June 26, 2020 (7)</w:t>
        </w:r>
      </w:hyperlink>
    </w:p>
    <w:p w14:paraId="347D5931" w14:textId="6F5E7F2E" w:rsidR="005D3DDB" w:rsidRPr="00077C69" w:rsidRDefault="005D3DDB" w:rsidP="00742E05">
      <w:pPr>
        <w:ind w:left="990" w:hanging="990"/>
      </w:pPr>
      <w:r w:rsidRPr="00077C69">
        <w:t>10.8</w:t>
      </w:r>
      <w:r w:rsidRPr="00077C69">
        <w:tab/>
      </w:r>
      <w:hyperlink r:id="rId32" w:history="1">
        <w:r w:rsidRPr="00077C69">
          <w:rPr>
            <w:rStyle w:val="Hyperlink"/>
          </w:rPr>
          <w:t>Form of Common Stock Purchase Warrant dated June 26, 2020 (7)</w:t>
        </w:r>
      </w:hyperlink>
    </w:p>
    <w:p w14:paraId="69DCCB79" w14:textId="4B385A5E" w:rsidR="005D3DDB" w:rsidRPr="00077C69" w:rsidRDefault="005D3DDB" w:rsidP="00742E05">
      <w:pPr>
        <w:ind w:left="990" w:hanging="990"/>
      </w:pPr>
      <w:r w:rsidRPr="00077C69">
        <w:t>10.9</w:t>
      </w:r>
      <w:r w:rsidRPr="00077C69">
        <w:tab/>
      </w:r>
      <w:hyperlink r:id="rId33" w:history="1">
        <w:r w:rsidRPr="00077C69">
          <w:rPr>
            <w:rStyle w:val="Hyperlink"/>
          </w:rPr>
          <w:t>Form of Security Agreement dated June 26, 2020 (7)</w:t>
        </w:r>
      </w:hyperlink>
    </w:p>
    <w:p w14:paraId="0835D647" w14:textId="756D71CF" w:rsidR="005D3DDB" w:rsidRPr="00077C69" w:rsidRDefault="005D3DDB" w:rsidP="00742E05">
      <w:pPr>
        <w:ind w:left="990" w:hanging="990"/>
      </w:pPr>
      <w:r w:rsidRPr="00077C69">
        <w:t>10.10</w:t>
      </w:r>
      <w:r w:rsidRPr="00077C69">
        <w:tab/>
      </w:r>
      <w:hyperlink r:id="rId34" w:history="1">
        <w:r w:rsidRPr="00077C69">
          <w:rPr>
            <w:rStyle w:val="Hyperlink"/>
          </w:rPr>
          <w:t>Form of Subsidiary Guarantee dated June 26, 2020 (7)</w:t>
        </w:r>
      </w:hyperlink>
    </w:p>
    <w:p w14:paraId="34AE4AE7" w14:textId="66D6719D" w:rsidR="005D3DDB" w:rsidRDefault="005D3DDB" w:rsidP="00742E05">
      <w:pPr>
        <w:ind w:left="990" w:hanging="990"/>
      </w:pPr>
      <w:r w:rsidRPr="00077C69">
        <w:t>10.11</w:t>
      </w:r>
      <w:r w:rsidRPr="00077C69">
        <w:tab/>
      </w:r>
      <w:hyperlink r:id="rId35" w:history="1">
        <w:r w:rsidRPr="00077C69">
          <w:rPr>
            <w:rStyle w:val="Hyperlink"/>
          </w:rPr>
          <w:t>Agreement Regarding Outstanding Convertible Preferred Stock and Warrants dated June 26, 2020</w:t>
        </w:r>
        <w:r w:rsidR="00F45A44" w:rsidRPr="00077C69">
          <w:rPr>
            <w:rStyle w:val="Hyperlink"/>
          </w:rPr>
          <w:t xml:space="preserve"> (7)</w:t>
        </w:r>
      </w:hyperlink>
    </w:p>
    <w:p w14:paraId="769D58A4" w14:textId="0FB6827C" w:rsidR="00717940" w:rsidRPr="001C6303" w:rsidRDefault="00717940" w:rsidP="00742E05">
      <w:pPr>
        <w:ind w:left="990" w:hanging="990"/>
      </w:pPr>
      <w:r w:rsidRPr="001C6303">
        <w:t>31.1*</w:t>
      </w:r>
      <w:r w:rsidRPr="001C6303">
        <w:tab/>
        <w:t xml:space="preserve">Certification pursuant to Rule 13a-14(a) or 15d-14(a) of the Securities Exchange Act of 1934 </w:t>
      </w:r>
    </w:p>
    <w:p w14:paraId="0D5E8471" w14:textId="77777777" w:rsidR="00717940" w:rsidRPr="001C6303" w:rsidRDefault="00717940" w:rsidP="00742E05">
      <w:pPr>
        <w:ind w:left="990" w:hanging="990"/>
      </w:pPr>
      <w:r w:rsidRPr="001C6303">
        <w:t>31.2*</w:t>
      </w:r>
      <w:r w:rsidRPr="001C6303">
        <w:tab/>
        <w:t xml:space="preserve">Certification pursuant to Rule 13a-14(a) or 15d-14(a) of the Securities Exchange Act of 1934 </w:t>
      </w:r>
    </w:p>
    <w:p w14:paraId="7E0B9613" w14:textId="77777777" w:rsidR="00717940" w:rsidRPr="001C6303" w:rsidRDefault="00717940" w:rsidP="00742E05">
      <w:pPr>
        <w:ind w:left="990" w:hanging="99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742E05">
      <w:pPr>
        <w:tabs>
          <w:tab w:val="left" w:pos="1080"/>
          <w:tab w:val="left" w:pos="2340"/>
          <w:tab w:val="left" w:pos="3600"/>
          <w:tab w:val="left" w:pos="7920"/>
        </w:tabs>
        <w:ind w:left="990" w:hanging="990"/>
      </w:pPr>
      <w:r w:rsidRPr="001C6303">
        <w:t>32.2*</w:t>
      </w:r>
      <w:r w:rsidRPr="001C6303">
        <w:tab/>
        <w:t xml:space="preserve">Certification pursuant to 18 U.S.C. Section 1350, as adopted by Section 906 of the Sarbanes-Oxley Act of 2002 </w:t>
      </w:r>
    </w:p>
    <w:p w14:paraId="6B43401B" w14:textId="77777777" w:rsidR="00277C53" w:rsidRDefault="00277C53" w:rsidP="00742E05">
      <w:pPr>
        <w:ind w:left="990" w:hanging="990"/>
      </w:pPr>
      <w:r>
        <w:t>101.INS**</w:t>
      </w:r>
      <w:r>
        <w:tab/>
        <w:t>XBRL Instance Document</w:t>
      </w:r>
    </w:p>
    <w:p w14:paraId="0DFF493E" w14:textId="77777777" w:rsidR="00277C53" w:rsidRDefault="00277C53" w:rsidP="00742E05">
      <w:pPr>
        <w:ind w:left="990" w:hanging="990"/>
      </w:pPr>
      <w:r>
        <w:t>101.SCH**</w:t>
      </w:r>
      <w:r>
        <w:tab/>
        <w:t>XBRL Taxonomy Extension Schema Document</w:t>
      </w:r>
    </w:p>
    <w:p w14:paraId="15A985B3" w14:textId="77777777" w:rsidR="00277C53" w:rsidRDefault="00277C53" w:rsidP="00742E05">
      <w:pPr>
        <w:ind w:left="990" w:hanging="990"/>
      </w:pPr>
      <w:r>
        <w:t>101.CAL**</w:t>
      </w:r>
      <w:r>
        <w:tab/>
        <w:t xml:space="preserve">XBRL Taxonomy Extension Calculation </w:t>
      </w:r>
      <w:proofErr w:type="spellStart"/>
      <w:r>
        <w:t>Linkbase</w:t>
      </w:r>
      <w:proofErr w:type="spellEnd"/>
      <w:r>
        <w:t xml:space="preserve"> Document</w:t>
      </w:r>
    </w:p>
    <w:p w14:paraId="237AE405" w14:textId="77777777" w:rsidR="00277C53" w:rsidRDefault="00277C53" w:rsidP="00742E05">
      <w:pPr>
        <w:ind w:left="990" w:hanging="990"/>
      </w:pPr>
      <w:r>
        <w:t>101.DEF**</w:t>
      </w:r>
      <w:r>
        <w:tab/>
        <w:t xml:space="preserve">XBRL Taxonomy Extension Definition </w:t>
      </w:r>
      <w:proofErr w:type="spellStart"/>
      <w:r>
        <w:t>Linkbase</w:t>
      </w:r>
      <w:proofErr w:type="spellEnd"/>
      <w:r>
        <w:t xml:space="preserve"> Document</w:t>
      </w:r>
    </w:p>
    <w:p w14:paraId="3C8A4BF0" w14:textId="77777777" w:rsidR="00277C53" w:rsidRDefault="00277C53" w:rsidP="00742E05">
      <w:pPr>
        <w:ind w:left="990" w:hanging="990"/>
      </w:pPr>
      <w:r>
        <w:t>101.LAB**</w:t>
      </w:r>
      <w:r>
        <w:tab/>
        <w:t xml:space="preserve">XBRL Taxonomy Extension Label </w:t>
      </w:r>
      <w:proofErr w:type="spellStart"/>
      <w:r>
        <w:t>Linkbase</w:t>
      </w:r>
      <w:proofErr w:type="spellEnd"/>
      <w:r>
        <w:t xml:space="preserve"> Document</w:t>
      </w:r>
    </w:p>
    <w:p w14:paraId="209011E7" w14:textId="77777777" w:rsidR="00277C53" w:rsidRPr="001C6303" w:rsidRDefault="00277C53" w:rsidP="00742E05">
      <w:pPr>
        <w:ind w:left="990" w:hanging="990"/>
      </w:pPr>
      <w:r>
        <w:t>101.PRE**</w:t>
      </w:r>
      <w:r>
        <w:tab/>
        <w:t xml:space="preserve">XBRL Taxonomy Extension Presentation </w:t>
      </w:r>
      <w:proofErr w:type="spellStart"/>
      <w:r>
        <w:t>Linkbase</w:t>
      </w:r>
      <w:proofErr w:type="spellEnd"/>
      <w:r>
        <w:t xml:space="preserve"> Document</w:t>
      </w:r>
    </w:p>
    <w:p w14:paraId="2B7BC306" w14:textId="77777777" w:rsidR="00717940" w:rsidRDefault="00717940" w:rsidP="00717940"/>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062AF346" w:rsidR="00717940" w:rsidRDefault="00717940" w:rsidP="00742E05">
      <w:pPr>
        <w:ind w:left="720" w:hanging="720"/>
      </w:pPr>
      <w:r>
        <w:t>**</w:t>
      </w:r>
      <w:r>
        <w:tab/>
      </w:r>
      <w:r w:rsidR="00277C53">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01DC92B6" w14:textId="55416CDA" w:rsidR="00277C53" w:rsidRDefault="00277C53" w:rsidP="00277C53">
      <w:r>
        <w:t>(1)</w:t>
      </w:r>
      <w:r>
        <w:tab/>
      </w:r>
      <w:r w:rsidRPr="00A92006">
        <w:t xml:space="preserve">Incorporated by reference from the registrant’s Current Report on Form 8-K filed </w:t>
      </w:r>
      <w:r>
        <w:t>January</w:t>
      </w:r>
      <w:r w:rsidRPr="00A92006">
        <w:t xml:space="preserve"> 2</w:t>
      </w:r>
      <w:r>
        <w:t>1</w:t>
      </w:r>
      <w:r w:rsidRPr="00A92006">
        <w:t>, 20</w:t>
      </w:r>
      <w:r>
        <w:t>20.</w:t>
      </w:r>
    </w:p>
    <w:p w14:paraId="05F4FD14" w14:textId="0D2CABDD" w:rsidR="00277C53" w:rsidRPr="00A92006" w:rsidRDefault="00277C53" w:rsidP="00277C53">
      <w:bookmarkStart w:id="37" w:name="_Hlk38036491"/>
      <w:r>
        <w:t>(2)</w:t>
      </w:r>
      <w:r>
        <w:tab/>
      </w:r>
      <w:r w:rsidRPr="00A92006">
        <w:t xml:space="preserve">Incorporated by reference from the registrant’s Current Report on Form 8-K filed </w:t>
      </w:r>
      <w:r>
        <w:t>January</w:t>
      </w:r>
      <w:r w:rsidRPr="00A92006">
        <w:t xml:space="preserve"> 2</w:t>
      </w:r>
      <w:r>
        <w:t>4</w:t>
      </w:r>
      <w:r w:rsidRPr="00A92006">
        <w:t>, 20</w:t>
      </w:r>
      <w:r>
        <w:t>20.</w:t>
      </w:r>
    </w:p>
    <w:bookmarkEnd w:id="37"/>
    <w:p w14:paraId="598FE840" w14:textId="6CE9C988" w:rsidR="00277C53" w:rsidRDefault="00277C53" w:rsidP="00277C53">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2</w:t>
      </w:r>
      <w:r>
        <w:t>4</w:t>
      </w:r>
      <w:r w:rsidRPr="00A92006">
        <w:t>, 20</w:t>
      </w:r>
      <w:r>
        <w:t>20.</w:t>
      </w:r>
    </w:p>
    <w:p w14:paraId="2656C730" w14:textId="4BBD1ED9" w:rsidR="00717940" w:rsidRDefault="00074805" w:rsidP="000A55AE">
      <w:r>
        <w:t>(4)</w:t>
      </w:r>
      <w:r>
        <w:tab/>
      </w:r>
      <w:r w:rsidRPr="00A92006">
        <w:t xml:space="preserve">Incorporated by reference from the registrant’s Current Report on Form 8-K filed </w:t>
      </w:r>
      <w:r>
        <w:t>April</w:t>
      </w:r>
      <w:r w:rsidRPr="00A92006">
        <w:t xml:space="preserve"> 2</w:t>
      </w:r>
      <w:r>
        <w:t>0</w:t>
      </w:r>
      <w:r w:rsidRPr="00A92006">
        <w:t>, 20</w:t>
      </w:r>
      <w:r>
        <w:t>20.</w:t>
      </w:r>
    </w:p>
    <w:p w14:paraId="074C42D7" w14:textId="2399E8E9" w:rsidR="005D3DDB" w:rsidRDefault="005D3DDB" w:rsidP="005D3DDB">
      <w:r>
        <w:t>(5)</w:t>
      </w:r>
      <w:r>
        <w:tab/>
      </w:r>
      <w:r w:rsidRPr="00A92006">
        <w:t xml:space="preserve">Incorporated by reference from the registrant’s Current Report on Form 8-K filed </w:t>
      </w:r>
      <w:r>
        <w:t>May 22</w:t>
      </w:r>
      <w:r w:rsidRPr="00A92006">
        <w:t>, 20</w:t>
      </w:r>
      <w:r>
        <w:t>20.</w:t>
      </w:r>
    </w:p>
    <w:p w14:paraId="0DBD72CD" w14:textId="3D1EB0C4" w:rsidR="005D3DDB" w:rsidRDefault="005D3DDB" w:rsidP="005D3DDB">
      <w:r>
        <w:t>(6)</w:t>
      </w:r>
      <w:r>
        <w:tab/>
      </w:r>
      <w:r w:rsidRPr="00A92006">
        <w:t>Incorporated by reference from the registrant’s Current Report on Form 8-K filed</w:t>
      </w:r>
      <w:r>
        <w:t xml:space="preserve"> June 25</w:t>
      </w:r>
      <w:r w:rsidRPr="00A92006">
        <w:t>, 20</w:t>
      </w:r>
      <w:r>
        <w:t>20.</w:t>
      </w:r>
    </w:p>
    <w:p w14:paraId="2559C94E" w14:textId="586CC065" w:rsidR="005D3DDB" w:rsidRDefault="005D3DDB" w:rsidP="005D3DDB">
      <w:r>
        <w:t>(7)</w:t>
      </w:r>
      <w:r>
        <w:tab/>
      </w:r>
      <w:r w:rsidRPr="00A92006">
        <w:t xml:space="preserve">Incorporated by reference from the registrant’s Current Report on Form 8-K filed </w:t>
      </w:r>
      <w:r>
        <w:t>June 26</w:t>
      </w:r>
      <w:r w:rsidRPr="00A92006">
        <w:t>, 20</w:t>
      </w:r>
      <w:r>
        <w:t>20.</w:t>
      </w:r>
    </w:p>
    <w:p w14:paraId="0CA1CF67" w14:textId="369E5D3D" w:rsidR="00717940" w:rsidRDefault="00717940" w:rsidP="000A55AE"/>
    <w:p w14:paraId="746BB730" w14:textId="77777777" w:rsidR="00717940" w:rsidRPr="001C6303"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7402809C" w:rsidR="00BD6BBE" w:rsidRPr="001C6303" w:rsidRDefault="005277CB">
      <w:pPr>
        <w:tabs>
          <w:tab w:val="left" w:pos="720"/>
          <w:tab w:val="left" w:pos="5400"/>
          <w:tab w:val="center" w:pos="7380"/>
        </w:tabs>
      </w:pPr>
      <w:r w:rsidRPr="001C6303">
        <w:t>Date:</w:t>
      </w:r>
      <w:r w:rsidRPr="001C6303">
        <w:tab/>
      </w:r>
      <w:r w:rsidR="005A62F5">
        <w:t>August</w:t>
      </w:r>
      <w:r w:rsidR="00A17B7E" w:rsidRPr="00CD5558">
        <w:t xml:space="preserve"> </w:t>
      </w:r>
      <w:r w:rsidR="000750D2">
        <w:t>10</w:t>
      </w:r>
      <w:r w:rsidR="006B43ED" w:rsidRPr="00CD5558">
        <w:t>, 20</w:t>
      </w:r>
      <w:r w:rsidR="00717940">
        <w:t>20</w:t>
      </w:r>
      <w:r w:rsidR="007B503B">
        <w:tab/>
      </w:r>
      <w:proofErr w:type="gramStart"/>
      <w:r w:rsidR="00BD6BBE" w:rsidRPr="001C6303">
        <w:t>By</w:t>
      </w:r>
      <w:proofErr w:type="gramEnd"/>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36"/>
      <w:headerReference w:type="default" r:id="rId37"/>
      <w:footerReference w:type="even" r:id="rId38"/>
      <w:footerReference w:type="default" r:id="rId39"/>
      <w:headerReference w:type="first" r:id="rId40"/>
      <w:footerReference w:type="first" r:id="rId4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CBE4" w14:textId="77777777" w:rsidR="0011159C" w:rsidRDefault="0011159C">
      <w:r>
        <w:separator/>
      </w:r>
    </w:p>
  </w:endnote>
  <w:endnote w:type="continuationSeparator" w:id="0">
    <w:p w14:paraId="7804C108" w14:textId="77777777" w:rsidR="0011159C" w:rsidRDefault="0011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5BA6" w14:textId="77777777" w:rsidR="0011159C" w:rsidRDefault="0011159C"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11159C" w:rsidRDefault="0011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D819" w14:textId="77777777" w:rsidR="0011159C" w:rsidRDefault="0011159C">
    <w:pPr>
      <w:pStyle w:val="Footer"/>
      <w:framePr w:wrap="around" w:vAnchor="text" w:hAnchor="margin" w:xAlign="center" w:y="1"/>
      <w:rPr>
        <w:rStyle w:val="PageNumber"/>
      </w:rPr>
    </w:pPr>
  </w:p>
  <w:p w14:paraId="16540C0E" w14:textId="77777777" w:rsidR="0011159C" w:rsidRDefault="0011159C">
    <w:pPr>
      <w:pStyle w:val="Footer"/>
    </w:pPr>
  </w:p>
  <w:p w14:paraId="315F27D0" w14:textId="77777777" w:rsidR="0011159C" w:rsidRDefault="0011159C"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85014"/>
      <w:docPartObj>
        <w:docPartGallery w:val="Page Numbers (Bottom of Page)"/>
        <w:docPartUnique/>
      </w:docPartObj>
    </w:sdtPr>
    <w:sdtEndPr/>
    <w:sdtContent>
      <w:p w14:paraId="5B8BCD02" w14:textId="11F50AD3" w:rsidR="0011159C" w:rsidRDefault="0011159C">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11159C" w:rsidRDefault="0011159C"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D917" w14:textId="77777777" w:rsidR="0011159C" w:rsidRDefault="001115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11159C" w:rsidRDefault="0011159C">
    <w:pPr>
      <w:pStyle w:val="Footer"/>
    </w:pPr>
  </w:p>
  <w:p w14:paraId="6BB4EA6F" w14:textId="4310BCB5" w:rsidR="0011159C" w:rsidRDefault="00255945" w:rsidP="003A5897">
    <w:pPr>
      <w:pStyle w:val="Footer"/>
    </w:pPr>
    <w:r>
      <w:fldChar w:fldCharType="begin"/>
    </w:r>
    <w:r>
      <w:instrText xml:space="preserve"> DOCPROPERTY "SWDocID"  \* MERGEFORMAT </w:instrText>
    </w:r>
    <w:r>
      <w:fldChar w:fldCharType="separate"/>
    </w:r>
    <w:r w:rsidR="0011159C" w:rsidRPr="00FE41ED">
      <w:rPr>
        <w:sz w:val="18"/>
      </w:rPr>
      <w:t>WCSR  3894443v2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B4E" w14:textId="46775AA8" w:rsidR="0011159C" w:rsidRDefault="001115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11159C" w:rsidRDefault="0011159C">
    <w:pPr>
      <w:pStyle w:val="Footer"/>
    </w:pPr>
  </w:p>
  <w:p w14:paraId="54EF80D7" w14:textId="2BD14973" w:rsidR="0011159C" w:rsidRDefault="00255945" w:rsidP="003A5897">
    <w:pPr>
      <w:pStyle w:val="Footer"/>
    </w:pPr>
    <w:r>
      <w:fldChar w:fldCharType="begin"/>
    </w:r>
    <w:r>
      <w:instrText xml:space="preserve"> DOCPROPERTY "SWDocID"  \* MERGEFORMAT </w:instrText>
    </w:r>
    <w:r>
      <w:fldChar w:fldCharType="separate"/>
    </w:r>
    <w:r w:rsidR="0011159C" w:rsidRPr="00FE41ED">
      <w:rPr>
        <w:sz w:val="18"/>
      </w:rPr>
      <w:t>WCSR  3894443v2</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FFC3" w14:textId="77777777" w:rsidR="0011159C" w:rsidRDefault="0011159C">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11159C" w:rsidRDefault="0011159C">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8380" w14:textId="020428AA" w:rsidR="0011159C" w:rsidRDefault="0011159C">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11159C" w:rsidRDefault="001115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82A3" w14:textId="77777777" w:rsidR="0011159C" w:rsidRDefault="001115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8DBB" w14:textId="77777777" w:rsidR="0011159C" w:rsidRDefault="0011159C">
      <w:r>
        <w:separator/>
      </w:r>
    </w:p>
  </w:footnote>
  <w:footnote w:type="continuationSeparator" w:id="0">
    <w:p w14:paraId="055C4732" w14:textId="77777777" w:rsidR="0011159C" w:rsidRDefault="0011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308" w14:textId="77777777" w:rsidR="0011159C" w:rsidRDefault="001115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9073" w14:textId="77777777" w:rsidR="0011159C" w:rsidRDefault="001115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9AD5" w14:textId="77777777" w:rsidR="0011159C" w:rsidRDefault="001115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1C2D" w14:textId="77777777" w:rsidR="0011159C" w:rsidRDefault="0011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F292" w14:textId="77777777" w:rsidR="0011159C" w:rsidRDefault="0011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7CC3" w14:textId="77777777" w:rsidR="0011159C" w:rsidRDefault="001115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8D29" w14:textId="77777777" w:rsidR="0011159C" w:rsidRDefault="001115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5D70" w14:textId="77777777" w:rsidR="0011159C" w:rsidRDefault="001115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797" w14:textId="77777777" w:rsidR="0011159C" w:rsidRDefault="0011159C">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B2FE" w14:textId="77777777" w:rsidR="0011159C" w:rsidRDefault="001115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8AA9" w14:textId="77777777" w:rsidR="0011159C" w:rsidRDefault="001115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3184" w14:textId="77777777" w:rsidR="0011159C" w:rsidRDefault="0011159C">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FC1"/>
    <w:rsid w:val="00003127"/>
    <w:rsid w:val="000031AA"/>
    <w:rsid w:val="000034E0"/>
    <w:rsid w:val="00003985"/>
    <w:rsid w:val="00003CA6"/>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086C"/>
    <w:rsid w:val="000209FE"/>
    <w:rsid w:val="00021A09"/>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750"/>
    <w:rsid w:val="00105666"/>
    <w:rsid w:val="0010573E"/>
    <w:rsid w:val="00105905"/>
    <w:rsid w:val="00106DDC"/>
    <w:rsid w:val="00106E6F"/>
    <w:rsid w:val="0011067F"/>
    <w:rsid w:val="00110E4D"/>
    <w:rsid w:val="00110F05"/>
    <w:rsid w:val="001113CE"/>
    <w:rsid w:val="0011159C"/>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C57"/>
    <w:rsid w:val="0014178D"/>
    <w:rsid w:val="001426C2"/>
    <w:rsid w:val="001435F4"/>
    <w:rsid w:val="001436ED"/>
    <w:rsid w:val="00143709"/>
    <w:rsid w:val="00143716"/>
    <w:rsid w:val="001451E8"/>
    <w:rsid w:val="00146008"/>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72C"/>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515F"/>
    <w:rsid w:val="002254C4"/>
    <w:rsid w:val="002259F1"/>
    <w:rsid w:val="00225C59"/>
    <w:rsid w:val="002260F6"/>
    <w:rsid w:val="00226729"/>
    <w:rsid w:val="002300D1"/>
    <w:rsid w:val="00231346"/>
    <w:rsid w:val="00231AD7"/>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94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E59"/>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4FC8"/>
    <w:rsid w:val="00285F4C"/>
    <w:rsid w:val="00286211"/>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CEB"/>
    <w:rsid w:val="002A4B7D"/>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3CAF"/>
    <w:rsid w:val="002E449A"/>
    <w:rsid w:val="002E4A22"/>
    <w:rsid w:val="002E5D06"/>
    <w:rsid w:val="002E74EF"/>
    <w:rsid w:val="002E7E14"/>
    <w:rsid w:val="002F0916"/>
    <w:rsid w:val="002F1439"/>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5051"/>
    <w:rsid w:val="003161F3"/>
    <w:rsid w:val="00316ABB"/>
    <w:rsid w:val="0031755F"/>
    <w:rsid w:val="003179B8"/>
    <w:rsid w:val="00320832"/>
    <w:rsid w:val="00320C55"/>
    <w:rsid w:val="0032202F"/>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FCA"/>
    <w:rsid w:val="0033576A"/>
    <w:rsid w:val="00335EFC"/>
    <w:rsid w:val="00335FCC"/>
    <w:rsid w:val="003360CE"/>
    <w:rsid w:val="00337294"/>
    <w:rsid w:val="0034148D"/>
    <w:rsid w:val="00342196"/>
    <w:rsid w:val="00343CE1"/>
    <w:rsid w:val="003441A0"/>
    <w:rsid w:val="00344350"/>
    <w:rsid w:val="00344595"/>
    <w:rsid w:val="00344EA6"/>
    <w:rsid w:val="003467A5"/>
    <w:rsid w:val="00346823"/>
    <w:rsid w:val="0034697D"/>
    <w:rsid w:val="0034732B"/>
    <w:rsid w:val="0035003D"/>
    <w:rsid w:val="00350671"/>
    <w:rsid w:val="0035085F"/>
    <w:rsid w:val="00350D62"/>
    <w:rsid w:val="003513DB"/>
    <w:rsid w:val="00352743"/>
    <w:rsid w:val="003535E6"/>
    <w:rsid w:val="003542D2"/>
    <w:rsid w:val="00354595"/>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EA8"/>
    <w:rsid w:val="003D5252"/>
    <w:rsid w:val="003D663A"/>
    <w:rsid w:val="003D6A75"/>
    <w:rsid w:val="003E2267"/>
    <w:rsid w:val="003E2B17"/>
    <w:rsid w:val="003E425C"/>
    <w:rsid w:val="003E4BC5"/>
    <w:rsid w:val="003E5086"/>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7098"/>
    <w:rsid w:val="00457C00"/>
    <w:rsid w:val="00460775"/>
    <w:rsid w:val="004612F7"/>
    <w:rsid w:val="0046257C"/>
    <w:rsid w:val="0046273F"/>
    <w:rsid w:val="0046286C"/>
    <w:rsid w:val="00463064"/>
    <w:rsid w:val="00463FB7"/>
    <w:rsid w:val="004640D8"/>
    <w:rsid w:val="00464893"/>
    <w:rsid w:val="00466C11"/>
    <w:rsid w:val="00467265"/>
    <w:rsid w:val="00470774"/>
    <w:rsid w:val="0047335B"/>
    <w:rsid w:val="00474127"/>
    <w:rsid w:val="0048157D"/>
    <w:rsid w:val="00482106"/>
    <w:rsid w:val="004821FA"/>
    <w:rsid w:val="0048252D"/>
    <w:rsid w:val="00482DED"/>
    <w:rsid w:val="00483834"/>
    <w:rsid w:val="00483B91"/>
    <w:rsid w:val="00483E00"/>
    <w:rsid w:val="00484A73"/>
    <w:rsid w:val="00484BB3"/>
    <w:rsid w:val="00484BB9"/>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B36"/>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E21"/>
    <w:rsid w:val="00504E8C"/>
    <w:rsid w:val="00507645"/>
    <w:rsid w:val="00507DB9"/>
    <w:rsid w:val="00507FFA"/>
    <w:rsid w:val="005105D4"/>
    <w:rsid w:val="00511410"/>
    <w:rsid w:val="0051605E"/>
    <w:rsid w:val="0051766F"/>
    <w:rsid w:val="005177BD"/>
    <w:rsid w:val="00521F32"/>
    <w:rsid w:val="005220EF"/>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3889"/>
    <w:rsid w:val="00593EB6"/>
    <w:rsid w:val="00594438"/>
    <w:rsid w:val="00595E6C"/>
    <w:rsid w:val="005A0080"/>
    <w:rsid w:val="005A04E5"/>
    <w:rsid w:val="005A1611"/>
    <w:rsid w:val="005A1716"/>
    <w:rsid w:val="005A2265"/>
    <w:rsid w:val="005A4699"/>
    <w:rsid w:val="005A62F5"/>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2C4B"/>
    <w:rsid w:val="005C3311"/>
    <w:rsid w:val="005C5025"/>
    <w:rsid w:val="005C6958"/>
    <w:rsid w:val="005D0043"/>
    <w:rsid w:val="005D043E"/>
    <w:rsid w:val="005D2491"/>
    <w:rsid w:val="005D2500"/>
    <w:rsid w:val="005D2DB8"/>
    <w:rsid w:val="005D347D"/>
    <w:rsid w:val="005D3DDB"/>
    <w:rsid w:val="005D5785"/>
    <w:rsid w:val="005D6991"/>
    <w:rsid w:val="005D74D5"/>
    <w:rsid w:val="005D79A2"/>
    <w:rsid w:val="005E032F"/>
    <w:rsid w:val="005E0913"/>
    <w:rsid w:val="005E0E8D"/>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2FFB"/>
    <w:rsid w:val="005F4076"/>
    <w:rsid w:val="005F40B3"/>
    <w:rsid w:val="005F6AE5"/>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1672"/>
    <w:rsid w:val="006118A2"/>
    <w:rsid w:val="00611AB1"/>
    <w:rsid w:val="00611DD6"/>
    <w:rsid w:val="006125DE"/>
    <w:rsid w:val="00612B10"/>
    <w:rsid w:val="00612DF9"/>
    <w:rsid w:val="00613F1F"/>
    <w:rsid w:val="006156EA"/>
    <w:rsid w:val="00615EF5"/>
    <w:rsid w:val="00616C12"/>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67BB"/>
    <w:rsid w:val="0065681E"/>
    <w:rsid w:val="00657F33"/>
    <w:rsid w:val="00660492"/>
    <w:rsid w:val="00663CBB"/>
    <w:rsid w:val="00664EEA"/>
    <w:rsid w:val="00665232"/>
    <w:rsid w:val="00665612"/>
    <w:rsid w:val="0066567A"/>
    <w:rsid w:val="006660DA"/>
    <w:rsid w:val="00666C4F"/>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35E3"/>
    <w:rsid w:val="006D36EF"/>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604"/>
    <w:rsid w:val="00740957"/>
    <w:rsid w:val="00741150"/>
    <w:rsid w:val="00741E04"/>
    <w:rsid w:val="00742C89"/>
    <w:rsid w:val="00742E05"/>
    <w:rsid w:val="00742ED6"/>
    <w:rsid w:val="00743CB7"/>
    <w:rsid w:val="0074461A"/>
    <w:rsid w:val="00745277"/>
    <w:rsid w:val="0074681A"/>
    <w:rsid w:val="00747A8C"/>
    <w:rsid w:val="00747B76"/>
    <w:rsid w:val="00747E9C"/>
    <w:rsid w:val="00747F31"/>
    <w:rsid w:val="007536E4"/>
    <w:rsid w:val="0075396C"/>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203CD"/>
    <w:rsid w:val="0082111B"/>
    <w:rsid w:val="00821C02"/>
    <w:rsid w:val="0082373B"/>
    <w:rsid w:val="00823D2D"/>
    <w:rsid w:val="00825A24"/>
    <w:rsid w:val="00825F2E"/>
    <w:rsid w:val="00827AAD"/>
    <w:rsid w:val="00827CEF"/>
    <w:rsid w:val="00827D33"/>
    <w:rsid w:val="00830ECC"/>
    <w:rsid w:val="0083123E"/>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3806"/>
    <w:rsid w:val="00844352"/>
    <w:rsid w:val="008446E6"/>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035"/>
    <w:rsid w:val="008637A2"/>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2AD3"/>
    <w:rsid w:val="008E4766"/>
    <w:rsid w:val="008E4BA9"/>
    <w:rsid w:val="008E55C8"/>
    <w:rsid w:val="008E660A"/>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61D8"/>
    <w:rsid w:val="009761F7"/>
    <w:rsid w:val="009765DD"/>
    <w:rsid w:val="009768F3"/>
    <w:rsid w:val="00976C24"/>
    <w:rsid w:val="009771C4"/>
    <w:rsid w:val="009818D6"/>
    <w:rsid w:val="00982D21"/>
    <w:rsid w:val="00983948"/>
    <w:rsid w:val="0098411C"/>
    <w:rsid w:val="009853BF"/>
    <w:rsid w:val="009857D8"/>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07459"/>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477E"/>
    <w:rsid w:val="00A4500B"/>
    <w:rsid w:val="00A4563F"/>
    <w:rsid w:val="00A459FF"/>
    <w:rsid w:val="00A4662D"/>
    <w:rsid w:val="00A47125"/>
    <w:rsid w:val="00A5303E"/>
    <w:rsid w:val="00A531D3"/>
    <w:rsid w:val="00A53872"/>
    <w:rsid w:val="00A53AB8"/>
    <w:rsid w:val="00A54AEC"/>
    <w:rsid w:val="00A54EAD"/>
    <w:rsid w:val="00A55095"/>
    <w:rsid w:val="00A5669E"/>
    <w:rsid w:val="00A56A43"/>
    <w:rsid w:val="00A602B6"/>
    <w:rsid w:val="00A605A5"/>
    <w:rsid w:val="00A61728"/>
    <w:rsid w:val="00A63414"/>
    <w:rsid w:val="00A6350E"/>
    <w:rsid w:val="00A637D4"/>
    <w:rsid w:val="00A638E1"/>
    <w:rsid w:val="00A64203"/>
    <w:rsid w:val="00A65DC2"/>
    <w:rsid w:val="00A65F5F"/>
    <w:rsid w:val="00A66596"/>
    <w:rsid w:val="00A67F10"/>
    <w:rsid w:val="00A707C8"/>
    <w:rsid w:val="00A71A83"/>
    <w:rsid w:val="00A7437C"/>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E44"/>
    <w:rsid w:val="00B562DA"/>
    <w:rsid w:val="00B571FD"/>
    <w:rsid w:val="00B605EA"/>
    <w:rsid w:val="00B60D36"/>
    <w:rsid w:val="00B62FB6"/>
    <w:rsid w:val="00B647B5"/>
    <w:rsid w:val="00B65815"/>
    <w:rsid w:val="00B65E66"/>
    <w:rsid w:val="00B67889"/>
    <w:rsid w:val="00B67D15"/>
    <w:rsid w:val="00B706C8"/>
    <w:rsid w:val="00B723D0"/>
    <w:rsid w:val="00B739C5"/>
    <w:rsid w:val="00B76BCF"/>
    <w:rsid w:val="00B76E58"/>
    <w:rsid w:val="00B80008"/>
    <w:rsid w:val="00B82609"/>
    <w:rsid w:val="00B830A8"/>
    <w:rsid w:val="00B83382"/>
    <w:rsid w:val="00B83C21"/>
    <w:rsid w:val="00B85BC7"/>
    <w:rsid w:val="00B903CF"/>
    <w:rsid w:val="00B90557"/>
    <w:rsid w:val="00B92B68"/>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64E"/>
    <w:rsid w:val="00BF72B7"/>
    <w:rsid w:val="00BF75A2"/>
    <w:rsid w:val="00BF79B1"/>
    <w:rsid w:val="00BF7DB7"/>
    <w:rsid w:val="00C01522"/>
    <w:rsid w:val="00C0394C"/>
    <w:rsid w:val="00C03E0C"/>
    <w:rsid w:val="00C04945"/>
    <w:rsid w:val="00C05683"/>
    <w:rsid w:val="00C063E5"/>
    <w:rsid w:val="00C068B5"/>
    <w:rsid w:val="00C06DE2"/>
    <w:rsid w:val="00C07024"/>
    <w:rsid w:val="00C07381"/>
    <w:rsid w:val="00C07C60"/>
    <w:rsid w:val="00C119A2"/>
    <w:rsid w:val="00C123C8"/>
    <w:rsid w:val="00C1358F"/>
    <w:rsid w:val="00C13AA3"/>
    <w:rsid w:val="00C144F7"/>
    <w:rsid w:val="00C1506D"/>
    <w:rsid w:val="00C160B2"/>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257"/>
    <w:rsid w:val="00C3502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38B8"/>
    <w:rsid w:val="00C549DB"/>
    <w:rsid w:val="00C57864"/>
    <w:rsid w:val="00C64BCB"/>
    <w:rsid w:val="00C64F44"/>
    <w:rsid w:val="00C65F0F"/>
    <w:rsid w:val="00C662C0"/>
    <w:rsid w:val="00C66573"/>
    <w:rsid w:val="00C6672A"/>
    <w:rsid w:val="00C67C3F"/>
    <w:rsid w:val="00C72903"/>
    <w:rsid w:val="00C734E4"/>
    <w:rsid w:val="00C73A89"/>
    <w:rsid w:val="00C74BAF"/>
    <w:rsid w:val="00C7540D"/>
    <w:rsid w:val="00C75F2A"/>
    <w:rsid w:val="00C764B8"/>
    <w:rsid w:val="00C7694C"/>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28D"/>
    <w:rsid w:val="00C94342"/>
    <w:rsid w:val="00C94A9A"/>
    <w:rsid w:val="00C94B67"/>
    <w:rsid w:val="00C9566C"/>
    <w:rsid w:val="00C968B2"/>
    <w:rsid w:val="00C96A0E"/>
    <w:rsid w:val="00C96CC7"/>
    <w:rsid w:val="00CA27AE"/>
    <w:rsid w:val="00CA3018"/>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5073"/>
    <w:rsid w:val="00CD5558"/>
    <w:rsid w:val="00CD5F26"/>
    <w:rsid w:val="00CD6319"/>
    <w:rsid w:val="00CD71DB"/>
    <w:rsid w:val="00CE04AB"/>
    <w:rsid w:val="00CE1FF4"/>
    <w:rsid w:val="00CE4269"/>
    <w:rsid w:val="00CE53FC"/>
    <w:rsid w:val="00CE5648"/>
    <w:rsid w:val="00CE5C5E"/>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77C"/>
    <w:rsid w:val="00D537FB"/>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A1B75"/>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731B"/>
    <w:rsid w:val="00DD77D5"/>
    <w:rsid w:val="00DD78E3"/>
    <w:rsid w:val="00DE14C8"/>
    <w:rsid w:val="00DE24A5"/>
    <w:rsid w:val="00DE27BF"/>
    <w:rsid w:val="00DE3FD6"/>
    <w:rsid w:val="00DE468B"/>
    <w:rsid w:val="00DE4B96"/>
    <w:rsid w:val="00DE58E3"/>
    <w:rsid w:val="00DE5E07"/>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787"/>
    <w:rsid w:val="00E0298C"/>
    <w:rsid w:val="00E02F7D"/>
    <w:rsid w:val="00E050DE"/>
    <w:rsid w:val="00E060AD"/>
    <w:rsid w:val="00E0736D"/>
    <w:rsid w:val="00E10233"/>
    <w:rsid w:val="00E105BA"/>
    <w:rsid w:val="00E1121F"/>
    <w:rsid w:val="00E11D8F"/>
    <w:rsid w:val="00E12D5A"/>
    <w:rsid w:val="00E13FE9"/>
    <w:rsid w:val="00E16346"/>
    <w:rsid w:val="00E16565"/>
    <w:rsid w:val="00E1707A"/>
    <w:rsid w:val="00E17803"/>
    <w:rsid w:val="00E17A9F"/>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2517"/>
    <w:rsid w:val="00E42747"/>
    <w:rsid w:val="00E427BD"/>
    <w:rsid w:val="00E42AFF"/>
    <w:rsid w:val="00E42B46"/>
    <w:rsid w:val="00E43273"/>
    <w:rsid w:val="00E4353B"/>
    <w:rsid w:val="00E44522"/>
    <w:rsid w:val="00E446F6"/>
    <w:rsid w:val="00E44C4B"/>
    <w:rsid w:val="00E45FE3"/>
    <w:rsid w:val="00E46115"/>
    <w:rsid w:val="00E46D29"/>
    <w:rsid w:val="00E47221"/>
    <w:rsid w:val="00E47E5D"/>
    <w:rsid w:val="00E50F53"/>
    <w:rsid w:val="00E51702"/>
    <w:rsid w:val="00E527EA"/>
    <w:rsid w:val="00E529C7"/>
    <w:rsid w:val="00E52CA6"/>
    <w:rsid w:val="00E535C6"/>
    <w:rsid w:val="00E53694"/>
    <w:rsid w:val="00E536B2"/>
    <w:rsid w:val="00E53FC4"/>
    <w:rsid w:val="00E55A6A"/>
    <w:rsid w:val="00E563E0"/>
    <w:rsid w:val="00E576BB"/>
    <w:rsid w:val="00E57AEE"/>
    <w:rsid w:val="00E57E5D"/>
    <w:rsid w:val="00E617AF"/>
    <w:rsid w:val="00E61C81"/>
    <w:rsid w:val="00E62B24"/>
    <w:rsid w:val="00E63B6A"/>
    <w:rsid w:val="00E63E95"/>
    <w:rsid w:val="00E663A3"/>
    <w:rsid w:val="00E668EB"/>
    <w:rsid w:val="00E67399"/>
    <w:rsid w:val="00E706C3"/>
    <w:rsid w:val="00E71A3A"/>
    <w:rsid w:val="00E727AE"/>
    <w:rsid w:val="00E7341C"/>
    <w:rsid w:val="00E73A1D"/>
    <w:rsid w:val="00E73D0D"/>
    <w:rsid w:val="00E74795"/>
    <w:rsid w:val="00E75734"/>
    <w:rsid w:val="00E75C56"/>
    <w:rsid w:val="00E76167"/>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890"/>
    <w:rsid w:val="00EC046B"/>
    <w:rsid w:val="00EC1997"/>
    <w:rsid w:val="00EC4079"/>
    <w:rsid w:val="00EC50DD"/>
    <w:rsid w:val="00EC52E7"/>
    <w:rsid w:val="00EC5343"/>
    <w:rsid w:val="00EC59E2"/>
    <w:rsid w:val="00EC69DE"/>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3934"/>
    <w:rsid w:val="00EE3B65"/>
    <w:rsid w:val="00EE3CF1"/>
    <w:rsid w:val="00EE4E23"/>
    <w:rsid w:val="00EE5C76"/>
    <w:rsid w:val="00EF09A9"/>
    <w:rsid w:val="00EF2BD0"/>
    <w:rsid w:val="00EF479A"/>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3F94"/>
    <w:rsid w:val="00F57376"/>
    <w:rsid w:val="00F57CCD"/>
    <w:rsid w:val="00F6275F"/>
    <w:rsid w:val="00F63074"/>
    <w:rsid w:val="00F6385E"/>
    <w:rsid w:val="00F63FCA"/>
    <w:rsid w:val="00F64C78"/>
    <w:rsid w:val="00F65A59"/>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3945"/>
    <w:rsid w:val="00F93D84"/>
    <w:rsid w:val="00F95EF4"/>
    <w:rsid w:val="00F965AB"/>
    <w:rsid w:val="00FA005A"/>
    <w:rsid w:val="00FA0A33"/>
    <w:rsid w:val="00FA11DD"/>
    <w:rsid w:val="00FA15F9"/>
    <w:rsid w:val="00FA16A5"/>
    <w:rsid w:val="00FA242F"/>
    <w:rsid w:val="00FA28B9"/>
    <w:rsid w:val="00FA3470"/>
    <w:rsid w:val="00FA533D"/>
    <w:rsid w:val="00FA67EE"/>
    <w:rsid w:val="00FB1450"/>
    <w:rsid w:val="00FB1B00"/>
    <w:rsid w:val="00FB1EB5"/>
    <w:rsid w:val="00FB2CC8"/>
    <w:rsid w:val="00FB387B"/>
    <w:rsid w:val="00FB3F52"/>
    <w:rsid w:val="00FB587B"/>
    <w:rsid w:val="00FB5BD2"/>
    <w:rsid w:val="00FB6A85"/>
    <w:rsid w:val="00FB6E04"/>
    <w:rsid w:val="00FB6E40"/>
    <w:rsid w:val="00FB7645"/>
    <w:rsid w:val="00FC1630"/>
    <w:rsid w:val="00FC1C96"/>
    <w:rsid w:val="00FC1D1F"/>
    <w:rsid w:val="00FC34B4"/>
    <w:rsid w:val="00FC4FFA"/>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0001117/ex_170314.htm"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s://www.sec.gov/Archives/edgar/data/832489/000143774920014012/ex_191616.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0006029/ex_178175.htm" TargetMode="External"/><Relationship Id="rId33" Type="http://schemas.openxmlformats.org/officeDocument/2006/relationships/hyperlink" Target="https://www.sec.gov/Archives/edgar/data/832489/000143774920014012/ex_191615.ht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20013883/ex_191698.htm"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0001117/ex_170313.htm" TargetMode="External"/><Relationship Id="rId32" Type="http://schemas.openxmlformats.org/officeDocument/2006/relationships/hyperlink" Target="https://www.sec.gov/Archives/edgar/data/832489/000143774920014012/ex_191614.htm" TargetMode="Externa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0000912/ex_169968.htm" TargetMode="External"/><Relationship Id="rId28" Type="http://schemas.openxmlformats.org/officeDocument/2006/relationships/hyperlink" Target="https://www.sec.gov/Archives/edgar/data/832489/000143774920011667/ex_187735.htm" TargetMode="Externa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832489/000143774920014012/ex_191613.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0000912/ex_169967.htm" TargetMode="External"/><Relationship Id="rId27" Type="http://schemas.openxmlformats.org/officeDocument/2006/relationships/hyperlink" Target="https://www.sec.gov/Archives/edgar/data/832489/000143774920008037/ex_181862.htm" TargetMode="External"/><Relationship Id="rId30" Type="http://schemas.openxmlformats.org/officeDocument/2006/relationships/hyperlink" Target="https://www.sec.gov/Archives/edgar/data/832489/000143774920014012/ex_191612.htm" TargetMode="External"/><Relationship Id="rId35" Type="http://schemas.openxmlformats.org/officeDocument/2006/relationships/hyperlink" Target="https://www.sec.gov/Archives/edgar/data/832489/000143774920014012/ex_191617.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10772</Words>
  <Characters>61722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72350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cp:lastModifiedBy>
  <cp:revision>3</cp:revision>
  <cp:lastPrinted>2020-08-05T12:46:00Z</cp:lastPrinted>
  <dcterms:created xsi:type="dcterms:W3CDTF">2020-08-09T12:50:00Z</dcterms:created>
  <dcterms:modified xsi:type="dcterms:W3CDTF">2020-08-09T12:50:00Z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