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8BC1" w14:textId="07FDFE4B" w:rsidR="00BD6BBE" w:rsidRPr="007E0AB8" w:rsidRDefault="00BD6BBE">
      <w:pPr>
        <w:pStyle w:val="Title"/>
        <w:rPr>
          <w:szCs w:val="24"/>
        </w:rPr>
      </w:pPr>
      <w:r w:rsidRPr="007E0AB8">
        <w:rPr>
          <w:szCs w:val="24"/>
        </w:rPr>
        <w:t>UNITED STATES</w:t>
      </w:r>
    </w:p>
    <w:p w14:paraId="0B224CAC" w14:textId="77777777" w:rsidR="00BD6BBE" w:rsidRPr="007E0AB8" w:rsidRDefault="00BD6BBE">
      <w:pPr>
        <w:pStyle w:val="Title"/>
        <w:rPr>
          <w:szCs w:val="24"/>
        </w:rPr>
      </w:pPr>
      <w:r w:rsidRPr="007E0AB8">
        <w:rPr>
          <w:szCs w:val="24"/>
        </w:rPr>
        <w:t>SECURITIES AND EXCHANGE COMMISSION</w:t>
      </w:r>
    </w:p>
    <w:p w14:paraId="3DE428FE" w14:textId="77777777" w:rsidR="00BD6BBE" w:rsidRPr="007E0AB8" w:rsidRDefault="00BD6BBE" w:rsidP="00361F10">
      <w:pPr>
        <w:pStyle w:val="Subtitle"/>
        <w:jc w:val="center"/>
        <w:rPr>
          <w:sz w:val="24"/>
          <w:szCs w:val="24"/>
        </w:rPr>
      </w:pPr>
      <w:r w:rsidRPr="007E0AB8">
        <w:rPr>
          <w:sz w:val="24"/>
          <w:szCs w:val="24"/>
        </w:rPr>
        <w:t>WASHINGTON,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AE24F5">
        <w:rPr>
          <w:b/>
          <w:sz w:val="24"/>
        </w:rPr>
      </w:r>
      <w:r w:rsidR="00AE24F5">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72439255" w:rsidR="00BD6BBE" w:rsidRPr="00F87A5B" w:rsidRDefault="00BD6BBE">
      <w:pPr>
        <w:tabs>
          <w:tab w:val="decimal" w:pos="9180"/>
        </w:tabs>
        <w:ind w:left="720" w:hanging="720"/>
        <w:rPr>
          <w:b/>
        </w:rPr>
      </w:pPr>
      <w:r w:rsidRPr="00F87A5B">
        <w:tab/>
        <w:t xml:space="preserve">For the quarterly period ended </w:t>
      </w:r>
      <w:r w:rsidR="00986053">
        <w:t>September</w:t>
      </w:r>
      <w:r w:rsidR="00460775">
        <w:t xml:space="preserve"> 3</w:t>
      </w:r>
      <w:r w:rsidR="00692D9E">
        <w:t>0</w:t>
      </w:r>
      <w:r w:rsidR="00482106">
        <w:t>,</w:t>
      </w:r>
      <w:r w:rsidR="00460775">
        <w:t xml:space="preserve"> 20</w:t>
      </w:r>
      <w:r w:rsidR="001F62EC">
        <w:t>20</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AE24F5">
        <w:rPr>
          <w:b/>
          <w:sz w:val="24"/>
        </w:rPr>
      </w:r>
      <w:r w:rsidR="00AE24F5">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6CE18362" w:rsidR="00BD6BBE" w:rsidRDefault="0024386A" w:rsidP="00F87A5B">
      <w:pPr>
        <w:jc w:val="center"/>
        <w:rPr>
          <w:b/>
          <w:szCs w:val="22"/>
        </w:rPr>
      </w:pPr>
      <w:r>
        <w:rPr>
          <w:b/>
          <w:szCs w:val="22"/>
        </w:rPr>
        <w:t>Commission file number 00</w:t>
      </w:r>
      <w:r w:rsidR="00986053">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7777777" w:rsidR="00BD6BBE" w:rsidRDefault="00BD6BBE">
      <w:pPr>
        <w:jc w:val="center"/>
        <w:rPr>
          <w:szCs w:val="22"/>
        </w:rPr>
      </w:pPr>
      <w:r>
        <w:rPr>
          <w:szCs w:val="22"/>
        </w:rPr>
        <w:t>(Exact name of Registrant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77777777" w:rsidR="00BD6BBE" w:rsidRPr="00F87A5B" w:rsidRDefault="00BD6BBE">
      <w:pPr>
        <w:tabs>
          <w:tab w:val="center" w:pos="2160"/>
          <w:tab w:val="center" w:pos="8100"/>
        </w:tabs>
      </w:pPr>
      <w:r w:rsidRPr="00F87A5B">
        <w:tab/>
        <w:t>(State or other jurisdiction</w:t>
      </w:r>
      <w:r w:rsidRPr="00F87A5B">
        <w:tab/>
        <w:t>(I.R.S. Employer Identification No.)</w:t>
      </w:r>
    </w:p>
    <w:p w14:paraId="53EA54C8" w14:textId="77777777" w:rsidR="00BD6BBE" w:rsidRPr="00F87A5B" w:rsidRDefault="00BD6BBE">
      <w:pPr>
        <w:tabs>
          <w:tab w:val="center" w:pos="2160"/>
          <w:tab w:val="decimal" w:pos="9180"/>
        </w:tabs>
      </w:pPr>
      <w:r w:rsidRPr="00F87A5B">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F87A5B" w:rsidRDefault="00BD6BBE">
      <w:pPr>
        <w:tabs>
          <w:tab w:val="center" w:pos="2160"/>
          <w:tab w:val="center" w:pos="8100"/>
        </w:tabs>
      </w:pPr>
      <w:r w:rsidRPr="00F87A5B">
        <w:tab/>
        <w:t>(Address of principal executive offices)</w:t>
      </w:r>
      <w:r w:rsidRPr="00F87A5B">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Default="006816F3">
      <w:pPr>
        <w:pStyle w:val="Heading5"/>
        <w:tabs>
          <w:tab w:val="clear" w:pos="2160"/>
          <w:tab w:val="clear" w:pos="7280"/>
          <w:tab w:val="clear" w:pos="9360"/>
        </w:tabs>
        <w:jc w:val="center"/>
        <w:rPr>
          <w:sz w:val="22"/>
          <w:szCs w:val="22"/>
        </w:rPr>
      </w:pPr>
      <w:r>
        <w:rPr>
          <w:sz w:val="22"/>
          <w:szCs w:val="22"/>
        </w:rPr>
        <w:t>(</w:t>
      </w:r>
      <w:r w:rsidR="00BD6BBE">
        <w:rPr>
          <w:sz w:val="22"/>
          <w:szCs w:val="22"/>
        </w:rPr>
        <w:t>Registrant</w:t>
      </w:r>
      <w:r w:rsidR="00B44A4C">
        <w:rPr>
          <w:sz w:val="22"/>
          <w:szCs w:val="22"/>
        </w:rPr>
        <w:t>’</w:t>
      </w:r>
      <w:r w:rsidR="00BD6BBE">
        <w:rPr>
          <w:sz w:val="22"/>
          <w:szCs w:val="22"/>
        </w:rPr>
        <w:t>s telephone number, including area code</w:t>
      </w:r>
      <w:r>
        <w:rPr>
          <w:b/>
          <w:sz w:val="22"/>
          <w:szCs w:val="22"/>
        </w:rPr>
        <w:t>)</w:t>
      </w:r>
    </w:p>
    <w:p w14:paraId="0E1A3266" w14:textId="42EFD0B4" w:rsidR="00BD6BBE" w:rsidRDefault="00BD6BBE">
      <w:pPr>
        <w:tabs>
          <w:tab w:val="decimal" w:pos="9180"/>
        </w:tabs>
        <w:jc w:val="both"/>
        <w:rPr>
          <w:szCs w:val="22"/>
        </w:rPr>
      </w:pPr>
    </w:p>
    <w:p w14:paraId="3D53BC33" w14:textId="2DEB0B43" w:rsidR="001F62EC" w:rsidRPr="001F62EC" w:rsidRDefault="001F62EC" w:rsidP="001F62EC">
      <w:pPr>
        <w:tabs>
          <w:tab w:val="decimal" w:pos="9180"/>
        </w:tabs>
        <w:rPr>
          <w:szCs w:val="22"/>
        </w:rPr>
      </w:pPr>
      <w:r>
        <w:rPr>
          <w:szCs w:val="22"/>
        </w:rPr>
        <w:t>Securities registered pursuant to Section 12(b) of the Act:  None</w:t>
      </w:r>
    </w:p>
    <w:p w14:paraId="3A40F902" w14:textId="77777777" w:rsidR="001F62EC" w:rsidRDefault="001F62EC">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AE24F5">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AE24F5">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AE24F5">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AE24F5">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7A93B233"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11159C">
        <w:rPr>
          <w:rFonts w:ascii="Wingdings" w:hAnsi="Wingdings" w:cs="Wingdings"/>
          <w:color w:val="000000"/>
          <w:sz w:val="18"/>
          <w:szCs w:val="18"/>
        </w:rPr>
        <w:fldChar w:fldCharType="begin">
          <w:ffData>
            <w:name w:val="Check1"/>
            <w:enabled/>
            <w:calcOnExit w:val="0"/>
            <w:checkBox>
              <w:sizeAuto/>
              <w:default w:val="1"/>
            </w:checkBox>
          </w:ffData>
        </w:fldChar>
      </w:r>
      <w:r w:rsidR="0011159C">
        <w:rPr>
          <w:rFonts w:ascii="Wingdings" w:hAnsi="Wingdings" w:cs="Wingdings"/>
          <w:color w:val="000000"/>
          <w:sz w:val="18"/>
          <w:szCs w:val="18"/>
        </w:rPr>
        <w:instrText xml:space="preserve"> </w:instrText>
      </w:r>
      <w:bookmarkStart w:id="4" w:name="Check1"/>
      <w:r w:rsidR="0011159C">
        <w:rPr>
          <w:rFonts w:ascii="Wingdings" w:hAnsi="Wingdings" w:cs="Wingdings"/>
          <w:color w:val="000000"/>
          <w:sz w:val="18"/>
          <w:szCs w:val="18"/>
        </w:rPr>
        <w:instrText xml:space="preserve">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0011159C">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DD35B9E"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54064">
        <w:rPr>
          <w:rFonts w:ascii="Wingdings" w:hAnsi="Wingdings" w:cs="Wingdings"/>
          <w:color w:val="000000"/>
          <w:sz w:val="18"/>
          <w:szCs w:val="18"/>
        </w:rPr>
        <w:fldChar w:fldCharType="begin">
          <w:ffData>
            <w:name w:val="Check1"/>
            <w:enabled/>
            <w:calcOnExit w:val="0"/>
            <w:checkBox>
              <w:sizeAuto/>
              <w:default w:val="1"/>
            </w:checkBox>
          </w:ffData>
        </w:fldChar>
      </w:r>
      <w:r w:rsidR="00454064">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00454064">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AE24F5">
        <w:rPr>
          <w:rFonts w:ascii="Wingdings" w:hAnsi="Wingdings" w:cs="Wingdings"/>
          <w:color w:val="000000"/>
          <w:sz w:val="18"/>
          <w:szCs w:val="18"/>
        </w:rPr>
      </w:r>
      <w:r w:rsidR="00AE24F5">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3F074C73" w:rsidR="0094630A" w:rsidRDefault="0094630A">
      <w:pPr>
        <w:tabs>
          <w:tab w:val="decimal" w:pos="9180"/>
        </w:tabs>
        <w:jc w:val="both"/>
      </w:pPr>
      <w:r w:rsidRPr="003D6A75">
        <w:t>As o</w:t>
      </w:r>
      <w:r w:rsidR="009B114A" w:rsidRPr="003D6A75">
        <w:t xml:space="preserve">f </w:t>
      </w:r>
      <w:r w:rsidR="00986053">
        <w:t>November</w:t>
      </w:r>
      <w:r w:rsidR="001F0568" w:rsidRPr="004A5874">
        <w:t xml:space="preserve"> </w:t>
      </w:r>
      <w:r w:rsidR="00454064">
        <w:t>5</w:t>
      </w:r>
      <w:r w:rsidR="009B20E1" w:rsidRPr="004A5874">
        <w:t>,</w:t>
      </w:r>
      <w:r w:rsidR="00460775" w:rsidRPr="004A5874">
        <w:t xml:space="preserve"> 20</w:t>
      </w:r>
      <w:r w:rsidR="001F62EC" w:rsidRPr="004A5874">
        <w:t>2</w:t>
      </w:r>
      <w:r w:rsidR="001F62EC">
        <w:t>0</w:t>
      </w:r>
      <w:r w:rsidR="00F75588" w:rsidRPr="006F2532">
        <w:t>,</w:t>
      </w:r>
      <w:r w:rsidR="00986053">
        <w:t xml:space="preserve"> 3,810,836</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2389860" w14:textId="77777777" w:rsidR="00644156" w:rsidRPr="0058175D" w:rsidRDefault="00644156" w:rsidP="00277F5A">
      <w:pPr>
        <w:tabs>
          <w:tab w:val="center" w:pos="9900"/>
        </w:tabs>
        <w:rPr>
          <w:b/>
        </w:rPr>
      </w:pPr>
    </w:p>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18DA8BF6" w:rsidR="00482106" w:rsidRPr="000371CC" w:rsidRDefault="00482106" w:rsidP="004E3374">
      <w:pPr>
        <w:tabs>
          <w:tab w:val="right" w:pos="10080"/>
        </w:tabs>
        <w:ind w:left="900"/>
      </w:pPr>
      <w:r>
        <w:t xml:space="preserve">Condensed </w:t>
      </w:r>
      <w:r w:rsidRPr="000371CC">
        <w:t xml:space="preserve">Consolidated Balance Sheets as of </w:t>
      </w:r>
      <w:r w:rsidR="00986053">
        <w:t>September</w:t>
      </w:r>
      <w:r w:rsidR="00460775">
        <w:t xml:space="preserve"> 3</w:t>
      </w:r>
      <w:r w:rsidR="00692D9E">
        <w:t>0</w:t>
      </w:r>
      <w:r w:rsidR="00B35C97">
        <w:t xml:space="preserve">, </w:t>
      </w:r>
      <w:r w:rsidR="00460775">
        <w:t>20</w:t>
      </w:r>
      <w:r w:rsidR="001F62EC">
        <w:t>20</w:t>
      </w:r>
      <w:r w:rsidR="00ED6B2C">
        <w:t xml:space="preserve"> (unaudited)</w:t>
      </w:r>
      <w:r w:rsidR="00D74F1F">
        <w:t xml:space="preserve"> </w:t>
      </w:r>
      <w:r w:rsidR="00460775">
        <w:t>and December 31, 201</w:t>
      </w:r>
      <w:r w:rsidR="001F62EC">
        <w:t>9</w:t>
      </w:r>
      <w:r w:rsidRPr="000371CC">
        <w:tab/>
        <w:t>1</w:t>
      </w:r>
    </w:p>
    <w:p w14:paraId="323AB257" w14:textId="0AF4EF2E"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692D9E">
        <w:t xml:space="preserve">and </w:t>
      </w:r>
      <w:r w:rsidR="00986053">
        <w:t>nine</w:t>
      </w:r>
      <w:r w:rsidR="00692D9E">
        <w:t xml:space="preserve">-month </w:t>
      </w:r>
      <w:r w:rsidR="00483E00">
        <w:t xml:space="preserve">periods </w:t>
      </w:r>
      <w:r w:rsidR="001F0568">
        <w:t>e</w:t>
      </w:r>
      <w:r w:rsidR="00A12E9E">
        <w:t>nded</w:t>
      </w:r>
    </w:p>
    <w:p w14:paraId="10D88DBF" w14:textId="483691F1" w:rsidR="00482106" w:rsidRDefault="004E3374" w:rsidP="004E3374">
      <w:pPr>
        <w:tabs>
          <w:tab w:val="right" w:pos="10080"/>
        </w:tabs>
        <w:ind w:left="900"/>
      </w:pPr>
      <w:r>
        <w:t xml:space="preserve">   </w:t>
      </w:r>
      <w:r w:rsidR="00986053">
        <w:t>September</w:t>
      </w:r>
      <w:r w:rsidR="0063349C">
        <w:t xml:space="preserve"> </w:t>
      </w:r>
      <w:r w:rsidR="00460775">
        <w:t>3</w:t>
      </w:r>
      <w:r w:rsidR="00692D9E">
        <w:t>0</w:t>
      </w:r>
      <w:r w:rsidR="00460775">
        <w:t>, 20</w:t>
      </w:r>
      <w:r w:rsidR="001F62EC">
        <w:t>20</w:t>
      </w:r>
      <w:r w:rsidR="00731C61">
        <w:t xml:space="preserve"> </w:t>
      </w:r>
      <w:r w:rsidR="00460775">
        <w:t>and 201</w:t>
      </w:r>
      <w:r w:rsidR="001F62EC">
        <w:t>9</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1D625495" w:rsidR="00487CAB" w:rsidRPr="000371CC" w:rsidRDefault="00487CAB" w:rsidP="004E3374">
      <w:pPr>
        <w:tabs>
          <w:tab w:val="right" w:pos="10080"/>
        </w:tabs>
        <w:ind w:left="900"/>
      </w:pPr>
      <w:r>
        <w:t xml:space="preserve">   for the </w:t>
      </w:r>
      <w:r w:rsidR="00692D9E">
        <w:t xml:space="preserve">three-month and </w:t>
      </w:r>
      <w:r w:rsidR="00986053">
        <w:t>nine</w:t>
      </w:r>
      <w:r>
        <w:t xml:space="preserve">-month periods ended </w:t>
      </w:r>
      <w:r w:rsidR="00986053">
        <w:t>September</w:t>
      </w:r>
      <w:r>
        <w:t xml:space="preserve"> 3</w:t>
      </w:r>
      <w:r w:rsidR="00692D9E">
        <w:t>0</w:t>
      </w:r>
      <w:r>
        <w:t>, 20</w:t>
      </w:r>
      <w:r w:rsidR="001F62EC">
        <w:t>20</w:t>
      </w:r>
      <w:r>
        <w:t xml:space="preserve"> and 201</w:t>
      </w:r>
      <w:r w:rsidR="001F62EC">
        <w:t>9</w:t>
      </w:r>
      <w:r>
        <w:t xml:space="preserve"> (unaudited)</w:t>
      </w:r>
      <w:r>
        <w:tab/>
        <w:t>3</w:t>
      </w:r>
    </w:p>
    <w:p w14:paraId="5EC29F91" w14:textId="28F57828" w:rsidR="004E3374" w:rsidRDefault="00482106" w:rsidP="004E3374">
      <w:pPr>
        <w:tabs>
          <w:tab w:val="right" w:pos="10080"/>
        </w:tabs>
        <w:ind w:left="900"/>
      </w:pPr>
      <w:r>
        <w:t xml:space="preserve">Condensed </w:t>
      </w:r>
      <w:r w:rsidRPr="000371CC">
        <w:t xml:space="preserve">Consolidated Statements of Cash Flows for the </w:t>
      </w:r>
      <w:r w:rsidR="00986053">
        <w:t>nine</w:t>
      </w:r>
      <w:r w:rsidR="00CC2136">
        <w:t>-</w:t>
      </w:r>
      <w:r w:rsidR="00F758D1">
        <w:t xml:space="preserve">month </w:t>
      </w:r>
      <w:r w:rsidR="00483E00">
        <w:t xml:space="preserve">periods </w:t>
      </w:r>
      <w:r w:rsidR="00731D11">
        <w:t>ended</w:t>
      </w:r>
    </w:p>
    <w:p w14:paraId="6B706CF1" w14:textId="4127E20B" w:rsidR="00482106" w:rsidRPr="000371CC" w:rsidRDefault="004E3374" w:rsidP="004E3374">
      <w:pPr>
        <w:tabs>
          <w:tab w:val="right" w:pos="10080"/>
        </w:tabs>
        <w:ind w:left="900"/>
      </w:pPr>
      <w:r>
        <w:t xml:space="preserve">   </w:t>
      </w:r>
      <w:r w:rsidR="00986053">
        <w:t>September</w:t>
      </w:r>
      <w:r w:rsidR="0063349C">
        <w:t xml:space="preserve"> </w:t>
      </w:r>
      <w:r w:rsidR="00460775">
        <w:t>3</w:t>
      </w:r>
      <w:r w:rsidR="00692D9E">
        <w:t>0</w:t>
      </w:r>
      <w:r w:rsidR="00823D2D">
        <w:t xml:space="preserve">, </w:t>
      </w:r>
      <w:r w:rsidR="00460775">
        <w:t>20</w:t>
      </w:r>
      <w:r w:rsidR="001F62EC">
        <w:t>20</w:t>
      </w:r>
      <w:r>
        <w:t xml:space="preserve"> </w:t>
      </w:r>
      <w:r w:rsidR="00460775">
        <w:t>and 201</w:t>
      </w:r>
      <w:r w:rsidR="001F62EC">
        <w:t>9</w:t>
      </w:r>
      <w:r w:rsidR="00CC10F7">
        <w:t xml:space="preserve"> (unaudited)</w:t>
      </w:r>
      <w:r w:rsidR="00482106">
        <w:tab/>
      </w:r>
      <w:r w:rsidR="00FD6A4F">
        <w:t>5</w:t>
      </w:r>
    </w:p>
    <w:p w14:paraId="53104FA3" w14:textId="4ECE9468"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FD6A4F">
        <w:t>6</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67F27E2"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487CAB">
        <w:t>1</w:t>
      </w:r>
      <w:r w:rsidR="00471B01">
        <w:t>3</w:t>
      </w:r>
    </w:p>
    <w:p w14:paraId="04727900" w14:textId="77777777" w:rsidR="00482106" w:rsidRDefault="00482106" w:rsidP="004E3374">
      <w:pPr>
        <w:tabs>
          <w:tab w:val="left" w:pos="900"/>
          <w:tab w:val="right" w:pos="10080"/>
        </w:tabs>
      </w:pPr>
    </w:p>
    <w:p w14:paraId="3698A973" w14:textId="5701D4E1"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175A7C">
        <w:t>1</w:t>
      </w:r>
      <w:r w:rsidR="00471B01">
        <w:t>8</w:t>
      </w:r>
    </w:p>
    <w:p w14:paraId="19A98050" w14:textId="77777777" w:rsidR="00482106" w:rsidRPr="000371CC" w:rsidRDefault="00482106" w:rsidP="002D1A5A">
      <w:pPr>
        <w:tabs>
          <w:tab w:val="left" w:pos="900"/>
          <w:tab w:val="right" w:pos="10080"/>
        </w:tabs>
      </w:pPr>
    </w:p>
    <w:p w14:paraId="16AC473F" w14:textId="6AC79920"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471B01">
        <w:t>8</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4847C8FC"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471B01">
        <w:t>9</w:t>
      </w:r>
    </w:p>
    <w:p w14:paraId="073F6D6B" w14:textId="77777777" w:rsidR="00482106" w:rsidRPr="000371CC" w:rsidRDefault="00482106" w:rsidP="004E3374">
      <w:pPr>
        <w:tabs>
          <w:tab w:val="left" w:pos="900"/>
          <w:tab w:val="right" w:pos="10200"/>
        </w:tabs>
      </w:pPr>
    </w:p>
    <w:p w14:paraId="27555486" w14:textId="2D89A23C"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471B01">
        <w:t>9</w:t>
      </w:r>
    </w:p>
    <w:p w14:paraId="0F986A6E" w14:textId="77777777" w:rsidR="00482106" w:rsidRPr="000371CC" w:rsidRDefault="00482106" w:rsidP="004E3374">
      <w:pPr>
        <w:tabs>
          <w:tab w:val="left" w:pos="900"/>
          <w:tab w:val="right" w:pos="10080"/>
          <w:tab w:val="right" w:pos="10200"/>
        </w:tabs>
      </w:pPr>
    </w:p>
    <w:p w14:paraId="6537B7F4" w14:textId="7C1D43FD"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471B01">
        <w:t>2</w:t>
      </w:r>
      <w:r w:rsidR="00DF5799">
        <w:t>8</w:t>
      </w:r>
    </w:p>
    <w:p w14:paraId="2598FC1C" w14:textId="77777777" w:rsidR="00482106" w:rsidRPr="000371CC" w:rsidRDefault="00482106" w:rsidP="004E3374">
      <w:pPr>
        <w:tabs>
          <w:tab w:val="left" w:pos="900"/>
          <w:tab w:val="right" w:pos="10080"/>
          <w:tab w:val="right" w:pos="10200"/>
        </w:tabs>
      </w:pPr>
    </w:p>
    <w:p w14:paraId="790C8A4C" w14:textId="60364832"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471B01">
        <w:t>2</w:t>
      </w:r>
      <w:r w:rsidR="00DF5799">
        <w:t>8</w:t>
      </w:r>
    </w:p>
    <w:p w14:paraId="7122746D" w14:textId="77777777" w:rsidR="00BF7DB7" w:rsidRDefault="00BF7DB7" w:rsidP="004E3374">
      <w:pPr>
        <w:tabs>
          <w:tab w:val="left" w:pos="900"/>
          <w:tab w:val="right" w:pos="10080"/>
          <w:tab w:val="right" w:pos="10200"/>
        </w:tabs>
      </w:pPr>
    </w:p>
    <w:p w14:paraId="51D96C50" w14:textId="52A04E1E" w:rsidR="00BF7DB7" w:rsidRPr="000371CC" w:rsidRDefault="00BF7DB7" w:rsidP="004E3374">
      <w:pPr>
        <w:tabs>
          <w:tab w:val="left" w:pos="900"/>
          <w:tab w:val="right" w:pos="10080"/>
          <w:tab w:val="right" w:pos="10200"/>
        </w:tabs>
      </w:pPr>
      <w:r>
        <w:t>Item 4</w:t>
      </w:r>
      <w:r>
        <w:tab/>
      </w:r>
      <w:r w:rsidR="000D4A4B">
        <w:t>Mine Safety Disclosures</w:t>
      </w:r>
      <w:r w:rsidR="009E5F38">
        <w:tab/>
      </w:r>
      <w:r w:rsidR="00471B01">
        <w:t>2</w:t>
      </w:r>
      <w:r w:rsidR="00DF5799">
        <w:t>8</w:t>
      </w:r>
    </w:p>
    <w:p w14:paraId="1D1D1680" w14:textId="77777777" w:rsidR="00482106" w:rsidRPr="000371CC" w:rsidRDefault="00482106" w:rsidP="004E3374">
      <w:pPr>
        <w:tabs>
          <w:tab w:val="left" w:pos="900"/>
          <w:tab w:val="right" w:pos="10080"/>
          <w:tab w:val="right" w:pos="10200"/>
        </w:tabs>
      </w:pPr>
    </w:p>
    <w:p w14:paraId="7FF4F361" w14:textId="4B201E26"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471B01">
        <w:t>2</w:t>
      </w:r>
      <w:r w:rsidR="004B3B8C">
        <w:t>8</w:t>
      </w:r>
    </w:p>
    <w:p w14:paraId="7329C9FE" w14:textId="77777777" w:rsidR="00482106" w:rsidRPr="000371CC" w:rsidRDefault="00482106" w:rsidP="004E3374">
      <w:pPr>
        <w:tabs>
          <w:tab w:val="left" w:pos="900"/>
          <w:tab w:val="right" w:pos="10080"/>
          <w:tab w:val="right" w:pos="10200"/>
        </w:tabs>
      </w:pPr>
    </w:p>
    <w:p w14:paraId="25371BEC" w14:textId="46F2AC54"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471B01">
        <w:t>2</w:t>
      </w:r>
      <w:r w:rsidR="004B3B8C">
        <w:t>8</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6A3E1F15"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471B01">
        <w:t>3</w:t>
      </w:r>
      <w:r w:rsidR="004B3B8C">
        <w:t>0</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erReference w:type="first" r:id="rId10"/>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5B1C935B" w:rsidR="001F62EC" w:rsidRPr="00356734" w:rsidRDefault="00986053" w:rsidP="001F62EC">
            <w:pPr>
              <w:jc w:val="center"/>
              <w:rPr>
                <w:snapToGrid w:val="0"/>
                <w:color w:val="000000"/>
              </w:rPr>
            </w:pPr>
            <w:r>
              <w:rPr>
                <w:snapToGrid w:val="0"/>
                <w:color w:val="000000"/>
              </w:rPr>
              <w:t>September</w:t>
            </w:r>
            <w:r w:rsidR="001F62EC">
              <w:rPr>
                <w:snapToGrid w:val="0"/>
                <w:color w:val="000000"/>
              </w:rPr>
              <w:t xml:space="preserve"> 30</w:t>
            </w:r>
            <w:r w:rsidR="00692D9E">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ECA34DD" w:rsidR="001F62EC" w:rsidRPr="00356734" w:rsidRDefault="001F62EC" w:rsidP="001F62EC">
            <w:pPr>
              <w:jc w:val="center"/>
              <w:rPr>
                <w:snapToGrid w:val="0"/>
                <w:color w:val="000000"/>
              </w:rPr>
            </w:pPr>
            <w:r>
              <w:rPr>
                <w:snapToGrid w:val="0"/>
                <w:color w:val="000000"/>
              </w:rPr>
              <w:t>2020</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3560BB8" w:rsidR="001F62EC" w:rsidRPr="00356734" w:rsidRDefault="001F62EC" w:rsidP="001F62EC">
            <w:pPr>
              <w:jc w:val="center"/>
              <w:rPr>
                <w:snapToGrid w:val="0"/>
                <w:color w:val="000000"/>
              </w:rPr>
            </w:pPr>
            <w:r w:rsidRPr="00356734">
              <w:rPr>
                <w:snapToGrid w:val="0"/>
                <w:color w:val="000000"/>
              </w:rPr>
              <w:t>20</w:t>
            </w:r>
            <w:r>
              <w:rPr>
                <w:snapToGrid w:val="0"/>
                <w:color w:val="000000"/>
              </w:rPr>
              <w:t>19</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27100AD1"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54064">
              <w:rPr>
                <w:snapToGrid w:val="0"/>
                <w:color w:val="000000"/>
              </w:rPr>
              <w:t>11,580,594</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5B0A321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283,341</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742DFB25" w:rsidR="001F62EC" w:rsidRPr="00EB7BF0" w:rsidRDefault="00454064" w:rsidP="001F62EC">
            <w:pPr>
              <w:tabs>
                <w:tab w:val="decimal" w:pos="1320"/>
              </w:tabs>
              <w:rPr>
                <w:snapToGrid w:val="0"/>
                <w:color w:val="000000"/>
              </w:rPr>
            </w:pPr>
            <w:r>
              <w:rPr>
                <w:snapToGrid w:val="0"/>
                <w:color w:val="000000"/>
              </w:rPr>
              <w:t>141,154</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3E07B421" w:rsidR="001F62EC" w:rsidRPr="00EB7BF0" w:rsidRDefault="001F62EC" w:rsidP="001F62EC">
            <w:pPr>
              <w:tabs>
                <w:tab w:val="decimal" w:pos="1500"/>
              </w:tabs>
              <w:rPr>
                <w:snapToGrid w:val="0"/>
                <w:color w:val="000000"/>
              </w:rPr>
            </w:pPr>
            <w:r>
              <w:rPr>
                <w:snapToGrid w:val="0"/>
                <w:color w:val="000000"/>
              </w:rPr>
              <w:t>68</w:t>
            </w:r>
            <w:r w:rsidR="00011002">
              <w:rPr>
                <w:snapToGrid w:val="0"/>
                <w:color w:val="000000"/>
              </w:rPr>
              <w:t>,603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67004F56" w:rsidR="001F62EC" w:rsidRPr="00EB7BF0" w:rsidRDefault="00454064" w:rsidP="001F62EC">
            <w:pPr>
              <w:tabs>
                <w:tab w:val="decimal" w:pos="1320"/>
              </w:tabs>
              <w:rPr>
                <w:snapToGrid w:val="0"/>
                <w:color w:val="000000"/>
              </w:rPr>
            </w:pPr>
            <w:r>
              <w:rPr>
                <w:snapToGrid w:val="0"/>
                <w:color w:val="000000"/>
              </w:rPr>
              <w:t>13,046</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2442BDEB" w:rsidR="001F62EC" w:rsidRPr="00EB7BF0" w:rsidRDefault="00011002" w:rsidP="001F62EC">
            <w:pPr>
              <w:tabs>
                <w:tab w:val="decimal" w:pos="1500"/>
              </w:tabs>
              <w:rPr>
                <w:snapToGrid w:val="0"/>
                <w:color w:val="000000"/>
              </w:rPr>
            </w:pPr>
            <w:r>
              <w:rPr>
                <w:snapToGrid w:val="0"/>
                <w:color w:val="000000"/>
              </w:rPr>
              <w:t>95,320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1C2EEFFA" w:rsidR="001F62EC" w:rsidRPr="00E74795" w:rsidRDefault="00454064" w:rsidP="001F62EC">
            <w:pPr>
              <w:tabs>
                <w:tab w:val="decimal" w:pos="1320"/>
              </w:tabs>
              <w:rPr>
                <w:snapToGrid w:val="0"/>
                <w:color w:val="000000"/>
              </w:rPr>
            </w:pPr>
            <w:r>
              <w:rPr>
                <w:snapToGrid w:val="0"/>
                <w:color w:val="000000"/>
              </w:rPr>
              <w:t>11,734,794</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4E9A1660" w:rsidR="001F62EC" w:rsidRPr="00E74795" w:rsidRDefault="00011002" w:rsidP="001F62EC">
            <w:pPr>
              <w:tabs>
                <w:tab w:val="decimal" w:pos="1500"/>
              </w:tabs>
              <w:rPr>
                <w:snapToGrid w:val="0"/>
                <w:color w:val="000000"/>
              </w:rPr>
            </w:pPr>
            <w:r>
              <w:rPr>
                <w:snapToGrid w:val="0"/>
                <w:color w:val="000000"/>
              </w:rPr>
              <w:t>447,264</w:t>
            </w:r>
          </w:p>
        </w:tc>
      </w:tr>
      <w:tr w:rsidR="001F62EC" w:rsidRPr="00EB7BF0" w14:paraId="71A35CD8" w14:textId="77777777" w:rsidTr="001F62EC">
        <w:trPr>
          <w:trHeight w:hRule="exact" w:val="230"/>
        </w:trPr>
        <w:tc>
          <w:tcPr>
            <w:tcW w:w="6120" w:type="dxa"/>
            <w:gridSpan w:val="3"/>
          </w:tcPr>
          <w:p w14:paraId="6E3EC1EB" w14:textId="77777777" w:rsidR="001F62EC" w:rsidRPr="00E74795" w:rsidRDefault="001F62EC" w:rsidP="001F62EC">
            <w:pPr>
              <w:rPr>
                <w:b/>
                <w:snapToGrid w:val="0"/>
                <w:color w:val="000000"/>
              </w:rPr>
            </w:pPr>
            <w:r w:rsidRPr="00374FE3">
              <w:rPr>
                <w:snapToGrid w:val="0"/>
                <w:color w:val="000000"/>
              </w:rPr>
              <w:t xml:space="preserve">Property and equipment, net (Note </w:t>
            </w:r>
            <w:r>
              <w:rPr>
                <w:snapToGrid w:val="0"/>
                <w:color w:val="000000"/>
              </w:rPr>
              <w:t>5</w:t>
            </w:r>
            <w:r w:rsidRPr="00374FE3">
              <w:rPr>
                <w:snapToGrid w:val="0"/>
                <w:color w:val="000000"/>
              </w:rPr>
              <w: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6015673D" w:rsidR="001F62EC" w:rsidRPr="00E74795" w:rsidRDefault="00454064" w:rsidP="001F62EC">
            <w:pPr>
              <w:tabs>
                <w:tab w:val="decimal" w:pos="1320"/>
              </w:tabs>
              <w:rPr>
                <w:snapToGrid w:val="0"/>
                <w:color w:val="000000"/>
              </w:rPr>
            </w:pPr>
            <w:r>
              <w:rPr>
                <w:snapToGrid w:val="0"/>
                <w:color w:val="000000"/>
              </w:rPr>
              <w:t>10,093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08CDC87E"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0,606</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716A2324" w:rsidR="001F62EC" w:rsidRPr="00E74795" w:rsidRDefault="00454064"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3E21087F"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54064">
              <w:rPr>
                <w:snapToGrid w:val="0"/>
                <w:color w:val="000000"/>
              </w:rPr>
              <w:t>11,755,897</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FEC7B54"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77777777" w:rsidR="001F62EC" w:rsidRPr="00E74795" w:rsidRDefault="001F62EC" w:rsidP="001F62EC">
            <w:pPr>
              <w:rPr>
                <w:snapToGrid w:val="0"/>
                <w:color w:val="000000"/>
              </w:rPr>
            </w:pPr>
            <w:r w:rsidRPr="00374FE3">
              <w:rPr>
                <w:snapToGrid w:val="0"/>
                <w:color w:val="000000"/>
              </w:rPr>
              <w:t>LIABILITIES AND STOCKHOLDERS’ EQUITY (DEFICIENCY)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2A02AF33"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E4958">
              <w:rPr>
                <w:snapToGrid w:val="0"/>
                <w:color w:val="000000"/>
              </w:rPr>
              <w:t>161,478</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461525F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011002">
              <w:rPr>
                <w:snapToGrid w:val="0"/>
                <w:color w:val="000000"/>
              </w:rPr>
              <w:t>152,653</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77777777" w:rsidR="001F62EC" w:rsidRPr="00E74795" w:rsidRDefault="001F62EC" w:rsidP="001F62EC">
            <w:pPr>
              <w:rPr>
                <w:snapToGrid w:val="0"/>
                <w:color w:val="000000"/>
              </w:rPr>
            </w:pPr>
            <w:r w:rsidRPr="00374FE3">
              <w:rPr>
                <w:snapToGrid w:val="0"/>
                <w:color w:val="000000"/>
              </w:rPr>
              <w:t xml:space="preserve">Accrued expenses (Note </w:t>
            </w:r>
            <w:r>
              <w:rPr>
                <w:snapToGrid w:val="0"/>
                <w:color w:val="000000"/>
              </w:rPr>
              <w:t>6</w:t>
            </w:r>
            <w:r w:rsidRPr="00374FE3">
              <w:rPr>
                <w:snapToGrid w:val="0"/>
                <w:color w:val="000000"/>
              </w:rPr>
              <w:t>)</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224C0C35" w:rsidR="001F62EC" w:rsidRPr="00E74795" w:rsidRDefault="004E4958" w:rsidP="001F62EC">
            <w:pPr>
              <w:tabs>
                <w:tab w:val="decimal" w:pos="1320"/>
              </w:tabs>
              <w:rPr>
                <w:snapToGrid w:val="0"/>
                <w:color w:val="000000"/>
              </w:rPr>
            </w:pPr>
            <w:r>
              <w:rPr>
                <w:snapToGrid w:val="0"/>
                <w:color w:val="000000"/>
              </w:rPr>
              <w:t>579,585</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5D1AF054"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851,040</w:t>
            </w:r>
          </w:p>
        </w:tc>
      </w:tr>
      <w:tr w:rsidR="005E38F4" w:rsidRPr="00EB7BF0" w14:paraId="74990402" w14:textId="77777777" w:rsidTr="001F62EC">
        <w:trPr>
          <w:trHeight w:hRule="exact" w:val="230"/>
        </w:trPr>
        <w:tc>
          <w:tcPr>
            <w:tcW w:w="305" w:type="dxa"/>
          </w:tcPr>
          <w:p w14:paraId="51E94F7D" w14:textId="77777777" w:rsidR="005E38F4" w:rsidRPr="00EB7BF0" w:rsidRDefault="005E38F4" w:rsidP="001F62EC">
            <w:pPr>
              <w:jc w:val="right"/>
              <w:rPr>
                <w:snapToGrid w:val="0"/>
                <w:color w:val="000000"/>
              </w:rPr>
            </w:pPr>
          </w:p>
        </w:tc>
        <w:tc>
          <w:tcPr>
            <w:tcW w:w="5815" w:type="dxa"/>
            <w:gridSpan w:val="2"/>
          </w:tcPr>
          <w:p w14:paraId="7E9B5270" w14:textId="3518C6DC" w:rsidR="005E38F4" w:rsidRPr="00374FE3" w:rsidRDefault="005E38F4" w:rsidP="001F62EC">
            <w:pPr>
              <w:rPr>
                <w:snapToGrid w:val="0"/>
                <w:color w:val="000000"/>
              </w:rPr>
            </w:pPr>
            <w:r>
              <w:rPr>
                <w:snapToGrid w:val="0"/>
                <w:color w:val="000000"/>
              </w:rPr>
              <w:t>Current portion of notes payable</w:t>
            </w:r>
          </w:p>
        </w:tc>
        <w:tc>
          <w:tcPr>
            <w:tcW w:w="90" w:type="dxa"/>
          </w:tcPr>
          <w:p w14:paraId="27B67F56" w14:textId="77777777" w:rsidR="005E38F4" w:rsidRPr="00E74795" w:rsidRDefault="005E38F4" w:rsidP="001F62EC">
            <w:pPr>
              <w:jc w:val="right"/>
              <w:rPr>
                <w:snapToGrid w:val="0"/>
                <w:color w:val="000000"/>
              </w:rPr>
            </w:pPr>
          </w:p>
        </w:tc>
        <w:tc>
          <w:tcPr>
            <w:tcW w:w="1710" w:type="dxa"/>
          </w:tcPr>
          <w:p w14:paraId="1F3FC868" w14:textId="7D261A3B" w:rsidR="005E38F4" w:rsidRDefault="004E4958" w:rsidP="001F62EC">
            <w:pPr>
              <w:tabs>
                <w:tab w:val="decimal" w:pos="1320"/>
              </w:tabs>
              <w:rPr>
                <w:snapToGrid w:val="0"/>
                <w:color w:val="000000"/>
              </w:rPr>
            </w:pPr>
            <w:r>
              <w:rPr>
                <w:snapToGrid w:val="0"/>
                <w:color w:val="000000"/>
              </w:rPr>
              <w:t>182,584</w:t>
            </w:r>
          </w:p>
        </w:tc>
        <w:tc>
          <w:tcPr>
            <w:tcW w:w="270" w:type="dxa"/>
          </w:tcPr>
          <w:p w14:paraId="6CF8002A" w14:textId="77777777" w:rsidR="005E38F4" w:rsidRPr="00E74795" w:rsidRDefault="005E38F4" w:rsidP="001F62EC">
            <w:pPr>
              <w:jc w:val="right"/>
              <w:rPr>
                <w:snapToGrid w:val="0"/>
                <w:color w:val="000000"/>
              </w:rPr>
            </w:pPr>
          </w:p>
        </w:tc>
        <w:tc>
          <w:tcPr>
            <w:tcW w:w="1890" w:type="dxa"/>
          </w:tcPr>
          <w:p w14:paraId="012B48EB" w14:textId="4AF6923D" w:rsidR="005E38F4" w:rsidRDefault="005E38F4" w:rsidP="001F62EC">
            <w:pPr>
              <w:tabs>
                <w:tab w:val="decimal" w:pos="1500"/>
              </w:tabs>
              <w:rPr>
                <w:snapToGrid w:val="0"/>
                <w:color w:val="000000"/>
              </w:rPr>
            </w:pPr>
            <w:r>
              <w:rPr>
                <w:snapToGrid w:val="0"/>
                <w:color w:val="000000"/>
              </w:rPr>
              <w:t>12,500</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5C9ED837" w:rsidR="001F62EC" w:rsidRPr="00E74795" w:rsidRDefault="004E4958" w:rsidP="001F62EC">
            <w:pPr>
              <w:tabs>
                <w:tab w:val="decimal" w:pos="1320"/>
              </w:tabs>
              <w:rPr>
                <w:snapToGrid w:val="0"/>
                <w:color w:val="000000"/>
              </w:rPr>
            </w:pPr>
            <w:r>
              <w:rPr>
                <w:snapToGrid w:val="0"/>
                <w:color w:val="000000"/>
              </w:rPr>
              <w:t>923,647</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1394DB5F" w:rsidR="001F62EC" w:rsidRPr="00E74795" w:rsidRDefault="00011002" w:rsidP="001F62EC">
            <w:pPr>
              <w:tabs>
                <w:tab w:val="decimal" w:pos="1500"/>
              </w:tabs>
              <w:rPr>
                <w:snapToGrid w:val="0"/>
                <w:color w:val="000000"/>
              </w:rPr>
            </w:pPr>
            <w:r>
              <w:rPr>
                <w:snapToGrid w:val="0"/>
                <w:color w:val="000000"/>
              </w:rPr>
              <w:t>2,016,193</w:t>
            </w:r>
          </w:p>
        </w:tc>
      </w:tr>
      <w:tr w:rsidR="001F62EC" w:rsidRPr="00EB7BF0" w14:paraId="779FCC2C" w14:textId="77777777" w:rsidTr="001F62EC">
        <w:trPr>
          <w:trHeight w:hRule="exact" w:val="230"/>
        </w:trPr>
        <w:tc>
          <w:tcPr>
            <w:tcW w:w="6120" w:type="dxa"/>
            <w:gridSpan w:val="3"/>
          </w:tcPr>
          <w:p w14:paraId="77485CFD" w14:textId="22278979" w:rsidR="001F62EC" w:rsidRPr="00E74795" w:rsidRDefault="001F62EC" w:rsidP="001F62EC">
            <w:pPr>
              <w:rPr>
                <w:snapToGrid w:val="0"/>
                <w:color w:val="000000"/>
              </w:rPr>
            </w:pPr>
            <w:r w:rsidRPr="00374FE3">
              <w:rPr>
                <w:snapToGrid w:val="0"/>
                <w:color w:val="000000"/>
              </w:rPr>
              <w:t>Note payable, net of current portion</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40C04CB9" w:rsidR="001F62EC" w:rsidRPr="00E74795" w:rsidRDefault="004E4958" w:rsidP="001F62EC">
            <w:pPr>
              <w:tabs>
                <w:tab w:val="decimal" w:pos="1320"/>
              </w:tabs>
              <w:rPr>
                <w:snapToGrid w:val="0"/>
                <w:color w:val="000000"/>
              </w:rPr>
            </w:pPr>
            <w:r>
              <w:rPr>
                <w:snapToGrid w:val="0"/>
                <w:color w:val="000000"/>
              </w:rPr>
              <w:t>18,506</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005A461F" w:rsidR="001F62EC" w:rsidRPr="00E74795" w:rsidRDefault="00011002" w:rsidP="001F62EC">
            <w:pPr>
              <w:tabs>
                <w:tab w:val="decimal" w:pos="1500"/>
              </w:tabs>
              <w:rPr>
                <w:snapToGrid w:val="0"/>
                <w:color w:val="000000"/>
              </w:rPr>
            </w:pPr>
            <w:r>
              <w:rPr>
                <w:snapToGrid w:val="0"/>
                <w:color w:val="000000"/>
              </w:rPr>
              <w:t>27,243</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6C36A4BE" w:rsidR="001F62EC" w:rsidRPr="00E74795" w:rsidRDefault="004E4958" w:rsidP="001F62EC">
            <w:pPr>
              <w:tabs>
                <w:tab w:val="decimal" w:pos="1320"/>
              </w:tabs>
              <w:rPr>
                <w:snapToGrid w:val="0"/>
                <w:color w:val="000000"/>
              </w:rPr>
            </w:pPr>
            <w:r>
              <w:rPr>
                <w:snapToGrid w:val="0"/>
                <w:color w:val="000000"/>
              </w:rPr>
              <w:t>942,153</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238D8806" w:rsidR="001F62EC" w:rsidRPr="00E74795" w:rsidRDefault="00011002" w:rsidP="001F62EC">
            <w:pPr>
              <w:tabs>
                <w:tab w:val="decimal" w:pos="1500"/>
              </w:tabs>
              <w:rPr>
                <w:snapToGrid w:val="0"/>
                <w:color w:val="000000"/>
              </w:rPr>
            </w:pPr>
            <w:r>
              <w:rPr>
                <w:snapToGrid w:val="0"/>
                <w:color w:val="000000"/>
              </w:rPr>
              <w:t>2,043,436</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AC7CDC6" w:rsidR="001F62EC" w:rsidRPr="00E74795" w:rsidRDefault="001F62EC" w:rsidP="001F62EC">
            <w:pPr>
              <w:rPr>
                <w:snapToGrid w:val="0"/>
                <w:color w:val="000000"/>
              </w:rPr>
            </w:pPr>
            <w:r w:rsidRPr="00374FE3">
              <w:rPr>
                <w:snapToGrid w:val="0"/>
                <w:color w:val="000000"/>
              </w:rPr>
              <w:t xml:space="preserve">Commitments (Note </w:t>
            </w:r>
            <w:r w:rsidR="00F46637">
              <w:rPr>
                <w:snapToGrid w:val="0"/>
                <w:color w:val="000000"/>
              </w:rPr>
              <w:t>9</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7777777" w:rsidR="001F62EC" w:rsidRPr="00E74795" w:rsidRDefault="001F62EC" w:rsidP="001F62EC">
            <w:pPr>
              <w:rPr>
                <w:snapToGrid w:val="0"/>
                <w:color w:val="000000"/>
              </w:rPr>
            </w:pPr>
            <w:r w:rsidRPr="00374FE3">
              <w:rPr>
                <w:snapToGrid w:val="0"/>
                <w:color w:val="000000"/>
              </w:rPr>
              <w:t>Stockholders’ equity (deficiency):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1314FFDF" w:rsidR="001F62EC" w:rsidRPr="00E74795" w:rsidRDefault="001F62EC" w:rsidP="001F62EC">
            <w:pPr>
              <w:tabs>
                <w:tab w:val="left" w:pos="203"/>
              </w:tabs>
              <w:rPr>
                <w:snapToGrid w:val="0"/>
                <w:color w:val="000000"/>
              </w:rPr>
            </w:pPr>
            <w:r>
              <w:rPr>
                <w:snapToGrid w:val="0"/>
                <w:color w:val="000000"/>
              </w:rPr>
              <w:t xml:space="preserve">Preferred Stock, $.01 par value (Note </w:t>
            </w:r>
            <w:r w:rsidR="005E38F4">
              <w:rPr>
                <w:snapToGrid w:val="0"/>
                <w:color w:val="000000"/>
              </w:rPr>
              <w:t>10</w:t>
            </w:r>
            <w:r>
              <w:rPr>
                <w:snapToGrid w:val="0"/>
                <w:color w:val="000000"/>
              </w:rPr>
              <w:t>):</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3C7B6FE1"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177CAF">
              <w:rPr>
                <w:snapToGrid w:val="0"/>
                <w:color w:val="000000"/>
              </w:rPr>
              <w:t>1</w:t>
            </w:r>
            <w:r w:rsidR="004F479E">
              <w:rPr>
                <w:snapToGrid w:val="0"/>
                <w:color w:val="000000"/>
              </w:rPr>
              <w:t>00</w:t>
            </w:r>
            <w:r w:rsidRPr="00374FE3">
              <w:rPr>
                <w:snapToGrid w:val="0"/>
                <w:color w:val="000000"/>
              </w:rPr>
              <w:t xml:space="preserve"> and </w:t>
            </w:r>
            <w:r w:rsidR="004F479E">
              <w:rPr>
                <w:snapToGrid w:val="0"/>
                <w:color w:val="000000"/>
              </w:rPr>
              <w:t>2,486</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229AE9D5" w:rsidR="001F62EC" w:rsidRPr="00E74795" w:rsidRDefault="001F62EC" w:rsidP="001F62EC">
            <w:pPr>
              <w:tabs>
                <w:tab w:val="left" w:pos="203"/>
              </w:tabs>
              <w:rPr>
                <w:snapToGrid w:val="0"/>
                <w:color w:val="000000"/>
              </w:rPr>
            </w:pPr>
            <w:r w:rsidRPr="00374FE3">
              <w:rPr>
                <w:snapToGrid w:val="0"/>
                <w:color w:val="000000"/>
              </w:rPr>
              <w:tab/>
            </w:r>
            <w:r w:rsidR="00177CAF">
              <w:rPr>
                <w:snapToGrid w:val="0"/>
                <w:color w:val="000000"/>
              </w:rPr>
              <w:t>September</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0134632A" w:rsidR="001F62EC" w:rsidRPr="00E74795" w:rsidRDefault="004E4958" w:rsidP="001F62EC">
            <w:pPr>
              <w:tabs>
                <w:tab w:val="decimal" w:pos="1320"/>
              </w:tabs>
              <w:rPr>
                <w:snapToGrid w:val="0"/>
                <w:color w:val="000000"/>
              </w:rPr>
            </w:pPr>
            <w:r>
              <w:rPr>
                <w:snapToGrid w:val="0"/>
                <w:color w:val="000000"/>
              </w:rPr>
              <w:t>76,095</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B62A54D" w:rsidR="001F62EC" w:rsidRPr="00E74795" w:rsidRDefault="001F62EC" w:rsidP="001F62EC">
            <w:pPr>
              <w:tabs>
                <w:tab w:val="decimal" w:pos="1500"/>
              </w:tabs>
              <w:rPr>
                <w:snapToGrid w:val="0"/>
                <w:color w:val="000000"/>
              </w:rPr>
            </w:pPr>
            <w:r>
              <w:rPr>
                <w:snapToGrid w:val="0"/>
                <w:color w:val="000000"/>
              </w:rPr>
              <w:t>1,9</w:t>
            </w:r>
            <w:r w:rsidR="00011002">
              <w:rPr>
                <w:snapToGrid w:val="0"/>
                <w:color w:val="000000"/>
              </w:rPr>
              <w:t>32,433</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55FB6153"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177CAF">
              <w:rPr>
                <w:snapToGrid w:val="0"/>
                <w:color w:val="000000"/>
              </w:rPr>
              <w:t>3,559,473</w:t>
            </w:r>
            <w:r w:rsidRPr="00374FE3">
              <w:rPr>
                <w:snapToGrid w:val="0"/>
                <w:color w:val="000000"/>
              </w:rPr>
              <w:t xml:space="preserve"> and </w:t>
            </w:r>
            <w:r w:rsidR="00177CAF">
              <w:rPr>
                <w:snapToGrid w:val="0"/>
                <w:color w:val="000000"/>
              </w:rPr>
              <w:t>14,992</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5804587B" w:rsidR="001F62EC" w:rsidRPr="00E74795" w:rsidRDefault="001F62EC" w:rsidP="001F62EC">
            <w:pPr>
              <w:tabs>
                <w:tab w:val="left" w:pos="203"/>
              </w:tabs>
              <w:rPr>
                <w:snapToGrid w:val="0"/>
                <w:color w:val="000000"/>
              </w:rPr>
            </w:pPr>
            <w:r w:rsidRPr="00374FE3">
              <w:rPr>
                <w:snapToGrid w:val="0"/>
                <w:color w:val="000000"/>
              </w:rPr>
              <w:tab/>
            </w:r>
            <w:r w:rsidR="00177CAF">
              <w:rPr>
                <w:snapToGrid w:val="0"/>
                <w:color w:val="000000"/>
              </w:rPr>
              <w:t>September</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1A210753" w:rsidR="001F62EC" w:rsidRPr="00E74795" w:rsidRDefault="004E4958" w:rsidP="001F62EC">
            <w:pPr>
              <w:tabs>
                <w:tab w:val="decimal" w:pos="1320"/>
              </w:tabs>
              <w:rPr>
                <w:snapToGrid w:val="0"/>
                <w:color w:val="000000"/>
              </w:rPr>
            </w:pPr>
            <w:r>
              <w:rPr>
                <w:snapToGrid w:val="0"/>
                <w:color w:val="000000"/>
              </w:rPr>
              <w:t>3,559</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666B2D4A" w:rsidR="001F62EC" w:rsidRPr="00E74795" w:rsidRDefault="004E4958" w:rsidP="001F62EC">
            <w:pPr>
              <w:tabs>
                <w:tab w:val="decimal" w:pos="1500"/>
              </w:tabs>
              <w:rPr>
                <w:snapToGrid w:val="0"/>
                <w:color w:val="000000"/>
              </w:rPr>
            </w:pPr>
            <w:r>
              <w:rPr>
                <w:snapToGrid w:val="0"/>
                <w:color w:val="000000"/>
              </w:rPr>
              <w:t>15</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2209F578" w:rsidR="001F62EC" w:rsidRPr="00E74795" w:rsidRDefault="004E4958" w:rsidP="001F62EC">
            <w:pPr>
              <w:tabs>
                <w:tab w:val="decimal" w:pos="1320"/>
              </w:tabs>
              <w:rPr>
                <w:snapToGrid w:val="0"/>
                <w:color w:val="000000"/>
              </w:rPr>
            </w:pPr>
            <w:r>
              <w:rPr>
                <w:snapToGrid w:val="0"/>
                <w:color w:val="000000"/>
              </w:rPr>
              <w:t>5</w:t>
            </w:r>
            <w:r w:rsidR="005F710B">
              <w:rPr>
                <w:snapToGrid w:val="0"/>
                <w:color w:val="000000"/>
              </w:rPr>
              <w:t>5</w:t>
            </w:r>
            <w:r>
              <w:rPr>
                <w:snapToGrid w:val="0"/>
                <w:color w:val="000000"/>
              </w:rPr>
              <w:t>,203,149</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405C3689" w:rsidR="001F62EC" w:rsidRPr="00E74795" w:rsidRDefault="00011002" w:rsidP="001F62EC">
            <w:pPr>
              <w:tabs>
                <w:tab w:val="decimal" w:pos="1500"/>
              </w:tabs>
              <w:rPr>
                <w:snapToGrid w:val="0"/>
                <w:color w:val="000000"/>
              </w:rPr>
            </w:pPr>
            <w:r>
              <w:rPr>
                <w:snapToGrid w:val="0"/>
                <w:color w:val="000000"/>
              </w:rPr>
              <w:t>39,340,</w:t>
            </w:r>
            <w:r w:rsidR="004E4958">
              <w:rPr>
                <w:snapToGrid w:val="0"/>
                <w:color w:val="000000"/>
              </w:rPr>
              <w:t>509</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4EF2FA89" w:rsidR="001F62EC" w:rsidRPr="00E74795" w:rsidRDefault="004E4958" w:rsidP="001F62EC">
            <w:pPr>
              <w:tabs>
                <w:tab w:val="decimal" w:pos="1320"/>
              </w:tabs>
              <w:rPr>
                <w:snapToGrid w:val="0"/>
                <w:color w:val="000000"/>
              </w:rPr>
            </w:pPr>
            <w:r>
              <w:rPr>
                <w:snapToGrid w:val="0"/>
                <w:color w:val="000000"/>
              </w:rPr>
              <w:t>(44,469,059)</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21BAA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11002">
              <w:rPr>
                <w:snapToGrid w:val="0"/>
                <w:color w:val="000000"/>
              </w:rPr>
              <w:t>2,847,513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77777777" w:rsidR="001F62EC" w:rsidRPr="00E74795" w:rsidRDefault="001F62EC" w:rsidP="001F62EC">
            <w:pPr>
              <w:rPr>
                <w:snapToGrid w:val="0"/>
                <w:color w:val="000000"/>
              </w:rPr>
            </w:pPr>
            <w:r w:rsidRPr="00374FE3">
              <w:rPr>
                <w:snapToGrid w:val="0"/>
                <w:color w:val="000000"/>
              </w:rPr>
              <w:t>Total stockholders’ equity (deficiency)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5DD51895" w:rsidR="001F62EC" w:rsidRPr="00E74795" w:rsidRDefault="004E4958" w:rsidP="001F62EC">
            <w:pPr>
              <w:tabs>
                <w:tab w:val="decimal" w:pos="1320"/>
              </w:tabs>
              <w:rPr>
                <w:snapToGrid w:val="0"/>
                <w:color w:val="000000"/>
              </w:rPr>
            </w:pPr>
            <w:r>
              <w:rPr>
                <w:snapToGrid w:val="0"/>
                <w:color w:val="000000"/>
              </w:rPr>
              <w:t>10,813,744</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6D9A7BD2" w:rsidR="001F62EC" w:rsidRPr="00E74795" w:rsidRDefault="001F62EC" w:rsidP="001F62EC">
            <w:pPr>
              <w:tabs>
                <w:tab w:val="decimal" w:pos="1500"/>
              </w:tabs>
              <w:rPr>
                <w:snapToGrid w:val="0"/>
                <w:color w:val="000000"/>
              </w:rPr>
            </w:pPr>
            <w:r w:rsidRPr="00374FE3">
              <w:rPr>
                <w:snapToGrid w:val="0"/>
                <w:color w:val="000000"/>
              </w:rPr>
              <w:t>(</w:t>
            </w:r>
            <w:r>
              <w:rPr>
                <w:snapToGrid w:val="0"/>
                <w:color w:val="000000"/>
              </w:rPr>
              <w:t>1,</w:t>
            </w:r>
            <w:r w:rsidR="00011002">
              <w:rPr>
                <w:snapToGrid w:val="0"/>
                <w:color w:val="000000"/>
              </w:rPr>
              <w:t>574,556</w:t>
            </w:r>
            <w:r w:rsidRPr="00374FE3">
              <w:rPr>
                <w:snapToGrid w:val="0"/>
                <w:color w:val="000000"/>
              </w:rPr>
              <w:t>)</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77777777" w:rsidR="001F62EC" w:rsidRPr="00E74795" w:rsidRDefault="001F62EC" w:rsidP="001F62EC">
            <w:pPr>
              <w:rPr>
                <w:snapToGrid w:val="0"/>
                <w:color w:val="000000"/>
              </w:rPr>
            </w:pPr>
            <w:r w:rsidRPr="00374FE3">
              <w:rPr>
                <w:snapToGrid w:val="0"/>
                <w:color w:val="000000"/>
              </w:rPr>
              <w:t>Total liabilities and stockholders’ equity (deficiency)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35FFC601"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4E4958">
              <w:rPr>
                <w:snapToGrid w:val="0"/>
                <w:color w:val="000000"/>
              </w:rPr>
              <w:t>11,755,897</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08160F28"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8DAF28C" w14:textId="77777777" w:rsidR="00692D9E" w:rsidRDefault="00692D9E" w:rsidP="00315051">
      <w:pPr>
        <w:tabs>
          <w:tab w:val="left" w:pos="1080"/>
          <w:tab w:val="left" w:pos="1260"/>
          <w:tab w:val="left" w:pos="2340"/>
          <w:tab w:val="right" w:pos="9180"/>
        </w:tabs>
        <w:ind w:right="54"/>
        <w:jc w:val="center"/>
        <w:rPr>
          <w:snapToGrid w:val="0"/>
          <w:color w:val="000000"/>
        </w:rPr>
      </w:pPr>
    </w:p>
    <w:p w14:paraId="604DF39D" w14:textId="52F33F94"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1"/>
          <w:headerReference w:type="default" r:id="rId12"/>
          <w:headerReference w:type="first" r:id="rId13"/>
          <w:footerReference w:type="first" r:id="rId14"/>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25EB5C8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GEOVAX LABS, INC.</w:t>
      </w:r>
    </w:p>
    <w:p w14:paraId="51490480"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CONDENSED CONSOLIDATED STATEMENTS OF OPERATIONS</w:t>
      </w:r>
    </w:p>
    <w:p w14:paraId="793E867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(Unaudited)</w:t>
      </w:r>
    </w:p>
    <w:p w14:paraId="6EB8F5D1" w14:textId="77777777" w:rsidR="00692D9E" w:rsidRDefault="00692D9E" w:rsidP="00692D9E">
      <w:pPr>
        <w:tabs>
          <w:tab w:val="left" w:pos="1080"/>
          <w:tab w:val="left" w:pos="1260"/>
          <w:tab w:val="left" w:pos="2340"/>
          <w:tab w:val="right" w:pos="9180"/>
        </w:tabs>
        <w:ind w:right="-360"/>
      </w:pPr>
    </w:p>
    <w:p w14:paraId="48BB3F7F" w14:textId="77777777" w:rsidR="00692D9E" w:rsidRDefault="00692D9E" w:rsidP="00692D9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692D9E" w:rsidRPr="000D3DC5" w14:paraId="7B736211" w14:textId="77777777" w:rsidTr="00692D9E">
        <w:tc>
          <w:tcPr>
            <w:tcW w:w="378" w:type="dxa"/>
          </w:tcPr>
          <w:p w14:paraId="527FCC9E" w14:textId="77777777" w:rsidR="00692D9E" w:rsidRPr="000D3DC5" w:rsidRDefault="00692D9E" w:rsidP="00692D9E">
            <w:pPr>
              <w:ind w:right="-360"/>
            </w:pPr>
          </w:p>
        </w:tc>
        <w:tc>
          <w:tcPr>
            <w:tcW w:w="450" w:type="dxa"/>
          </w:tcPr>
          <w:p w14:paraId="0BD9AF4E" w14:textId="77777777" w:rsidR="00692D9E" w:rsidRPr="000D3DC5" w:rsidRDefault="00692D9E" w:rsidP="00692D9E">
            <w:pPr>
              <w:ind w:right="-360"/>
            </w:pPr>
          </w:p>
        </w:tc>
        <w:tc>
          <w:tcPr>
            <w:tcW w:w="450" w:type="dxa"/>
          </w:tcPr>
          <w:p w14:paraId="3926F803" w14:textId="77777777" w:rsidR="00692D9E" w:rsidRPr="000D3DC5" w:rsidRDefault="00692D9E" w:rsidP="00692D9E">
            <w:pPr>
              <w:ind w:right="-360"/>
            </w:pPr>
          </w:p>
        </w:tc>
        <w:tc>
          <w:tcPr>
            <w:tcW w:w="2160" w:type="dxa"/>
          </w:tcPr>
          <w:p w14:paraId="2705592B" w14:textId="77777777" w:rsidR="00692D9E" w:rsidRPr="000D3DC5" w:rsidRDefault="00692D9E" w:rsidP="00692D9E">
            <w:pPr>
              <w:tabs>
                <w:tab w:val="right" w:pos="9180"/>
              </w:tabs>
              <w:ind w:right="-360"/>
            </w:pPr>
          </w:p>
        </w:tc>
        <w:tc>
          <w:tcPr>
            <w:tcW w:w="3240" w:type="dxa"/>
            <w:gridSpan w:val="3"/>
            <w:tcBorders>
              <w:bottom w:val="single" w:sz="4" w:space="0" w:color="auto"/>
            </w:tcBorders>
          </w:tcPr>
          <w:p w14:paraId="133A8471" w14:textId="0F90F88B" w:rsidR="00692D9E" w:rsidRDefault="00692D9E" w:rsidP="00692D9E">
            <w:pPr>
              <w:tabs>
                <w:tab w:val="right" w:pos="9180"/>
              </w:tabs>
              <w:ind w:right="-46"/>
              <w:jc w:val="center"/>
            </w:pPr>
            <w:r>
              <w:t xml:space="preserve">Three Months Ended </w:t>
            </w:r>
            <w:r w:rsidR="003D37A9">
              <w:t>September</w:t>
            </w:r>
            <w:r>
              <w:t xml:space="preserve"> 30,</w:t>
            </w:r>
          </w:p>
        </w:tc>
        <w:tc>
          <w:tcPr>
            <w:tcW w:w="450" w:type="dxa"/>
          </w:tcPr>
          <w:p w14:paraId="46F790E8" w14:textId="77777777" w:rsidR="00692D9E" w:rsidRPr="000D3DC5" w:rsidRDefault="00692D9E" w:rsidP="00692D9E">
            <w:pPr>
              <w:tabs>
                <w:tab w:val="right" w:pos="9180"/>
              </w:tabs>
              <w:ind w:right="-360"/>
              <w:jc w:val="center"/>
            </w:pPr>
          </w:p>
        </w:tc>
        <w:tc>
          <w:tcPr>
            <w:tcW w:w="3240" w:type="dxa"/>
            <w:gridSpan w:val="3"/>
            <w:tcBorders>
              <w:bottom w:val="single" w:sz="4" w:space="0" w:color="auto"/>
            </w:tcBorders>
          </w:tcPr>
          <w:p w14:paraId="227EF46B" w14:textId="32388E22" w:rsidR="00692D9E" w:rsidRDefault="003D37A9" w:rsidP="00692D9E">
            <w:pPr>
              <w:tabs>
                <w:tab w:val="right" w:pos="9180"/>
              </w:tabs>
              <w:ind w:right="-18"/>
              <w:jc w:val="center"/>
            </w:pPr>
            <w:r>
              <w:t>Nine</w:t>
            </w:r>
            <w:r w:rsidR="00692D9E">
              <w:t xml:space="preserve"> Months Ended </w:t>
            </w:r>
            <w:r>
              <w:t>September</w:t>
            </w:r>
            <w:r w:rsidR="00692D9E">
              <w:t xml:space="preserve"> 30,</w:t>
            </w:r>
          </w:p>
        </w:tc>
      </w:tr>
      <w:tr w:rsidR="00692D9E" w:rsidRPr="000D3DC5" w14:paraId="3CF266E2" w14:textId="77777777" w:rsidTr="00692D9E">
        <w:tc>
          <w:tcPr>
            <w:tcW w:w="378" w:type="dxa"/>
          </w:tcPr>
          <w:p w14:paraId="14862508" w14:textId="77777777" w:rsidR="00692D9E" w:rsidRPr="000D3DC5" w:rsidRDefault="00692D9E" w:rsidP="00692D9E">
            <w:pPr>
              <w:ind w:right="-360"/>
            </w:pPr>
          </w:p>
        </w:tc>
        <w:tc>
          <w:tcPr>
            <w:tcW w:w="450" w:type="dxa"/>
          </w:tcPr>
          <w:p w14:paraId="79476B4F" w14:textId="77777777" w:rsidR="00692D9E" w:rsidRPr="000D3DC5" w:rsidRDefault="00692D9E" w:rsidP="00692D9E">
            <w:pPr>
              <w:ind w:right="-360"/>
            </w:pPr>
          </w:p>
        </w:tc>
        <w:tc>
          <w:tcPr>
            <w:tcW w:w="450" w:type="dxa"/>
          </w:tcPr>
          <w:p w14:paraId="43ECB9DF" w14:textId="77777777" w:rsidR="00692D9E" w:rsidRPr="000D3DC5" w:rsidRDefault="00692D9E" w:rsidP="00692D9E">
            <w:pPr>
              <w:ind w:right="-360"/>
            </w:pPr>
          </w:p>
        </w:tc>
        <w:tc>
          <w:tcPr>
            <w:tcW w:w="2160" w:type="dxa"/>
          </w:tcPr>
          <w:p w14:paraId="6BA389BC"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7BE7D672" w14:textId="6AF10E30" w:rsidR="00692D9E" w:rsidRPr="000D3DC5" w:rsidRDefault="00692D9E" w:rsidP="00692D9E">
            <w:pPr>
              <w:tabs>
                <w:tab w:val="right" w:pos="9180"/>
              </w:tabs>
              <w:ind w:right="-18"/>
              <w:jc w:val="center"/>
            </w:pPr>
            <w:r>
              <w:t>2020</w:t>
            </w:r>
          </w:p>
        </w:tc>
        <w:tc>
          <w:tcPr>
            <w:tcW w:w="270" w:type="dxa"/>
            <w:tcBorders>
              <w:top w:val="single" w:sz="4" w:space="0" w:color="auto"/>
            </w:tcBorders>
          </w:tcPr>
          <w:p w14:paraId="081ADC03" w14:textId="77777777" w:rsidR="00692D9E" w:rsidRPr="000D3DC5" w:rsidRDefault="00692D9E" w:rsidP="00692D9E">
            <w:pPr>
              <w:tabs>
                <w:tab w:val="right" w:pos="9180"/>
              </w:tabs>
              <w:ind w:right="-360"/>
              <w:jc w:val="center"/>
            </w:pPr>
          </w:p>
        </w:tc>
        <w:tc>
          <w:tcPr>
            <w:tcW w:w="1440" w:type="dxa"/>
            <w:tcBorders>
              <w:top w:val="single" w:sz="4" w:space="0" w:color="auto"/>
              <w:bottom w:val="single" w:sz="4" w:space="0" w:color="auto"/>
            </w:tcBorders>
          </w:tcPr>
          <w:p w14:paraId="097717AA" w14:textId="4C59D71A" w:rsidR="00692D9E" w:rsidRPr="000D3DC5" w:rsidRDefault="00692D9E" w:rsidP="00692D9E">
            <w:pPr>
              <w:tabs>
                <w:tab w:val="right" w:pos="9180"/>
              </w:tabs>
              <w:ind w:right="-46"/>
              <w:jc w:val="center"/>
            </w:pPr>
            <w:r>
              <w:t>2019</w:t>
            </w:r>
          </w:p>
        </w:tc>
        <w:tc>
          <w:tcPr>
            <w:tcW w:w="450" w:type="dxa"/>
          </w:tcPr>
          <w:p w14:paraId="38D38D8E" w14:textId="77777777" w:rsidR="00692D9E" w:rsidRPr="000D3DC5" w:rsidRDefault="00692D9E" w:rsidP="00692D9E">
            <w:pPr>
              <w:tabs>
                <w:tab w:val="right" w:pos="9180"/>
              </w:tabs>
              <w:ind w:right="-360"/>
              <w:jc w:val="center"/>
            </w:pPr>
          </w:p>
        </w:tc>
        <w:tc>
          <w:tcPr>
            <w:tcW w:w="1440" w:type="dxa"/>
            <w:tcBorders>
              <w:bottom w:val="single" w:sz="4" w:space="0" w:color="auto"/>
            </w:tcBorders>
          </w:tcPr>
          <w:p w14:paraId="26EA4E4A" w14:textId="6098C3D4" w:rsidR="00692D9E" w:rsidRPr="000D3DC5" w:rsidRDefault="00692D9E" w:rsidP="00692D9E">
            <w:pPr>
              <w:tabs>
                <w:tab w:val="right" w:pos="9180"/>
              </w:tabs>
              <w:ind w:right="-18"/>
              <w:jc w:val="center"/>
            </w:pPr>
            <w:r>
              <w:t>2020</w:t>
            </w:r>
          </w:p>
        </w:tc>
        <w:tc>
          <w:tcPr>
            <w:tcW w:w="270" w:type="dxa"/>
          </w:tcPr>
          <w:p w14:paraId="05CA2E39" w14:textId="77777777" w:rsidR="00692D9E" w:rsidRPr="000D3DC5" w:rsidRDefault="00692D9E" w:rsidP="00692D9E">
            <w:pPr>
              <w:tabs>
                <w:tab w:val="right" w:pos="9180"/>
              </w:tabs>
              <w:ind w:right="-360"/>
              <w:jc w:val="center"/>
            </w:pPr>
          </w:p>
        </w:tc>
        <w:tc>
          <w:tcPr>
            <w:tcW w:w="1530" w:type="dxa"/>
            <w:tcBorders>
              <w:bottom w:val="single" w:sz="4" w:space="0" w:color="auto"/>
            </w:tcBorders>
          </w:tcPr>
          <w:p w14:paraId="385C032B" w14:textId="59AF0F78" w:rsidR="00692D9E" w:rsidRPr="000D3DC5" w:rsidRDefault="00692D9E" w:rsidP="00692D9E">
            <w:pPr>
              <w:tabs>
                <w:tab w:val="right" w:pos="9180"/>
              </w:tabs>
              <w:ind w:right="-18"/>
              <w:jc w:val="center"/>
            </w:pPr>
            <w:r>
              <w:t>2019</w:t>
            </w:r>
          </w:p>
        </w:tc>
      </w:tr>
      <w:tr w:rsidR="00692D9E" w:rsidRPr="000D3DC5" w14:paraId="78289857" w14:textId="77777777" w:rsidTr="00692D9E">
        <w:tc>
          <w:tcPr>
            <w:tcW w:w="3438" w:type="dxa"/>
            <w:gridSpan w:val="4"/>
          </w:tcPr>
          <w:p w14:paraId="3A61B2E9" w14:textId="77777777" w:rsidR="00692D9E" w:rsidRPr="000D3DC5" w:rsidRDefault="00692D9E" w:rsidP="00692D9E">
            <w:pPr>
              <w:tabs>
                <w:tab w:val="right" w:pos="9180"/>
              </w:tabs>
              <w:ind w:right="-360"/>
            </w:pPr>
            <w:r w:rsidRPr="000D3DC5">
              <w:t>Grant</w:t>
            </w:r>
            <w:r>
              <w:t xml:space="preserve"> and collaboration</w:t>
            </w:r>
            <w:r w:rsidRPr="000D3DC5">
              <w:t xml:space="preserve"> revenue</w:t>
            </w:r>
          </w:p>
        </w:tc>
        <w:tc>
          <w:tcPr>
            <w:tcW w:w="1530" w:type="dxa"/>
          </w:tcPr>
          <w:p w14:paraId="51196112" w14:textId="415955DC" w:rsidR="00692D9E" w:rsidRPr="000D3DC5" w:rsidRDefault="00692D9E" w:rsidP="00692D9E">
            <w:pPr>
              <w:tabs>
                <w:tab w:val="decimal" w:pos="1152"/>
                <w:tab w:val="right" w:pos="9180"/>
              </w:tabs>
              <w:ind w:right="-18"/>
            </w:pPr>
            <w:r>
              <w:t>$</w:t>
            </w:r>
            <w:r>
              <w:tab/>
            </w:r>
            <w:r w:rsidR="004E4958">
              <w:t>415,458</w:t>
            </w:r>
          </w:p>
        </w:tc>
        <w:tc>
          <w:tcPr>
            <w:tcW w:w="270" w:type="dxa"/>
          </w:tcPr>
          <w:p w14:paraId="55ADD3DE" w14:textId="77777777" w:rsidR="00692D9E" w:rsidRPr="000D3DC5" w:rsidRDefault="00692D9E" w:rsidP="00692D9E">
            <w:pPr>
              <w:tabs>
                <w:tab w:val="right" w:pos="9180"/>
              </w:tabs>
              <w:ind w:right="-360"/>
            </w:pPr>
          </w:p>
        </w:tc>
        <w:tc>
          <w:tcPr>
            <w:tcW w:w="1440" w:type="dxa"/>
          </w:tcPr>
          <w:p w14:paraId="08A5CDCF" w14:textId="56303B42" w:rsidR="00692D9E" w:rsidRPr="000D3DC5" w:rsidRDefault="00692D9E" w:rsidP="00692D9E">
            <w:pPr>
              <w:tabs>
                <w:tab w:val="decimal" w:pos="1062"/>
                <w:tab w:val="right" w:pos="9180"/>
              </w:tabs>
              <w:ind w:right="-46"/>
            </w:pPr>
            <w:r>
              <w:t>$</w:t>
            </w:r>
            <w:r>
              <w:tab/>
            </w:r>
            <w:r w:rsidR="003D37A9">
              <w:t>333,209</w:t>
            </w:r>
          </w:p>
        </w:tc>
        <w:tc>
          <w:tcPr>
            <w:tcW w:w="450" w:type="dxa"/>
          </w:tcPr>
          <w:p w14:paraId="5BD52FBA" w14:textId="77777777" w:rsidR="00692D9E" w:rsidRPr="000D3DC5" w:rsidRDefault="00692D9E" w:rsidP="00692D9E">
            <w:pPr>
              <w:tabs>
                <w:tab w:val="right" w:pos="9180"/>
              </w:tabs>
              <w:ind w:right="-360"/>
            </w:pPr>
          </w:p>
        </w:tc>
        <w:tc>
          <w:tcPr>
            <w:tcW w:w="1440" w:type="dxa"/>
          </w:tcPr>
          <w:p w14:paraId="1C94CEE2" w14:textId="43721712" w:rsidR="00692D9E" w:rsidRPr="000D3DC5" w:rsidRDefault="00692D9E" w:rsidP="00692D9E">
            <w:pPr>
              <w:tabs>
                <w:tab w:val="decimal" w:pos="1062"/>
                <w:tab w:val="right" w:pos="9180"/>
              </w:tabs>
              <w:ind w:right="-18"/>
            </w:pPr>
            <w:r w:rsidRPr="000D3DC5">
              <w:t>$</w:t>
            </w:r>
            <w:r w:rsidRPr="000D3DC5">
              <w:tab/>
            </w:r>
            <w:r w:rsidR="00670470">
              <w:t>1,572,037</w:t>
            </w:r>
          </w:p>
        </w:tc>
        <w:tc>
          <w:tcPr>
            <w:tcW w:w="270" w:type="dxa"/>
          </w:tcPr>
          <w:p w14:paraId="13D1858D" w14:textId="77777777" w:rsidR="00692D9E" w:rsidRPr="000D3DC5" w:rsidRDefault="00692D9E" w:rsidP="00692D9E">
            <w:pPr>
              <w:tabs>
                <w:tab w:val="right" w:pos="9180"/>
              </w:tabs>
              <w:ind w:right="-360"/>
            </w:pPr>
          </w:p>
        </w:tc>
        <w:tc>
          <w:tcPr>
            <w:tcW w:w="1530" w:type="dxa"/>
          </w:tcPr>
          <w:p w14:paraId="67FD36B4" w14:textId="66AFBCDB" w:rsidR="00692D9E" w:rsidRPr="000D3DC5" w:rsidRDefault="00692D9E" w:rsidP="00692D9E">
            <w:pPr>
              <w:tabs>
                <w:tab w:val="decimal" w:pos="1152"/>
                <w:tab w:val="right" w:pos="9180"/>
              </w:tabs>
              <w:ind w:right="-18"/>
            </w:pPr>
            <w:r w:rsidRPr="000D3DC5">
              <w:t>$</w:t>
            </w:r>
            <w:r w:rsidRPr="000D3DC5">
              <w:tab/>
            </w:r>
            <w:r w:rsidR="003D37A9">
              <w:t>907,3</w:t>
            </w:r>
            <w:r w:rsidR="005F710B">
              <w:t>8</w:t>
            </w:r>
            <w:r w:rsidR="003D37A9">
              <w:t>2</w:t>
            </w:r>
          </w:p>
        </w:tc>
      </w:tr>
      <w:tr w:rsidR="00692D9E" w:rsidRPr="000D3DC5" w14:paraId="4AB287DD" w14:textId="77777777" w:rsidTr="00692D9E">
        <w:tc>
          <w:tcPr>
            <w:tcW w:w="378" w:type="dxa"/>
          </w:tcPr>
          <w:p w14:paraId="48693299" w14:textId="77777777" w:rsidR="00692D9E" w:rsidRPr="000D3DC5" w:rsidRDefault="00692D9E" w:rsidP="00692D9E">
            <w:pPr>
              <w:ind w:right="-360"/>
            </w:pPr>
          </w:p>
        </w:tc>
        <w:tc>
          <w:tcPr>
            <w:tcW w:w="450" w:type="dxa"/>
          </w:tcPr>
          <w:p w14:paraId="06C6EE21" w14:textId="77777777" w:rsidR="00692D9E" w:rsidRPr="000D3DC5" w:rsidRDefault="00692D9E" w:rsidP="00692D9E">
            <w:pPr>
              <w:ind w:right="-360"/>
            </w:pPr>
          </w:p>
        </w:tc>
        <w:tc>
          <w:tcPr>
            <w:tcW w:w="450" w:type="dxa"/>
          </w:tcPr>
          <w:p w14:paraId="18AA1399" w14:textId="77777777" w:rsidR="00692D9E" w:rsidRPr="000D3DC5" w:rsidRDefault="00692D9E" w:rsidP="00692D9E">
            <w:pPr>
              <w:ind w:right="-360"/>
            </w:pPr>
          </w:p>
        </w:tc>
        <w:tc>
          <w:tcPr>
            <w:tcW w:w="2160" w:type="dxa"/>
          </w:tcPr>
          <w:p w14:paraId="4FBEA37B" w14:textId="77777777" w:rsidR="00692D9E" w:rsidRPr="000D3DC5" w:rsidRDefault="00692D9E" w:rsidP="00692D9E">
            <w:pPr>
              <w:tabs>
                <w:tab w:val="right" w:pos="9180"/>
              </w:tabs>
              <w:ind w:right="-360"/>
            </w:pPr>
          </w:p>
        </w:tc>
        <w:tc>
          <w:tcPr>
            <w:tcW w:w="1530" w:type="dxa"/>
          </w:tcPr>
          <w:p w14:paraId="5F9289C9" w14:textId="77777777" w:rsidR="00692D9E" w:rsidRPr="000D3DC5" w:rsidRDefault="00692D9E" w:rsidP="00692D9E">
            <w:pPr>
              <w:tabs>
                <w:tab w:val="right" w:pos="9180"/>
              </w:tabs>
              <w:ind w:right="-18"/>
            </w:pPr>
          </w:p>
        </w:tc>
        <w:tc>
          <w:tcPr>
            <w:tcW w:w="270" w:type="dxa"/>
          </w:tcPr>
          <w:p w14:paraId="13BCD7A3" w14:textId="77777777" w:rsidR="00692D9E" w:rsidRPr="000D3DC5" w:rsidRDefault="00692D9E" w:rsidP="00692D9E">
            <w:pPr>
              <w:tabs>
                <w:tab w:val="right" w:pos="9180"/>
              </w:tabs>
              <w:ind w:right="-360"/>
            </w:pPr>
          </w:p>
        </w:tc>
        <w:tc>
          <w:tcPr>
            <w:tcW w:w="1440" w:type="dxa"/>
          </w:tcPr>
          <w:p w14:paraId="4EA9461B" w14:textId="77777777" w:rsidR="00692D9E" w:rsidRPr="000D3DC5" w:rsidRDefault="00692D9E" w:rsidP="00692D9E">
            <w:pPr>
              <w:tabs>
                <w:tab w:val="right" w:pos="9180"/>
              </w:tabs>
              <w:ind w:right="-46"/>
            </w:pPr>
          </w:p>
        </w:tc>
        <w:tc>
          <w:tcPr>
            <w:tcW w:w="450" w:type="dxa"/>
          </w:tcPr>
          <w:p w14:paraId="4EF354FF" w14:textId="77777777" w:rsidR="00692D9E" w:rsidRPr="000D3DC5" w:rsidRDefault="00692D9E" w:rsidP="00692D9E">
            <w:pPr>
              <w:tabs>
                <w:tab w:val="right" w:pos="9180"/>
              </w:tabs>
              <w:ind w:right="-360"/>
            </w:pPr>
          </w:p>
        </w:tc>
        <w:tc>
          <w:tcPr>
            <w:tcW w:w="1440" w:type="dxa"/>
          </w:tcPr>
          <w:p w14:paraId="681096A6" w14:textId="77777777" w:rsidR="00692D9E" w:rsidRPr="000D3DC5" w:rsidRDefault="00692D9E" w:rsidP="00692D9E">
            <w:pPr>
              <w:tabs>
                <w:tab w:val="right" w:pos="9180"/>
              </w:tabs>
              <w:ind w:right="-18"/>
            </w:pPr>
          </w:p>
        </w:tc>
        <w:tc>
          <w:tcPr>
            <w:tcW w:w="270" w:type="dxa"/>
          </w:tcPr>
          <w:p w14:paraId="5F703A3D" w14:textId="77777777" w:rsidR="00692D9E" w:rsidRPr="000D3DC5" w:rsidRDefault="00692D9E" w:rsidP="00692D9E">
            <w:pPr>
              <w:tabs>
                <w:tab w:val="right" w:pos="9180"/>
              </w:tabs>
              <w:ind w:right="-360"/>
            </w:pPr>
          </w:p>
        </w:tc>
        <w:tc>
          <w:tcPr>
            <w:tcW w:w="1530" w:type="dxa"/>
          </w:tcPr>
          <w:p w14:paraId="6F77317D" w14:textId="77777777" w:rsidR="00692D9E" w:rsidRPr="000D3DC5" w:rsidRDefault="00692D9E" w:rsidP="00692D9E">
            <w:pPr>
              <w:tabs>
                <w:tab w:val="right" w:pos="9180"/>
              </w:tabs>
              <w:ind w:right="-18"/>
            </w:pPr>
          </w:p>
        </w:tc>
      </w:tr>
      <w:tr w:rsidR="00692D9E" w:rsidRPr="000D3DC5" w14:paraId="6C146D49" w14:textId="77777777" w:rsidTr="00692D9E">
        <w:tc>
          <w:tcPr>
            <w:tcW w:w="3438" w:type="dxa"/>
            <w:gridSpan w:val="4"/>
          </w:tcPr>
          <w:p w14:paraId="3E130213" w14:textId="77777777" w:rsidR="00692D9E" w:rsidRPr="000D3DC5" w:rsidRDefault="00692D9E" w:rsidP="00692D9E">
            <w:pPr>
              <w:tabs>
                <w:tab w:val="right" w:pos="9180"/>
              </w:tabs>
              <w:ind w:right="-360"/>
            </w:pPr>
            <w:r w:rsidRPr="000D3DC5">
              <w:t>Operating expenses:</w:t>
            </w:r>
          </w:p>
        </w:tc>
        <w:tc>
          <w:tcPr>
            <w:tcW w:w="1530" w:type="dxa"/>
          </w:tcPr>
          <w:p w14:paraId="7A43761B" w14:textId="77777777" w:rsidR="00692D9E" w:rsidRPr="000D3DC5" w:rsidRDefault="00692D9E" w:rsidP="00692D9E">
            <w:pPr>
              <w:tabs>
                <w:tab w:val="right" w:pos="9180"/>
              </w:tabs>
              <w:ind w:right="-18"/>
            </w:pPr>
          </w:p>
        </w:tc>
        <w:tc>
          <w:tcPr>
            <w:tcW w:w="270" w:type="dxa"/>
          </w:tcPr>
          <w:p w14:paraId="0916D689" w14:textId="77777777" w:rsidR="00692D9E" w:rsidRPr="000D3DC5" w:rsidRDefault="00692D9E" w:rsidP="00692D9E">
            <w:pPr>
              <w:tabs>
                <w:tab w:val="right" w:pos="9180"/>
              </w:tabs>
              <w:ind w:right="-360"/>
            </w:pPr>
          </w:p>
        </w:tc>
        <w:tc>
          <w:tcPr>
            <w:tcW w:w="1440" w:type="dxa"/>
          </w:tcPr>
          <w:p w14:paraId="4C30E876" w14:textId="77777777" w:rsidR="00692D9E" w:rsidRPr="000D3DC5" w:rsidRDefault="00692D9E" w:rsidP="00692D9E">
            <w:pPr>
              <w:tabs>
                <w:tab w:val="right" w:pos="9180"/>
              </w:tabs>
              <w:ind w:right="-46"/>
            </w:pPr>
          </w:p>
        </w:tc>
        <w:tc>
          <w:tcPr>
            <w:tcW w:w="450" w:type="dxa"/>
          </w:tcPr>
          <w:p w14:paraId="0B52D488" w14:textId="77777777" w:rsidR="00692D9E" w:rsidRPr="000D3DC5" w:rsidRDefault="00692D9E" w:rsidP="00692D9E">
            <w:pPr>
              <w:tabs>
                <w:tab w:val="right" w:pos="9180"/>
              </w:tabs>
              <w:ind w:right="-360"/>
            </w:pPr>
          </w:p>
        </w:tc>
        <w:tc>
          <w:tcPr>
            <w:tcW w:w="1440" w:type="dxa"/>
          </w:tcPr>
          <w:p w14:paraId="03B01AD6" w14:textId="77777777" w:rsidR="00692D9E" w:rsidRPr="000D3DC5" w:rsidRDefault="00692D9E" w:rsidP="00692D9E">
            <w:pPr>
              <w:tabs>
                <w:tab w:val="right" w:pos="9180"/>
              </w:tabs>
              <w:ind w:right="-18"/>
            </w:pPr>
          </w:p>
        </w:tc>
        <w:tc>
          <w:tcPr>
            <w:tcW w:w="270" w:type="dxa"/>
          </w:tcPr>
          <w:p w14:paraId="1602246A" w14:textId="77777777" w:rsidR="00692D9E" w:rsidRPr="000D3DC5" w:rsidRDefault="00692D9E" w:rsidP="00692D9E">
            <w:pPr>
              <w:tabs>
                <w:tab w:val="right" w:pos="9180"/>
              </w:tabs>
              <w:ind w:right="-360"/>
            </w:pPr>
          </w:p>
        </w:tc>
        <w:tc>
          <w:tcPr>
            <w:tcW w:w="1530" w:type="dxa"/>
          </w:tcPr>
          <w:p w14:paraId="6B3BB179" w14:textId="77777777" w:rsidR="00692D9E" w:rsidRPr="000D3DC5" w:rsidRDefault="00692D9E" w:rsidP="00692D9E">
            <w:pPr>
              <w:tabs>
                <w:tab w:val="right" w:pos="9180"/>
              </w:tabs>
              <w:ind w:right="-18"/>
            </w:pPr>
          </w:p>
        </w:tc>
      </w:tr>
      <w:tr w:rsidR="00692D9E" w:rsidRPr="000D3DC5" w14:paraId="3A57DE3B" w14:textId="77777777" w:rsidTr="00692D9E">
        <w:tc>
          <w:tcPr>
            <w:tcW w:w="378" w:type="dxa"/>
          </w:tcPr>
          <w:p w14:paraId="66B16CF3" w14:textId="77777777" w:rsidR="00692D9E" w:rsidRPr="000D3DC5" w:rsidRDefault="00692D9E" w:rsidP="00692D9E">
            <w:pPr>
              <w:ind w:right="-360"/>
            </w:pPr>
          </w:p>
        </w:tc>
        <w:tc>
          <w:tcPr>
            <w:tcW w:w="3060" w:type="dxa"/>
            <w:gridSpan w:val="3"/>
          </w:tcPr>
          <w:p w14:paraId="3FAD819E" w14:textId="77777777" w:rsidR="00692D9E" w:rsidRPr="000D3DC5" w:rsidRDefault="00692D9E" w:rsidP="00692D9E">
            <w:pPr>
              <w:tabs>
                <w:tab w:val="right" w:pos="9180"/>
              </w:tabs>
              <w:ind w:right="-360"/>
            </w:pPr>
            <w:r w:rsidRPr="000D3DC5">
              <w:t>Research and development</w:t>
            </w:r>
          </w:p>
        </w:tc>
        <w:tc>
          <w:tcPr>
            <w:tcW w:w="1530" w:type="dxa"/>
          </w:tcPr>
          <w:p w14:paraId="7E524DFB" w14:textId="0D399BD3" w:rsidR="00692D9E" w:rsidRPr="000D3DC5" w:rsidRDefault="00692D9E" w:rsidP="00692D9E">
            <w:pPr>
              <w:tabs>
                <w:tab w:val="decimal" w:pos="1152"/>
                <w:tab w:val="right" w:pos="9180"/>
              </w:tabs>
              <w:ind w:right="-18"/>
            </w:pPr>
            <w:r w:rsidRPr="000D3DC5">
              <w:tab/>
            </w:r>
            <w:r w:rsidR="004E4958">
              <w:t>416,756</w:t>
            </w:r>
          </w:p>
        </w:tc>
        <w:tc>
          <w:tcPr>
            <w:tcW w:w="270" w:type="dxa"/>
          </w:tcPr>
          <w:p w14:paraId="3686903E" w14:textId="77777777" w:rsidR="00692D9E" w:rsidRPr="000D3DC5" w:rsidRDefault="00692D9E" w:rsidP="00692D9E">
            <w:pPr>
              <w:tabs>
                <w:tab w:val="right" w:pos="9180"/>
              </w:tabs>
              <w:ind w:right="-360"/>
            </w:pPr>
          </w:p>
        </w:tc>
        <w:tc>
          <w:tcPr>
            <w:tcW w:w="1440" w:type="dxa"/>
          </w:tcPr>
          <w:p w14:paraId="63587051" w14:textId="2E8F3555" w:rsidR="00692D9E" w:rsidRPr="000D3DC5" w:rsidRDefault="00692D9E" w:rsidP="00692D9E">
            <w:pPr>
              <w:tabs>
                <w:tab w:val="decimal" w:pos="1062"/>
                <w:tab w:val="right" w:pos="9180"/>
              </w:tabs>
              <w:ind w:right="-46"/>
            </w:pPr>
            <w:r>
              <w:tab/>
            </w:r>
            <w:r w:rsidR="003D37A9">
              <w:t>467,674</w:t>
            </w:r>
          </w:p>
        </w:tc>
        <w:tc>
          <w:tcPr>
            <w:tcW w:w="450" w:type="dxa"/>
          </w:tcPr>
          <w:p w14:paraId="52D9AC71" w14:textId="77777777" w:rsidR="00692D9E" w:rsidRPr="000D3DC5" w:rsidRDefault="00692D9E" w:rsidP="00692D9E">
            <w:pPr>
              <w:tabs>
                <w:tab w:val="right" w:pos="9180"/>
              </w:tabs>
              <w:ind w:right="-360"/>
            </w:pPr>
          </w:p>
        </w:tc>
        <w:tc>
          <w:tcPr>
            <w:tcW w:w="1440" w:type="dxa"/>
          </w:tcPr>
          <w:p w14:paraId="03B93CCD" w14:textId="2DBAA42F" w:rsidR="00692D9E" w:rsidRPr="000D3DC5" w:rsidRDefault="00692D9E" w:rsidP="00692D9E">
            <w:pPr>
              <w:tabs>
                <w:tab w:val="decimal" w:pos="1062"/>
                <w:tab w:val="right" w:pos="9180"/>
              </w:tabs>
              <w:ind w:right="-18"/>
            </w:pPr>
            <w:r>
              <w:tab/>
            </w:r>
            <w:r w:rsidR="00670470">
              <w:t>1,687,113</w:t>
            </w:r>
          </w:p>
        </w:tc>
        <w:tc>
          <w:tcPr>
            <w:tcW w:w="270" w:type="dxa"/>
          </w:tcPr>
          <w:p w14:paraId="745E3E77" w14:textId="77777777" w:rsidR="00692D9E" w:rsidRPr="000D3DC5" w:rsidRDefault="00692D9E" w:rsidP="00692D9E">
            <w:pPr>
              <w:tabs>
                <w:tab w:val="right" w:pos="9180"/>
              </w:tabs>
              <w:ind w:right="-360"/>
            </w:pPr>
          </w:p>
        </w:tc>
        <w:tc>
          <w:tcPr>
            <w:tcW w:w="1530" w:type="dxa"/>
          </w:tcPr>
          <w:p w14:paraId="5E8F4BB2" w14:textId="07624875" w:rsidR="00692D9E" w:rsidRPr="000D3DC5" w:rsidRDefault="00692D9E" w:rsidP="00692D9E">
            <w:pPr>
              <w:tabs>
                <w:tab w:val="decimal" w:pos="1152"/>
                <w:tab w:val="right" w:pos="9180"/>
              </w:tabs>
              <w:ind w:right="-18"/>
            </w:pPr>
            <w:r>
              <w:tab/>
            </w:r>
            <w:r w:rsidR="003D37A9">
              <w:t>1,474,619</w:t>
            </w:r>
          </w:p>
        </w:tc>
      </w:tr>
      <w:tr w:rsidR="00692D9E" w:rsidRPr="000D3DC5" w14:paraId="1511DC08" w14:textId="77777777" w:rsidTr="00692D9E">
        <w:tc>
          <w:tcPr>
            <w:tcW w:w="378" w:type="dxa"/>
          </w:tcPr>
          <w:p w14:paraId="57F54CDB" w14:textId="77777777" w:rsidR="00692D9E" w:rsidRPr="000D3DC5" w:rsidRDefault="00692D9E" w:rsidP="00692D9E">
            <w:pPr>
              <w:ind w:right="-360"/>
            </w:pPr>
          </w:p>
        </w:tc>
        <w:tc>
          <w:tcPr>
            <w:tcW w:w="3060" w:type="dxa"/>
            <w:gridSpan w:val="3"/>
          </w:tcPr>
          <w:p w14:paraId="78925C13" w14:textId="77777777" w:rsidR="00692D9E" w:rsidRPr="000D3DC5" w:rsidRDefault="00692D9E" w:rsidP="00692D9E">
            <w:pPr>
              <w:tabs>
                <w:tab w:val="right" w:pos="9180"/>
              </w:tabs>
              <w:ind w:right="-360"/>
            </w:pPr>
            <w:r w:rsidRPr="000D3DC5">
              <w:t>General and administrative</w:t>
            </w:r>
          </w:p>
        </w:tc>
        <w:tc>
          <w:tcPr>
            <w:tcW w:w="1530" w:type="dxa"/>
          </w:tcPr>
          <w:p w14:paraId="21E34209" w14:textId="4444E944" w:rsidR="00692D9E" w:rsidRPr="000D3DC5" w:rsidRDefault="00692D9E" w:rsidP="00692D9E">
            <w:pPr>
              <w:tabs>
                <w:tab w:val="decimal" w:pos="1152"/>
                <w:tab w:val="right" w:pos="9180"/>
              </w:tabs>
              <w:ind w:right="-18"/>
            </w:pPr>
            <w:r w:rsidRPr="000D3DC5">
              <w:tab/>
            </w:r>
            <w:r w:rsidR="004E4958">
              <w:t>435,013</w:t>
            </w:r>
          </w:p>
        </w:tc>
        <w:tc>
          <w:tcPr>
            <w:tcW w:w="270" w:type="dxa"/>
          </w:tcPr>
          <w:p w14:paraId="266913EF" w14:textId="77777777" w:rsidR="00692D9E" w:rsidRPr="000D3DC5" w:rsidRDefault="00692D9E" w:rsidP="00692D9E">
            <w:pPr>
              <w:tabs>
                <w:tab w:val="right" w:pos="9180"/>
              </w:tabs>
              <w:ind w:right="-360"/>
            </w:pPr>
          </w:p>
        </w:tc>
        <w:tc>
          <w:tcPr>
            <w:tcW w:w="1440" w:type="dxa"/>
          </w:tcPr>
          <w:p w14:paraId="282E884D" w14:textId="002F152E" w:rsidR="00692D9E" w:rsidRPr="000D3DC5" w:rsidRDefault="00692D9E" w:rsidP="00692D9E">
            <w:pPr>
              <w:tabs>
                <w:tab w:val="decimal" w:pos="1062"/>
                <w:tab w:val="right" w:pos="9180"/>
              </w:tabs>
              <w:ind w:right="-46"/>
            </w:pPr>
            <w:r>
              <w:tab/>
            </w:r>
            <w:r w:rsidR="003D37A9">
              <w:t>291,475</w:t>
            </w:r>
          </w:p>
        </w:tc>
        <w:tc>
          <w:tcPr>
            <w:tcW w:w="450" w:type="dxa"/>
          </w:tcPr>
          <w:p w14:paraId="1C2FA899" w14:textId="77777777" w:rsidR="00692D9E" w:rsidRPr="000D3DC5" w:rsidRDefault="00692D9E" w:rsidP="00692D9E">
            <w:pPr>
              <w:tabs>
                <w:tab w:val="right" w:pos="9180"/>
              </w:tabs>
              <w:ind w:right="-360"/>
            </w:pPr>
          </w:p>
        </w:tc>
        <w:tc>
          <w:tcPr>
            <w:tcW w:w="1440" w:type="dxa"/>
          </w:tcPr>
          <w:p w14:paraId="6B63B904" w14:textId="40FAD0D2" w:rsidR="00692D9E" w:rsidRPr="000D3DC5" w:rsidRDefault="00692D9E" w:rsidP="00692D9E">
            <w:pPr>
              <w:tabs>
                <w:tab w:val="decimal" w:pos="1062"/>
                <w:tab w:val="right" w:pos="9180"/>
              </w:tabs>
              <w:ind w:right="-18"/>
            </w:pPr>
            <w:r w:rsidRPr="000D3DC5">
              <w:tab/>
            </w:r>
            <w:r w:rsidR="00670470">
              <w:t>1,364,650</w:t>
            </w:r>
          </w:p>
        </w:tc>
        <w:tc>
          <w:tcPr>
            <w:tcW w:w="270" w:type="dxa"/>
          </w:tcPr>
          <w:p w14:paraId="6BBDBA93" w14:textId="77777777" w:rsidR="00692D9E" w:rsidRPr="000D3DC5" w:rsidRDefault="00692D9E" w:rsidP="00692D9E">
            <w:pPr>
              <w:tabs>
                <w:tab w:val="right" w:pos="9180"/>
              </w:tabs>
              <w:ind w:right="-360"/>
            </w:pPr>
          </w:p>
        </w:tc>
        <w:tc>
          <w:tcPr>
            <w:tcW w:w="1530" w:type="dxa"/>
          </w:tcPr>
          <w:p w14:paraId="68AB776F" w14:textId="2396D54A" w:rsidR="00692D9E" w:rsidRPr="000D3DC5" w:rsidRDefault="00692D9E" w:rsidP="00692D9E">
            <w:pPr>
              <w:tabs>
                <w:tab w:val="decimal" w:pos="1152"/>
                <w:tab w:val="right" w:pos="9180"/>
              </w:tabs>
              <w:ind w:right="-18"/>
            </w:pPr>
            <w:r>
              <w:tab/>
            </w:r>
            <w:r w:rsidR="003D37A9">
              <w:t>1,214,189</w:t>
            </w:r>
          </w:p>
        </w:tc>
      </w:tr>
      <w:tr w:rsidR="00692D9E" w:rsidRPr="000D3DC5" w14:paraId="7F40AE15" w14:textId="77777777" w:rsidTr="00692D9E">
        <w:tc>
          <w:tcPr>
            <w:tcW w:w="3438" w:type="dxa"/>
            <w:gridSpan w:val="4"/>
          </w:tcPr>
          <w:p w14:paraId="6932D84D" w14:textId="77777777" w:rsidR="00692D9E" w:rsidRPr="000D3DC5" w:rsidRDefault="00692D9E" w:rsidP="00692D9E">
            <w:pPr>
              <w:tabs>
                <w:tab w:val="right" w:pos="9180"/>
              </w:tabs>
              <w:ind w:right="-360"/>
            </w:pPr>
            <w:r>
              <w:t>Total operating expenses</w:t>
            </w:r>
          </w:p>
        </w:tc>
        <w:tc>
          <w:tcPr>
            <w:tcW w:w="1530" w:type="dxa"/>
            <w:tcBorders>
              <w:top w:val="single" w:sz="4" w:space="0" w:color="auto"/>
              <w:bottom w:val="single" w:sz="4" w:space="0" w:color="auto"/>
            </w:tcBorders>
          </w:tcPr>
          <w:p w14:paraId="5EA0E10E" w14:textId="4323A3ED" w:rsidR="00692D9E" w:rsidRPr="000D3DC5" w:rsidRDefault="00692D9E" w:rsidP="00692D9E">
            <w:pPr>
              <w:tabs>
                <w:tab w:val="decimal" w:pos="1152"/>
                <w:tab w:val="right" w:pos="9180"/>
              </w:tabs>
              <w:ind w:right="-18"/>
            </w:pPr>
            <w:r w:rsidRPr="000D3DC5">
              <w:tab/>
            </w:r>
            <w:r w:rsidR="004E4958">
              <w:t>851,769</w:t>
            </w:r>
          </w:p>
        </w:tc>
        <w:tc>
          <w:tcPr>
            <w:tcW w:w="270" w:type="dxa"/>
          </w:tcPr>
          <w:p w14:paraId="5CE6C32E"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1BDAA789" w14:textId="280F790F" w:rsidR="00692D9E" w:rsidRPr="000D3DC5" w:rsidRDefault="00692D9E" w:rsidP="00692D9E">
            <w:pPr>
              <w:tabs>
                <w:tab w:val="decimal" w:pos="1062"/>
                <w:tab w:val="right" w:pos="9180"/>
              </w:tabs>
              <w:ind w:right="-46"/>
            </w:pPr>
            <w:r>
              <w:tab/>
            </w:r>
            <w:r w:rsidR="003D37A9">
              <w:t>759,149</w:t>
            </w:r>
          </w:p>
        </w:tc>
        <w:tc>
          <w:tcPr>
            <w:tcW w:w="450" w:type="dxa"/>
          </w:tcPr>
          <w:p w14:paraId="2E59F4DC"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4C135757" w14:textId="2412F4AD" w:rsidR="00692D9E" w:rsidRPr="000D3DC5" w:rsidRDefault="00692D9E" w:rsidP="00692D9E">
            <w:pPr>
              <w:tabs>
                <w:tab w:val="decimal" w:pos="1062"/>
                <w:tab w:val="right" w:pos="9180"/>
              </w:tabs>
              <w:ind w:right="-18"/>
            </w:pPr>
            <w:r w:rsidRPr="000D3DC5">
              <w:tab/>
            </w:r>
            <w:r w:rsidR="00670470">
              <w:t>3,051,763</w:t>
            </w:r>
          </w:p>
        </w:tc>
        <w:tc>
          <w:tcPr>
            <w:tcW w:w="270" w:type="dxa"/>
          </w:tcPr>
          <w:p w14:paraId="1D0A8005"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36DE0A5F" w14:textId="6987EB5C" w:rsidR="00692D9E" w:rsidRPr="000D3DC5" w:rsidRDefault="00692D9E" w:rsidP="00692D9E">
            <w:pPr>
              <w:tabs>
                <w:tab w:val="decimal" w:pos="1152"/>
                <w:tab w:val="right" w:pos="9180"/>
              </w:tabs>
              <w:ind w:right="-18"/>
            </w:pPr>
            <w:r>
              <w:tab/>
            </w:r>
            <w:r w:rsidR="003D37A9">
              <w:t>2,688,808</w:t>
            </w:r>
          </w:p>
        </w:tc>
      </w:tr>
      <w:tr w:rsidR="00692D9E" w:rsidRPr="000D3DC5" w14:paraId="22CD5BC2" w14:textId="77777777" w:rsidTr="00692D9E">
        <w:tc>
          <w:tcPr>
            <w:tcW w:w="378" w:type="dxa"/>
          </w:tcPr>
          <w:p w14:paraId="6F635815" w14:textId="77777777" w:rsidR="00692D9E" w:rsidRPr="000D3DC5" w:rsidRDefault="00692D9E" w:rsidP="00692D9E">
            <w:pPr>
              <w:ind w:right="-360"/>
            </w:pPr>
          </w:p>
        </w:tc>
        <w:tc>
          <w:tcPr>
            <w:tcW w:w="450" w:type="dxa"/>
          </w:tcPr>
          <w:p w14:paraId="51371297" w14:textId="77777777" w:rsidR="00692D9E" w:rsidRPr="000D3DC5" w:rsidRDefault="00692D9E" w:rsidP="00692D9E">
            <w:pPr>
              <w:ind w:right="-360"/>
            </w:pPr>
          </w:p>
        </w:tc>
        <w:tc>
          <w:tcPr>
            <w:tcW w:w="450" w:type="dxa"/>
          </w:tcPr>
          <w:p w14:paraId="48D11986" w14:textId="77777777" w:rsidR="00692D9E" w:rsidRPr="000D3DC5" w:rsidRDefault="00692D9E" w:rsidP="00692D9E">
            <w:pPr>
              <w:ind w:right="-360"/>
            </w:pPr>
          </w:p>
        </w:tc>
        <w:tc>
          <w:tcPr>
            <w:tcW w:w="2160" w:type="dxa"/>
          </w:tcPr>
          <w:p w14:paraId="18CD0E63" w14:textId="77777777" w:rsidR="00692D9E" w:rsidRPr="000D3DC5" w:rsidRDefault="00692D9E" w:rsidP="00692D9E">
            <w:pPr>
              <w:tabs>
                <w:tab w:val="right" w:pos="9180"/>
              </w:tabs>
              <w:ind w:right="-360"/>
            </w:pPr>
          </w:p>
        </w:tc>
        <w:tc>
          <w:tcPr>
            <w:tcW w:w="1530" w:type="dxa"/>
            <w:tcBorders>
              <w:top w:val="single" w:sz="4" w:space="0" w:color="auto"/>
            </w:tcBorders>
          </w:tcPr>
          <w:p w14:paraId="0DADA43D" w14:textId="77777777" w:rsidR="00692D9E" w:rsidRPr="000D3DC5" w:rsidRDefault="00692D9E" w:rsidP="00692D9E">
            <w:pPr>
              <w:tabs>
                <w:tab w:val="right" w:pos="9180"/>
              </w:tabs>
              <w:ind w:right="-18"/>
            </w:pPr>
          </w:p>
        </w:tc>
        <w:tc>
          <w:tcPr>
            <w:tcW w:w="270" w:type="dxa"/>
          </w:tcPr>
          <w:p w14:paraId="59827B72" w14:textId="77777777" w:rsidR="00692D9E" w:rsidRPr="000D3DC5" w:rsidRDefault="00692D9E" w:rsidP="00692D9E">
            <w:pPr>
              <w:tabs>
                <w:tab w:val="right" w:pos="9180"/>
              </w:tabs>
              <w:ind w:right="-360"/>
            </w:pPr>
          </w:p>
        </w:tc>
        <w:tc>
          <w:tcPr>
            <w:tcW w:w="1440" w:type="dxa"/>
            <w:tcBorders>
              <w:top w:val="single" w:sz="4" w:space="0" w:color="auto"/>
            </w:tcBorders>
          </w:tcPr>
          <w:p w14:paraId="7DC6A298" w14:textId="77777777" w:rsidR="00692D9E" w:rsidRPr="000D3DC5" w:rsidRDefault="00692D9E" w:rsidP="00692D9E">
            <w:pPr>
              <w:tabs>
                <w:tab w:val="right" w:pos="9180"/>
              </w:tabs>
              <w:ind w:right="-46"/>
            </w:pPr>
          </w:p>
        </w:tc>
        <w:tc>
          <w:tcPr>
            <w:tcW w:w="450" w:type="dxa"/>
          </w:tcPr>
          <w:p w14:paraId="4858ADC9" w14:textId="77777777" w:rsidR="00692D9E" w:rsidRPr="000D3DC5" w:rsidRDefault="00692D9E" w:rsidP="00692D9E">
            <w:pPr>
              <w:tabs>
                <w:tab w:val="right" w:pos="9180"/>
              </w:tabs>
              <w:ind w:right="-360"/>
            </w:pPr>
          </w:p>
        </w:tc>
        <w:tc>
          <w:tcPr>
            <w:tcW w:w="1440" w:type="dxa"/>
            <w:tcBorders>
              <w:top w:val="single" w:sz="4" w:space="0" w:color="auto"/>
            </w:tcBorders>
          </w:tcPr>
          <w:p w14:paraId="0D0FC892" w14:textId="77777777" w:rsidR="00692D9E" w:rsidRPr="000D3DC5" w:rsidRDefault="00692D9E" w:rsidP="00692D9E">
            <w:pPr>
              <w:tabs>
                <w:tab w:val="right" w:pos="9180"/>
              </w:tabs>
              <w:ind w:right="-18"/>
            </w:pPr>
          </w:p>
        </w:tc>
        <w:tc>
          <w:tcPr>
            <w:tcW w:w="270" w:type="dxa"/>
          </w:tcPr>
          <w:p w14:paraId="318E46A2" w14:textId="77777777" w:rsidR="00692D9E" w:rsidRPr="000D3DC5" w:rsidRDefault="00692D9E" w:rsidP="00692D9E">
            <w:pPr>
              <w:tabs>
                <w:tab w:val="right" w:pos="9180"/>
              </w:tabs>
              <w:ind w:right="-360"/>
            </w:pPr>
          </w:p>
        </w:tc>
        <w:tc>
          <w:tcPr>
            <w:tcW w:w="1530" w:type="dxa"/>
            <w:tcBorders>
              <w:top w:val="single" w:sz="4" w:space="0" w:color="auto"/>
            </w:tcBorders>
          </w:tcPr>
          <w:p w14:paraId="3A38742B" w14:textId="77777777" w:rsidR="00692D9E" w:rsidRPr="000D3DC5" w:rsidRDefault="00692D9E" w:rsidP="00692D9E">
            <w:pPr>
              <w:tabs>
                <w:tab w:val="right" w:pos="9180"/>
              </w:tabs>
              <w:ind w:right="-18"/>
            </w:pPr>
          </w:p>
        </w:tc>
      </w:tr>
      <w:tr w:rsidR="00692D9E" w:rsidRPr="000D3DC5" w14:paraId="51A451F5" w14:textId="77777777" w:rsidTr="00692D9E">
        <w:tc>
          <w:tcPr>
            <w:tcW w:w="3438" w:type="dxa"/>
            <w:gridSpan w:val="4"/>
          </w:tcPr>
          <w:p w14:paraId="3B45D58D" w14:textId="77777777" w:rsidR="00692D9E" w:rsidRPr="000D3DC5" w:rsidRDefault="00692D9E" w:rsidP="00692D9E">
            <w:pPr>
              <w:tabs>
                <w:tab w:val="right" w:pos="9180"/>
              </w:tabs>
              <w:ind w:right="-360"/>
            </w:pPr>
            <w:r>
              <w:t>L</w:t>
            </w:r>
            <w:r w:rsidRPr="000D3DC5">
              <w:t>oss from operations</w:t>
            </w:r>
          </w:p>
        </w:tc>
        <w:tc>
          <w:tcPr>
            <w:tcW w:w="1530" w:type="dxa"/>
          </w:tcPr>
          <w:p w14:paraId="011E6548" w14:textId="1FE5D0DE" w:rsidR="00692D9E" w:rsidRPr="000D3DC5" w:rsidRDefault="00692D9E" w:rsidP="00692D9E">
            <w:pPr>
              <w:tabs>
                <w:tab w:val="decimal" w:pos="1152"/>
                <w:tab w:val="right" w:pos="9180"/>
              </w:tabs>
              <w:ind w:right="-18"/>
            </w:pPr>
            <w:r>
              <w:tab/>
            </w:r>
            <w:r w:rsidR="004E4958">
              <w:t>(436,311)</w:t>
            </w:r>
          </w:p>
        </w:tc>
        <w:tc>
          <w:tcPr>
            <w:tcW w:w="270" w:type="dxa"/>
          </w:tcPr>
          <w:p w14:paraId="06203395" w14:textId="77777777" w:rsidR="00692D9E" w:rsidRPr="000D3DC5" w:rsidRDefault="00692D9E" w:rsidP="00692D9E">
            <w:pPr>
              <w:tabs>
                <w:tab w:val="right" w:pos="9180"/>
              </w:tabs>
              <w:ind w:right="-360"/>
            </w:pPr>
          </w:p>
        </w:tc>
        <w:tc>
          <w:tcPr>
            <w:tcW w:w="1440" w:type="dxa"/>
          </w:tcPr>
          <w:p w14:paraId="1C6785FE" w14:textId="10543B3F" w:rsidR="00692D9E" w:rsidRPr="000D3DC5" w:rsidRDefault="00692D9E" w:rsidP="00692D9E">
            <w:pPr>
              <w:tabs>
                <w:tab w:val="decimal" w:pos="1062"/>
                <w:tab w:val="right" w:pos="9180"/>
              </w:tabs>
              <w:ind w:right="-46"/>
            </w:pPr>
            <w:r>
              <w:tab/>
              <w:t>(</w:t>
            </w:r>
            <w:r w:rsidR="003D37A9">
              <w:t>425,940)</w:t>
            </w:r>
          </w:p>
        </w:tc>
        <w:tc>
          <w:tcPr>
            <w:tcW w:w="450" w:type="dxa"/>
          </w:tcPr>
          <w:p w14:paraId="4A8C1C59" w14:textId="77777777" w:rsidR="00692D9E" w:rsidRPr="000D3DC5" w:rsidRDefault="00692D9E" w:rsidP="00692D9E">
            <w:pPr>
              <w:tabs>
                <w:tab w:val="right" w:pos="9180"/>
              </w:tabs>
              <w:ind w:right="-360"/>
            </w:pPr>
          </w:p>
        </w:tc>
        <w:tc>
          <w:tcPr>
            <w:tcW w:w="1440" w:type="dxa"/>
          </w:tcPr>
          <w:p w14:paraId="7C287049" w14:textId="15F1CBE5" w:rsidR="00692D9E" w:rsidRPr="000D3DC5" w:rsidRDefault="00692D9E" w:rsidP="00692D9E">
            <w:pPr>
              <w:tabs>
                <w:tab w:val="decimal" w:pos="1044"/>
                <w:tab w:val="right" w:pos="9180"/>
              </w:tabs>
              <w:ind w:right="-18"/>
            </w:pPr>
            <w:r w:rsidRPr="000D3DC5">
              <w:tab/>
            </w:r>
            <w:r w:rsidR="00670470">
              <w:t>(1,479,726)</w:t>
            </w:r>
          </w:p>
        </w:tc>
        <w:tc>
          <w:tcPr>
            <w:tcW w:w="270" w:type="dxa"/>
          </w:tcPr>
          <w:p w14:paraId="3668A2E5" w14:textId="77777777" w:rsidR="00692D9E" w:rsidRPr="000D3DC5" w:rsidRDefault="00692D9E" w:rsidP="00692D9E">
            <w:pPr>
              <w:tabs>
                <w:tab w:val="right" w:pos="9180"/>
              </w:tabs>
              <w:ind w:right="-360"/>
            </w:pPr>
          </w:p>
        </w:tc>
        <w:tc>
          <w:tcPr>
            <w:tcW w:w="1530" w:type="dxa"/>
          </w:tcPr>
          <w:p w14:paraId="673E0720" w14:textId="1BD067A3" w:rsidR="00692D9E" w:rsidRPr="000D3DC5" w:rsidRDefault="00692D9E" w:rsidP="00692D9E">
            <w:pPr>
              <w:tabs>
                <w:tab w:val="decimal" w:pos="1152"/>
                <w:tab w:val="right" w:pos="9180"/>
              </w:tabs>
              <w:ind w:right="-18"/>
            </w:pPr>
            <w:r>
              <w:tab/>
              <w:t>(</w:t>
            </w:r>
            <w:r w:rsidR="003D37A9">
              <w:t>1,781,426</w:t>
            </w:r>
            <w:r>
              <w:t>)</w:t>
            </w:r>
          </w:p>
        </w:tc>
      </w:tr>
      <w:tr w:rsidR="00692D9E" w:rsidRPr="000D3DC5" w14:paraId="0EB5DFE5" w14:textId="77777777" w:rsidTr="00692D9E">
        <w:tc>
          <w:tcPr>
            <w:tcW w:w="378" w:type="dxa"/>
          </w:tcPr>
          <w:p w14:paraId="27E8FD18" w14:textId="77777777" w:rsidR="00692D9E" w:rsidRPr="000D3DC5" w:rsidRDefault="00692D9E" w:rsidP="00692D9E">
            <w:pPr>
              <w:ind w:right="-360"/>
            </w:pPr>
          </w:p>
        </w:tc>
        <w:tc>
          <w:tcPr>
            <w:tcW w:w="450" w:type="dxa"/>
          </w:tcPr>
          <w:p w14:paraId="30425A6F" w14:textId="77777777" w:rsidR="00692D9E" w:rsidRPr="000D3DC5" w:rsidRDefault="00692D9E" w:rsidP="00692D9E">
            <w:pPr>
              <w:ind w:right="-360"/>
            </w:pPr>
          </w:p>
        </w:tc>
        <w:tc>
          <w:tcPr>
            <w:tcW w:w="450" w:type="dxa"/>
          </w:tcPr>
          <w:p w14:paraId="7C94308F" w14:textId="77777777" w:rsidR="00692D9E" w:rsidRPr="000D3DC5" w:rsidRDefault="00692D9E" w:rsidP="00692D9E">
            <w:pPr>
              <w:ind w:right="-360"/>
            </w:pPr>
          </w:p>
        </w:tc>
        <w:tc>
          <w:tcPr>
            <w:tcW w:w="2160" w:type="dxa"/>
          </w:tcPr>
          <w:p w14:paraId="5C17CECA" w14:textId="77777777" w:rsidR="00692D9E" w:rsidRPr="000D3DC5" w:rsidRDefault="00692D9E" w:rsidP="00692D9E">
            <w:pPr>
              <w:tabs>
                <w:tab w:val="right" w:pos="9180"/>
              </w:tabs>
              <w:ind w:right="-360"/>
            </w:pPr>
          </w:p>
        </w:tc>
        <w:tc>
          <w:tcPr>
            <w:tcW w:w="1530" w:type="dxa"/>
          </w:tcPr>
          <w:p w14:paraId="18650A81" w14:textId="77777777" w:rsidR="00692D9E" w:rsidRPr="000D3DC5" w:rsidRDefault="00692D9E" w:rsidP="00692D9E">
            <w:pPr>
              <w:tabs>
                <w:tab w:val="right" w:pos="9180"/>
              </w:tabs>
              <w:ind w:right="-18"/>
            </w:pPr>
          </w:p>
        </w:tc>
        <w:tc>
          <w:tcPr>
            <w:tcW w:w="270" w:type="dxa"/>
          </w:tcPr>
          <w:p w14:paraId="7750B8A6" w14:textId="77777777" w:rsidR="00692D9E" w:rsidRPr="000D3DC5" w:rsidRDefault="00692D9E" w:rsidP="00692D9E">
            <w:pPr>
              <w:tabs>
                <w:tab w:val="right" w:pos="9180"/>
              </w:tabs>
              <w:ind w:right="-360"/>
            </w:pPr>
          </w:p>
        </w:tc>
        <w:tc>
          <w:tcPr>
            <w:tcW w:w="1440" w:type="dxa"/>
          </w:tcPr>
          <w:p w14:paraId="6EC8A493" w14:textId="77777777" w:rsidR="00692D9E" w:rsidRPr="000D3DC5" w:rsidRDefault="00692D9E" w:rsidP="00692D9E">
            <w:pPr>
              <w:tabs>
                <w:tab w:val="right" w:pos="9180"/>
              </w:tabs>
              <w:ind w:right="-46"/>
            </w:pPr>
          </w:p>
        </w:tc>
        <w:tc>
          <w:tcPr>
            <w:tcW w:w="450" w:type="dxa"/>
          </w:tcPr>
          <w:p w14:paraId="225E8760" w14:textId="77777777" w:rsidR="00692D9E" w:rsidRPr="000D3DC5" w:rsidRDefault="00692D9E" w:rsidP="00692D9E">
            <w:pPr>
              <w:tabs>
                <w:tab w:val="right" w:pos="9180"/>
              </w:tabs>
              <w:ind w:right="-360"/>
            </w:pPr>
          </w:p>
        </w:tc>
        <w:tc>
          <w:tcPr>
            <w:tcW w:w="1440" w:type="dxa"/>
          </w:tcPr>
          <w:p w14:paraId="1F7C3DFA" w14:textId="77777777" w:rsidR="00692D9E" w:rsidRPr="000D3DC5" w:rsidRDefault="00692D9E" w:rsidP="00692D9E">
            <w:pPr>
              <w:tabs>
                <w:tab w:val="right" w:pos="9180"/>
              </w:tabs>
              <w:ind w:right="-18"/>
            </w:pPr>
          </w:p>
        </w:tc>
        <w:tc>
          <w:tcPr>
            <w:tcW w:w="270" w:type="dxa"/>
          </w:tcPr>
          <w:p w14:paraId="7C6259F6" w14:textId="77777777" w:rsidR="00692D9E" w:rsidRPr="000D3DC5" w:rsidRDefault="00692D9E" w:rsidP="00692D9E">
            <w:pPr>
              <w:tabs>
                <w:tab w:val="right" w:pos="9180"/>
              </w:tabs>
              <w:ind w:right="-360"/>
            </w:pPr>
          </w:p>
        </w:tc>
        <w:tc>
          <w:tcPr>
            <w:tcW w:w="1530" w:type="dxa"/>
          </w:tcPr>
          <w:p w14:paraId="642230C5" w14:textId="77777777" w:rsidR="00692D9E" w:rsidRPr="000D3DC5" w:rsidRDefault="00692D9E" w:rsidP="00692D9E">
            <w:pPr>
              <w:tabs>
                <w:tab w:val="right" w:pos="9180"/>
              </w:tabs>
              <w:ind w:right="-18"/>
            </w:pPr>
          </w:p>
        </w:tc>
      </w:tr>
      <w:tr w:rsidR="00692D9E" w:rsidRPr="000D3DC5" w14:paraId="3B7AD334" w14:textId="77777777" w:rsidTr="00692D9E">
        <w:tc>
          <w:tcPr>
            <w:tcW w:w="3438" w:type="dxa"/>
            <w:gridSpan w:val="4"/>
          </w:tcPr>
          <w:p w14:paraId="725AFE00" w14:textId="77777777" w:rsidR="00692D9E" w:rsidRPr="000D3DC5" w:rsidRDefault="00692D9E" w:rsidP="00692D9E">
            <w:pPr>
              <w:tabs>
                <w:tab w:val="right" w:pos="9180"/>
              </w:tabs>
              <w:ind w:right="-360"/>
            </w:pPr>
            <w:r>
              <w:t>Other income (expense):</w:t>
            </w:r>
          </w:p>
        </w:tc>
        <w:tc>
          <w:tcPr>
            <w:tcW w:w="1530" w:type="dxa"/>
          </w:tcPr>
          <w:p w14:paraId="27CF2D7A" w14:textId="77777777" w:rsidR="00692D9E" w:rsidRPr="000D3DC5" w:rsidRDefault="00692D9E" w:rsidP="00692D9E">
            <w:pPr>
              <w:tabs>
                <w:tab w:val="decimal" w:pos="1062"/>
                <w:tab w:val="right" w:pos="9180"/>
              </w:tabs>
              <w:ind w:right="-18"/>
            </w:pPr>
          </w:p>
        </w:tc>
        <w:tc>
          <w:tcPr>
            <w:tcW w:w="270" w:type="dxa"/>
          </w:tcPr>
          <w:p w14:paraId="52107550" w14:textId="77777777" w:rsidR="00692D9E" w:rsidRPr="000D3DC5" w:rsidRDefault="00692D9E" w:rsidP="00692D9E">
            <w:pPr>
              <w:tabs>
                <w:tab w:val="right" w:pos="9180"/>
              </w:tabs>
              <w:ind w:right="-360"/>
            </w:pPr>
          </w:p>
        </w:tc>
        <w:tc>
          <w:tcPr>
            <w:tcW w:w="1440" w:type="dxa"/>
          </w:tcPr>
          <w:p w14:paraId="5C716FA7" w14:textId="77777777" w:rsidR="00692D9E" w:rsidRPr="000D3DC5" w:rsidRDefault="00692D9E" w:rsidP="00692D9E">
            <w:pPr>
              <w:tabs>
                <w:tab w:val="decimal" w:pos="864"/>
                <w:tab w:val="right" w:pos="9180"/>
              </w:tabs>
              <w:ind w:right="-46"/>
            </w:pPr>
          </w:p>
        </w:tc>
        <w:tc>
          <w:tcPr>
            <w:tcW w:w="450" w:type="dxa"/>
          </w:tcPr>
          <w:p w14:paraId="06D54199" w14:textId="77777777" w:rsidR="00692D9E" w:rsidRPr="000D3DC5" w:rsidRDefault="00692D9E" w:rsidP="00692D9E">
            <w:pPr>
              <w:tabs>
                <w:tab w:val="right" w:pos="9180"/>
              </w:tabs>
              <w:ind w:right="-360"/>
            </w:pPr>
          </w:p>
        </w:tc>
        <w:tc>
          <w:tcPr>
            <w:tcW w:w="1440" w:type="dxa"/>
          </w:tcPr>
          <w:p w14:paraId="3E423B96" w14:textId="77777777" w:rsidR="00692D9E" w:rsidRPr="000D3DC5" w:rsidRDefault="00692D9E" w:rsidP="00692D9E">
            <w:pPr>
              <w:tabs>
                <w:tab w:val="decimal" w:pos="864"/>
                <w:tab w:val="right" w:pos="9180"/>
              </w:tabs>
              <w:ind w:right="-18"/>
            </w:pPr>
          </w:p>
        </w:tc>
        <w:tc>
          <w:tcPr>
            <w:tcW w:w="270" w:type="dxa"/>
          </w:tcPr>
          <w:p w14:paraId="0DF4BB64" w14:textId="77777777" w:rsidR="00692D9E" w:rsidRPr="000D3DC5" w:rsidRDefault="00692D9E" w:rsidP="00692D9E">
            <w:pPr>
              <w:tabs>
                <w:tab w:val="right" w:pos="9180"/>
              </w:tabs>
              <w:ind w:right="-360"/>
            </w:pPr>
          </w:p>
        </w:tc>
        <w:tc>
          <w:tcPr>
            <w:tcW w:w="1530" w:type="dxa"/>
          </w:tcPr>
          <w:p w14:paraId="00C5B343" w14:textId="77777777" w:rsidR="00692D9E" w:rsidRPr="000D3DC5" w:rsidRDefault="00692D9E" w:rsidP="00692D9E">
            <w:pPr>
              <w:tabs>
                <w:tab w:val="decimal" w:pos="864"/>
                <w:tab w:val="right" w:pos="9180"/>
              </w:tabs>
              <w:ind w:right="-18"/>
            </w:pPr>
          </w:p>
        </w:tc>
      </w:tr>
      <w:tr w:rsidR="00692D9E" w:rsidRPr="000D3DC5" w14:paraId="1A0FD9A8" w14:textId="77777777" w:rsidTr="00692D9E">
        <w:tc>
          <w:tcPr>
            <w:tcW w:w="378" w:type="dxa"/>
          </w:tcPr>
          <w:p w14:paraId="72053EC4" w14:textId="77777777" w:rsidR="00692D9E" w:rsidRPr="000D3DC5" w:rsidRDefault="00692D9E" w:rsidP="00692D9E">
            <w:pPr>
              <w:ind w:right="-360"/>
            </w:pPr>
          </w:p>
        </w:tc>
        <w:tc>
          <w:tcPr>
            <w:tcW w:w="3060" w:type="dxa"/>
            <w:gridSpan w:val="3"/>
          </w:tcPr>
          <w:p w14:paraId="4E45D871" w14:textId="77777777" w:rsidR="00692D9E" w:rsidRPr="000D3DC5" w:rsidRDefault="00692D9E" w:rsidP="00692D9E">
            <w:pPr>
              <w:tabs>
                <w:tab w:val="right" w:pos="9180"/>
              </w:tabs>
              <w:ind w:right="-360"/>
            </w:pPr>
            <w:r w:rsidRPr="000D3DC5">
              <w:t>Interest income</w:t>
            </w:r>
          </w:p>
        </w:tc>
        <w:tc>
          <w:tcPr>
            <w:tcW w:w="1530" w:type="dxa"/>
          </w:tcPr>
          <w:p w14:paraId="688D4EF9" w14:textId="36AB81BC" w:rsidR="00692D9E" w:rsidRPr="000D3DC5" w:rsidRDefault="00692D9E" w:rsidP="00692D9E">
            <w:pPr>
              <w:tabs>
                <w:tab w:val="decimal" w:pos="1152"/>
                <w:tab w:val="right" w:pos="9180"/>
              </w:tabs>
              <w:ind w:right="-18"/>
            </w:pPr>
            <w:r w:rsidRPr="000D3DC5">
              <w:tab/>
            </w:r>
            <w:r w:rsidR="004E4958">
              <w:t>90</w:t>
            </w:r>
          </w:p>
        </w:tc>
        <w:tc>
          <w:tcPr>
            <w:tcW w:w="270" w:type="dxa"/>
          </w:tcPr>
          <w:p w14:paraId="101BA431" w14:textId="77777777" w:rsidR="00692D9E" w:rsidRPr="000D3DC5" w:rsidRDefault="00692D9E" w:rsidP="00692D9E">
            <w:pPr>
              <w:tabs>
                <w:tab w:val="right" w:pos="9180"/>
              </w:tabs>
              <w:ind w:right="-360"/>
            </w:pPr>
          </w:p>
        </w:tc>
        <w:tc>
          <w:tcPr>
            <w:tcW w:w="1440" w:type="dxa"/>
          </w:tcPr>
          <w:p w14:paraId="0F769756" w14:textId="4BEE27F9" w:rsidR="00692D9E" w:rsidRPr="000D3DC5" w:rsidRDefault="00692D9E" w:rsidP="00692D9E">
            <w:pPr>
              <w:tabs>
                <w:tab w:val="decimal" w:pos="1062"/>
                <w:tab w:val="right" w:pos="9180"/>
              </w:tabs>
              <w:ind w:right="-46"/>
            </w:pPr>
            <w:r w:rsidRPr="000D3DC5">
              <w:tab/>
            </w:r>
            <w:r w:rsidR="003D37A9">
              <w:t>2,560</w:t>
            </w:r>
          </w:p>
        </w:tc>
        <w:tc>
          <w:tcPr>
            <w:tcW w:w="450" w:type="dxa"/>
          </w:tcPr>
          <w:p w14:paraId="5398862C" w14:textId="77777777" w:rsidR="00692D9E" w:rsidRPr="000D3DC5" w:rsidRDefault="00692D9E" w:rsidP="00692D9E">
            <w:pPr>
              <w:tabs>
                <w:tab w:val="right" w:pos="9180"/>
              </w:tabs>
              <w:ind w:right="-360"/>
            </w:pPr>
          </w:p>
        </w:tc>
        <w:tc>
          <w:tcPr>
            <w:tcW w:w="1440" w:type="dxa"/>
          </w:tcPr>
          <w:p w14:paraId="1D602E36" w14:textId="55E64CAA" w:rsidR="00692D9E" w:rsidRPr="000D3DC5" w:rsidRDefault="00692D9E" w:rsidP="00692D9E">
            <w:pPr>
              <w:tabs>
                <w:tab w:val="decimal" w:pos="1062"/>
                <w:tab w:val="right" w:pos="9180"/>
              </w:tabs>
              <w:ind w:right="-18"/>
            </w:pPr>
            <w:r w:rsidRPr="000D3DC5">
              <w:tab/>
            </w:r>
            <w:r w:rsidR="00670470">
              <w:t>902</w:t>
            </w:r>
          </w:p>
        </w:tc>
        <w:tc>
          <w:tcPr>
            <w:tcW w:w="270" w:type="dxa"/>
          </w:tcPr>
          <w:p w14:paraId="0DD99A7F" w14:textId="77777777" w:rsidR="00692D9E" w:rsidRPr="000D3DC5" w:rsidRDefault="00692D9E" w:rsidP="00692D9E">
            <w:pPr>
              <w:tabs>
                <w:tab w:val="right" w:pos="9180"/>
              </w:tabs>
              <w:ind w:right="-360"/>
            </w:pPr>
          </w:p>
        </w:tc>
        <w:tc>
          <w:tcPr>
            <w:tcW w:w="1530" w:type="dxa"/>
          </w:tcPr>
          <w:p w14:paraId="7008BB8C" w14:textId="7200470E" w:rsidR="00692D9E" w:rsidRPr="000D3DC5" w:rsidRDefault="00692D9E" w:rsidP="00692D9E">
            <w:pPr>
              <w:tabs>
                <w:tab w:val="decimal" w:pos="1152"/>
                <w:tab w:val="right" w:pos="9180"/>
              </w:tabs>
              <w:ind w:right="-18"/>
            </w:pPr>
            <w:r w:rsidRPr="000D3DC5">
              <w:tab/>
            </w:r>
            <w:r w:rsidR="003D37A9">
              <w:t>4,665</w:t>
            </w:r>
          </w:p>
        </w:tc>
      </w:tr>
      <w:tr w:rsidR="00692D9E" w:rsidRPr="000D3DC5" w14:paraId="25AA8845" w14:textId="77777777" w:rsidTr="00692D9E">
        <w:tc>
          <w:tcPr>
            <w:tcW w:w="378" w:type="dxa"/>
          </w:tcPr>
          <w:p w14:paraId="6D1DB5CE" w14:textId="77777777" w:rsidR="00692D9E" w:rsidRPr="000D3DC5" w:rsidRDefault="00692D9E" w:rsidP="00692D9E">
            <w:pPr>
              <w:ind w:right="-360"/>
            </w:pPr>
          </w:p>
        </w:tc>
        <w:tc>
          <w:tcPr>
            <w:tcW w:w="3060" w:type="dxa"/>
            <w:gridSpan w:val="3"/>
          </w:tcPr>
          <w:p w14:paraId="27D48D62" w14:textId="77777777" w:rsidR="00692D9E" w:rsidRPr="000D3DC5" w:rsidRDefault="00692D9E" w:rsidP="00692D9E">
            <w:pPr>
              <w:tabs>
                <w:tab w:val="right" w:pos="9180"/>
              </w:tabs>
              <w:ind w:right="-360"/>
            </w:pPr>
            <w:r>
              <w:t>Interest expense</w:t>
            </w:r>
          </w:p>
        </w:tc>
        <w:tc>
          <w:tcPr>
            <w:tcW w:w="1530" w:type="dxa"/>
          </w:tcPr>
          <w:p w14:paraId="2040B1A9" w14:textId="5CE8DCCE" w:rsidR="00692D9E" w:rsidRPr="000D3DC5" w:rsidRDefault="00692D9E" w:rsidP="00692D9E">
            <w:pPr>
              <w:tabs>
                <w:tab w:val="decimal" w:pos="1152"/>
                <w:tab w:val="right" w:pos="9180"/>
              </w:tabs>
              <w:ind w:right="-18"/>
            </w:pPr>
            <w:r>
              <w:tab/>
            </w:r>
            <w:r w:rsidR="004E4958">
              <w:t>(134,427)</w:t>
            </w:r>
          </w:p>
        </w:tc>
        <w:tc>
          <w:tcPr>
            <w:tcW w:w="270" w:type="dxa"/>
          </w:tcPr>
          <w:p w14:paraId="6CEC57B0" w14:textId="77777777" w:rsidR="00692D9E" w:rsidRPr="000D3DC5" w:rsidRDefault="00692D9E" w:rsidP="00692D9E">
            <w:pPr>
              <w:tabs>
                <w:tab w:val="right" w:pos="9180"/>
              </w:tabs>
              <w:ind w:right="-360"/>
            </w:pPr>
          </w:p>
        </w:tc>
        <w:tc>
          <w:tcPr>
            <w:tcW w:w="1440" w:type="dxa"/>
          </w:tcPr>
          <w:p w14:paraId="41ECFD17" w14:textId="09BE55B4" w:rsidR="00692D9E" w:rsidRPr="000D3DC5" w:rsidRDefault="00692D9E" w:rsidP="00692D9E">
            <w:pPr>
              <w:tabs>
                <w:tab w:val="decimal" w:pos="1062"/>
                <w:tab w:val="right" w:pos="9180"/>
              </w:tabs>
              <w:ind w:right="-46"/>
            </w:pPr>
            <w:r>
              <w:tab/>
              <w:t>(</w:t>
            </w:r>
            <w:r w:rsidR="003D37A9">
              <w:t>1,054</w:t>
            </w:r>
            <w:r>
              <w:t>)</w:t>
            </w:r>
          </w:p>
        </w:tc>
        <w:tc>
          <w:tcPr>
            <w:tcW w:w="450" w:type="dxa"/>
          </w:tcPr>
          <w:p w14:paraId="3BB62277" w14:textId="77777777" w:rsidR="00692D9E" w:rsidRPr="000D3DC5" w:rsidRDefault="00692D9E" w:rsidP="00692D9E">
            <w:pPr>
              <w:tabs>
                <w:tab w:val="right" w:pos="9180"/>
              </w:tabs>
              <w:ind w:right="-360"/>
            </w:pPr>
          </w:p>
        </w:tc>
        <w:tc>
          <w:tcPr>
            <w:tcW w:w="1440" w:type="dxa"/>
          </w:tcPr>
          <w:p w14:paraId="5554F12B" w14:textId="69C5BD65" w:rsidR="00692D9E" w:rsidRPr="000D3DC5" w:rsidRDefault="00692D9E" w:rsidP="00692D9E">
            <w:pPr>
              <w:tabs>
                <w:tab w:val="decimal" w:pos="1062"/>
                <w:tab w:val="right" w:pos="9180"/>
              </w:tabs>
              <w:ind w:right="-18"/>
            </w:pPr>
            <w:r>
              <w:tab/>
            </w:r>
            <w:r w:rsidR="00670470">
              <w:t>(142,722)</w:t>
            </w:r>
          </w:p>
        </w:tc>
        <w:tc>
          <w:tcPr>
            <w:tcW w:w="270" w:type="dxa"/>
          </w:tcPr>
          <w:p w14:paraId="36B4D277" w14:textId="77777777" w:rsidR="00692D9E" w:rsidRPr="000D3DC5" w:rsidRDefault="00692D9E" w:rsidP="00692D9E">
            <w:pPr>
              <w:tabs>
                <w:tab w:val="right" w:pos="9180"/>
              </w:tabs>
              <w:ind w:right="-360"/>
            </w:pPr>
          </w:p>
        </w:tc>
        <w:tc>
          <w:tcPr>
            <w:tcW w:w="1530" w:type="dxa"/>
          </w:tcPr>
          <w:p w14:paraId="51FB02E2" w14:textId="237B03FC" w:rsidR="00692D9E" w:rsidRPr="000D3DC5" w:rsidRDefault="00692D9E" w:rsidP="00692D9E">
            <w:pPr>
              <w:tabs>
                <w:tab w:val="decimal" w:pos="1152"/>
                <w:tab w:val="right" w:pos="9180"/>
              </w:tabs>
              <w:ind w:right="-18"/>
            </w:pPr>
            <w:r>
              <w:tab/>
              <w:t>(</w:t>
            </w:r>
            <w:r w:rsidR="003D37A9">
              <w:t>3,275</w:t>
            </w:r>
            <w:r>
              <w:t>)</w:t>
            </w:r>
          </w:p>
        </w:tc>
      </w:tr>
      <w:tr w:rsidR="00692D9E" w:rsidRPr="000D3DC5" w14:paraId="06F6151A" w14:textId="77777777" w:rsidTr="00692D9E">
        <w:tc>
          <w:tcPr>
            <w:tcW w:w="3438" w:type="dxa"/>
            <w:gridSpan w:val="4"/>
          </w:tcPr>
          <w:p w14:paraId="1A3A95B0" w14:textId="77777777" w:rsidR="00692D9E" w:rsidRPr="000D3DC5" w:rsidRDefault="00692D9E" w:rsidP="00692D9E">
            <w:pPr>
              <w:tabs>
                <w:tab w:val="right" w:pos="9180"/>
              </w:tabs>
              <w:ind w:right="-360"/>
            </w:pPr>
            <w:r>
              <w:t>Total other income (expense)</w:t>
            </w:r>
          </w:p>
        </w:tc>
        <w:tc>
          <w:tcPr>
            <w:tcW w:w="1530" w:type="dxa"/>
            <w:tcBorders>
              <w:top w:val="single" w:sz="4" w:space="0" w:color="auto"/>
            </w:tcBorders>
          </w:tcPr>
          <w:p w14:paraId="548D3383" w14:textId="64E2D875" w:rsidR="00692D9E" w:rsidRPr="000D3DC5" w:rsidRDefault="00692D9E" w:rsidP="00692D9E">
            <w:pPr>
              <w:tabs>
                <w:tab w:val="decimal" w:pos="1137"/>
                <w:tab w:val="right" w:pos="9180"/>
              </w:tabs>
              <w:ind w:right="-18"/>
            </w:pPr>
            <w:r>
              <w:tab/>
            </w:r>
            <w:r w:rsidR="004E4958">
              <w:t>(134,337)</w:t>
            </w:r>
          </w:p>
        </w:tc>
        <w:tc>
          <w:tcPr>
            <w:tcW w:w="270" w:type="dxa"/>
          </w:tcPr>
          <w:p w14:paraId="47FE19BB" w14:textId="77777777" w:rsidR="00692D9E" w:rsidRPr="000D3DC5" w:rsidRDefault="00692D9E" w:rsidP="00692D9E">
            <w:pPr>
              <w:tabs>
                <w:tab w:val="right" w:pos="9180"/>
              </w:tabs>
              <w:ind w:right="-360"/>
            </w:pPr>
          </w:p>
        </w:tc>
        <w:tc>
          <w:tcPr>
            <w:tcW w:w="1440" w:type="dxa"/>
            <w:tcBorders>
              <w:top w:val="single" w:sz="4" w:space="0" w:color="auto"/>
            </w:tcBorders>
          </w:tcPr>
          <w:p w14:paraId="7A2DFF69" w14:textId="01152AA1" w:rsidR="00692D9E" w:rsidRPr="000D3DC5" w:rsidRDefault="00692D9E" w:rsidP="00692D9E">
            <w:pPr>
              <w:tabs>
                <w:tab w:val="decimal" w:pos="1043"/>
                <w:tab w:val="right" w:pos="9180"/>
              </w:tabs>
              <w:ind w:right="-46"/>
            </w:pPr>
            <w:r>
              <w:tab/>
            </w:r>
            <w:r w:rsidR="003D37A9">
              <w:t>1,506</w:t>
            </w:r>
          </w:p>
        </w:tc>
        <w:tc>
          <w:tcPr>
            <w:tcW w:w="450" w:type="dxa"/>
          </w:tcPr>
          <w:p w14:paraId="51AC4F3D" w14:textId="77777777" w:rsidR="00692D9E" w:rsidRPr="000D3DC5" w:rsidRDefault="00692D9E" w:rsidP="00692D9E">
            <w:pPr>
              <w:tabs>
                <w:tab w:val="right" w:pos="9180"/>
              </w:tabs>
              <w:ind w:right="-360"/>
            </w:pPr>
          </w:p>
        </w:tc>
        <w:tc>
          <w:tcPr>
            <w:tcW w:w="1440" w:type="dxa"/>
            <w:tcBorders>
              <w:top w:val="single" w:sz="4" w:space="0" w:color="auto"/>
            </w:tcBorders>
          </w:tcPr>
          <w:p w14:paraId="5A68A6CF" w14:textId="6E63D892" w:rsidR="00692D9E" w:rsidRPr="000D3DC5" w:rsidRDefault="00692D9E" w:rsidP="00692D9E">
            <w:pPr>
              <w:tabs>
                <w:tab w:val="decimal" w:pos="1042"/>
                <w:tab w:val="right" w:pos="9180"/>
              </w:tabs>
              <w:ind w:right="-18"/>
            </w:pPr>
            <w:r>
              <w:tab/>
            </w:r>
            <w:r w:rsidR="00670470">
              <w:t>(141,820)</w:t>
            </w:r>
          </w:p>
        </w:tc>
        <w:tc>
          <w:tcPr>
            <w:tcW w:w="270" w:type="dxa"/>
          </w:tcPr>
          <w:p w14:paraId="7BD43042" w14:textId="77777777" w:rsidR="00692D9E" w:rsidRPr="000D3DC5" w:rsidRDefault="00692D9E" w:rsidP="00692D9E">
            <w:pPr>
              <w:tabs>
                <w:tab w:val="right" w:pos="9180"/>
              </w:tabs>
              <w:ind w:right="-360"/>
            </w:pPr>
          </w:p>
        </w:tc>
        <w:tc>
          <w:tcPr>
            <w:tcW w:w="1530" w:type="dxa"/>
            <w:tcBorders>
              <w:top w:val="single" w:sz="4" w:space="0" w:color="auto"/>
            </w:tcBorders>
          </w:tcPr>
          <w:p w14:paraId="164C44BF" w14:textId="6BB33EC7" w:rsidR="00692D9E" w:rsidRPr="000D3DC5" w:rsidRDefault="00692D9E" w:rsidP="00692D9E">
            <w:pPr>
              <w:tabs>
                <w:tab w:val="decimal" w:pos="1140"/>
                <w:tab w:val="right" w:pos="9180"/>
              </w:tabs>
              <w:ind w:right="-18"/>
            </w:pPr>
            <w:r>
              <w:tab/>
            </w:r>
            <w:r w:rsidR="003D37A9">
              <w:t>1,390</w:t>
            </w:r>
          </w:p>
        </w:tc>
      </w:tr>
      <w:tr w:rsidR="00692D9E" w:rsidRPr="000D3DC5" w14:paraId="557F12E8" w14:textId="77777777" w:rsidTr="00692D9E">
        <w:tc>
          <w:tcPr>
            <w:tcW w:w="378" w:type="dxa"/>
          </w:tcPr>
          <w:p w14:paraId="29944563" w14:textId="77777777" w:rsidR="00692D9E" w:rsidRPr="000D3DC5" w:rsidRDefault="00692D9E" w:rsidP="00692D9E">
            <w:pPr>
              <w:ind w:right="-360"/>
            </w:pPr>
          </w:p>
        </w:tc>
        <w:tc>
          <w:tcPr>
            <w:tcW w:w="450" w:type="dxa"/>
          </w:tcPr>
          <w:p w14:paraId="3836B09F" w14:textId="77777777" w:rsidR="00692D9E" w:rsidRPr="000D3DC5" w:rsidRDefault="00692D9E" w:rsidP="00692D9E">
            <w:pPr>
              <w:ind w:right="-360"/>
            </w:pPr>
          </w:p>
        </w:tc>
        <w:tc>
          <w:tcPr>
            <w:tcW w:w="450" w:type="dxa"/>
          </w:tcPr>
          <w:p w14:paraId="25228C72" w14:textId="77777777" w:rsidR="00692D9E" w:rsidRPr="000D3DC5" w:rsidRDefault="00692D9E" w:rsidP="00692D9E">
            <w:pPr>
              <w:ind w:right="-360"/>
            </w:pPr>
          </w:p>
        </w:tc>
        <w:tc>
          <w:tcPr>
            <w:tcW w:w="2160" w:type="dxa"/>
          </w:tcPr>
          <w:p w14:paraId="3972AC3C" w14:textId="77777777" w:rsidR="00692D9E" w:rsidRPr="000D3DC5" w:rsidRDefault="00692D9E" w:rsidP="00692D9E">
            <w:pPr>
              <w:tabs>
                <w:tab w:val="right" w:pos="9180"/>
              </w:tabs>
              <w:ind w:right="-360"/>
            </w:pPr>
          </w:p>
        </w:tc>
        <w:tc>
          <w:tcPr>
            <w:tcW w:w="1530" w:type="dxa"/>
            <w:tcBorders>
              <w:top w:val="single" w:sz="4" w:space="0" w:color="auto"/>
            </w:tcBorders>
          </w:tcPr>
          <w:p w14:paraId="7F4643D3" w14:textId="77777777" w:rsidR="00692D9E" w:rsidRPr="000D3DC5" w:rsidRDefault="00692D9E" w:rsidP="00692D9E">
            <w:pPr>
              <w:tabs>
                <w:tab w:val="right" w:pos="9180"/>
              </w:tabs>
              <w:ind w:right="-18"/>
            </w:pPr>
          </w:p>
        </w:tc>
        <w:tc>
          <w:tcPr>
            <w:tcW w:w="270" w:type="dxa"/>
          </w:tcPr>
          <w:p w14:paraId="45A4E12D" w14:textId="77777777" w:rsidR="00692D9E" w:rsidRPr="000D3DC5" w:rsidRDefault="00692D9E" w:rsidP="00692D9E">
            <w:pPr>
              <w:tabs>
                <w:tab w:val="right" w:pos="9180"/>
              </w:tabs>
              <w:ind w:right="-360"/>
            </w:pPr>
          </w:p>
        </w:tc>
        <w:tc>
          <w:tcPr>
            <w:tcW w:w="1440" w:type="dxa"/>
            <w:tcBorders>
              <w:top w:val="single" w:sz="4" w:space="0" w:color="auto"/>
            </w:tcBorders>
          </w:tcPr>
          <w:p w14:paraId="615F47FF" w14:textId="77777777" w:rsidR="00692D9E" w:rsidRPr="000D3DC5" w:rsidRDefault="00692D9E" w:rsidP="00692D9E">
            <w:pPr>
              <w:tabs>
                <w:tab w:val="right" w:pos="9180"/>
              </w:tabs>
              <w:ind w:right="-46"/>
            </w:pPr>
          </w:p>
        </w:tc>
        <w:tc>
          <w:tcPr>
            <w:tcW w:w="450" w:type="dxa"/>
          </w:tcPr>
          <w:p w14:paraId="1F59FADF" w14:textId="77777777" w:rsidR="00692D9E" w:rsidRPr="000D3DC5" w:rsidRDefault="00692D9E" w:rsidP="00692D9E">
            <w:pPr>
              <w:tabs>
                <w:tab w:val="right" w:pos="9180"/>
              </w:tabs>
              <w:ind w:right="-360"/>
            </w:pPr>
          </w:p>
        </w:tc>
        <w:tc>
          <w:tcPr>
            <w:tcW w:w="1440" w:type="dxa"/>
            <w:tcBorders>
              <w:top w:val="single" w:sz="4" w:space="0" w:color="auto"/>
            </w:tcBorders>
          </w:tcPr>
          <w:p w14:paraId="59FA12CE" w14:textId="77777777" w:rsidR="00692D9E" w:rsidRPr="000D3DC5" w:rsidRDefault="00692D9E" w:rsidP="00692D9E">
            <w:pPr>
              <w:tabs>
                <w:tab w:val="right" w:pos="9180"/>
              </w:tabs>
              <w:ind w:right="-18"/>
            </w:pPr>
          </w:p>
        </w:tc>
        <w:tc>
          <w:tcPr>
            <w:tcW w:w="270" w:type="dxa"/>
          </w:tcPr>
          <w:p w14:paraId="69B041D9" w14:textId="77777777" w:rsidR="00692D9E" w:rsidRPr="000D3DC5" w:rsidRDefault="00692D9E" w:rsidP="00692D9E">
            <w:pPr>
              <w:tabs>
                <w:tab w:val="right" w:pos="9180"/>
              </w:tabs>
              <w:ind w:right="-360"/>
            </w:pPr>
          </w:p>
        </w:tc>
        <w:tc>
          <w:tcPr>
            <w:tcW w:w="1530" w:type="dxa"/>
            <w:tcBorders>
              <w:top w:val="single" w:sz="4" w:space="0" w:color="auto"/>
            </w:tcBorders>
          </w:tcPr>
          <w:p w14:paraId="29DB19F2" w14:textId="77777777" w:rsidR="00692D9E" w:rsidRPr="000D3DC5" w:rsidRDefault="00692D9E" w:rsidP="00692D9E">
            <w:pPr>
              <w:tabs>
                <w:tab w:val="right" w:pos="9180"/>
              </w:tabs>
              <w:ind w:right="-18"/>
            </w:pPr>
          </w:p>
        </w:tc>
      </w:tr>
      <w:tr w:rsidR="00692D9E" w:rsidRPr="000D3DC5" w14:paraId="6BE781C5" w14:textId="77777777" w:rsidTr="00692D9E">
        <w:tc>
          <w:tcPr>
            <w:tcW w:w="3438" w:type="dxa"/>
            <w:gridSpan w:val="4"/>
          </w:tcPr>
          <w:p w14:paraId="07053EC1" w14:textId="77777777" w:rsidR="00692D9E" w:rsidRPr="000D3DC5" w:rsidRDefault="00692D9E" w:rsidP="00692D9E">
            <w:pPr>
              <w:tabs>
                <w:tab w:val="right" w:pos="9180"/>
              </w:tabs>
              <w:ind w:right="-360"/>
            </w:pPr>
            <w:r>
              <w:t>Net loss</w:t>
            </w:r>
          </w:p>
        </w:tc>
        <w:tc>
          <w:tcPr>
            <w:tcW w:w="1530" w:type="dxa"/>
            <w:tcBorders>
              <w:bottom w:val="double" w:sz="4" w:space="0" w:color="auto"/>
            </w:tcBorders>
          </w:tcPr>
          <w:p w14:paraId="6F4517E0" w14:textId="7EED1E5B" w:rsidR="00692D9E" w:rsidRPr="000D3DC5" w:rsidRDefault="00692D9E" w:rsidP="00692D9E">
            <w:pPr>
              <w:tabs>
                <w:tab w:val="decimal" w:pos="1152"/>
                <w:tab w:val="right" w:pos="9180"/>
              </w:tabs>
              <w:ind w:right="-18"/>
            </w:pPr>
            <w:r w:rsidRPr="000D3DC5">
              <w:t>$</w:t>
            </w:r>
            <w:r w:rsidRPr="000D3DC5">
              <w:tab/>
            </w:r>
            <w:r w:rsidR="004E4958">
              <w:t>(570,648</w:t>
            </w:r>
            <w:r w:rsidR="005F710B">
              <w:t>)</w:t>
            </w:r>
          </w:p>
        </w:tc>
        <w:tc>
          <w:tcPr>
            <w:tcW w:w="270" w:type="dxa"/>
          </w:tcPr>
          <w:p w14:paraId="48B1DB32" w14:textId="77777777" w:rsidR="00692D9E" w:rsidRPr="000D3DC5" w:rsidRDefault="00692D9E" w:rsidP="00692D9E">
            <w:pPr>
              <w:tabs>
                <w:tab w:val="right" w:pos="9180"/>
              </w:tabs>
              <w:ind w:right="-360"/>
            </w:pPr>
          </w:p>
        </w:tc>
        <w:tc>
          <w:tcPr>
            <w:tcW w:w="1440" w:type="dxa"/>
            <w:tcBorders>
              <w:bottom w:val="double" w:sz="4" w:space="0" w:color="auto"/>
            </w:tcBorders>
          </w:tcPr>
          <w:p w14:paraId="6A32D984" w14:textId="4B510052" w:rsidR="00692D9E" w:rsidRPr="000D3DC5" w:rsidRDefault="00692D9E" w:rsidP="00692D9E">
            <w:pPr>
              <w:tabs>
                <w:tab w:val="decimal" w:pos="1062"/>
                <w:tab w:val="right" w:pos="9180"/>
              </w:tabs>
              <w:ind w:right="-46"/>
            </w:pPr>
            <w:r>
              <w:t>$</w:t>
            </w:r>
            <w:r>
              <w:tab/>
              <w:t>(</w:t>
            </w:r>
            <w:r w:rsidR="003D37A9">
              <w:t>424,434</w:t>
            </w:r>
            <w:r>
              <w:t>)</w:t>
            </w:r>
          </w:p>
        </w:tc>
        <w:tc>
          <w:tcPr>
            <w:tcW w:w="450" w:type="dxa"/>
          </w:tcPr>
          <w:p w14:paraId="3BCF7A50" w14:textId="77777777" w:rsidR="00692D9E" w:rsidRPr="000D3DC5" w:rsidRDefault="00692D9E" w:rsidP="00692D9E">
            <w:pPr>
              <w:tabs>
                <w:tab w:val="right" w:pos="9180"/>
              </w:tabs>
              <w:ind w:right="-360"/>
            </w:pPr>
          </w:p>
        </w:tc>
        <w:tc>
          <w:tcPr>
            <w:tcW w:w="1440" w:type="dxa"/>
            <w:tcBorders>
              <w:bottom w:val="double" w:sz="4" w:space="0" w:color="auto"/>
            </w:tcBorders>
          </w:tcPr>
          <w:p w14:paraId="21943558" w14:textId="4C8EFAC9" w:rsidR="00692D9E" w:rsidRPr="000D3DC5" w:rsidRDefault="00692D9E" w:rsidP="00692D9E">
            <w:pPr>
              <w:tabs>
                <w:tab w:val="decimal" w:pos="1044"/>
                <w:tab w:val="right" w:pos="9180"/>
              </w:tabs>
              <w:ind w:right="-18"/>
            </w:pPr>
            <w:r w:rsidRPr="000D3DC5">
              <w:t>$</w:t>
            </w:r>
            <w:r w:rsidRPr="000D3DC5">
              <w:tab/>
            </w:r>
            <w:r w:rsidR="00670470">
              <w:t>(1,621,546)</w:t>
            </w:r>
          </w:p>
        </w:tc>
        <w:tc>
          <w:tcPr>
            <w:tcW w:w="270" w:type="dxa"/>
          </w:tcPr>
          <w:p w14:paraId="4DCF221F" w14:textId="77777777" w:rsidR="00692D9E" w:rsidRPr="000D3DC5" w:rsidRDefault="00692D9E" w:rsidP="00692D9E">
            <w:pPr>
              <w:tabs>
                <w:tab w:val="right" w:pos="9180"/>
              </w:tabs>
              <w:ind w:right="-360"/>
            </w:pPr>
          </w:p>
        </w:tc>
        <w:tc>
          <w:tcPr>
            <w:tcW w:w="1530" w:type="dxa"/>
            <w:tcBorders>
              <w:bottom w:val="double" w:sz="4" w:space="0" w:color="auto"/>
            </w:tcBorders>
          </w:tcPr>
          <w:p w14:paraId="1E5CDF19" w14:textId="3B310AC4" w:rsidR="00692D9E" w:rsidRPr="000D3DC5" w:rsidRDefault="00692D9E" w:rsidP="00692D9E">
            <w:pPr>
              <w:tabs>
                <w:tab w:val="decimal" w:pos="1152"/>
                <w:tab w:val="right" w:pos="9180"/>
              </w:tabs>
              <w:ind w:right="-18"/>
            </w:pPr>
            <w:r>
              <w:t>$</w:t>
            </w:r>
            <w:r>
              <w:tab/>
              <w:t>(1,</w:t>
            </w:r>
            <w:r w:rsidR="003D37A9">
              <w:t>780,036</w:t>
            </w:r>
            <w:r>
              <w:t>)</w:t>
            </w:r>
          </w:p>
        </w:tc>
      </w:tr>
      <w:tr w:rsidR="00692D9E" w:rsidRPr="000D3DC5" w14:paraId="2DF28D67" w14:textId="77777777" w:rsidTr="00692D9E">
        <w:tc>
          <w:tcPr>
            <w:tcW w:w="378" w:type="dxa"/>
          </w:tcPr>
          <w:p w14:paraId="2B6A4B8B" w14:textId="77777777" w:rsidR="00692D9E" w:rsidRPr="000D3DC5" w:rsidRDefault="00692D9E" w:rsidP="00692D9E">
            <w:pPr>
              <w:ind w:right="-360"/>
            </w:pPr>
          </w:p>
        </w:tc>
        <w:tc>
          <w:tcPr>
            <w:tcW w:w="450" w:type="dxa"/>
          </w:tcPr>
          <w:p w14:paraId="27E0D968" w14:textId="77777777" w:rsidR="00692D9E" w:rsidRPr="000D3DC5" w:rsidRDefault="00692D9E" w:rsidP="00692D9E">
            <w:pPr>
              <w:ind w:right="-360"/>
            </w:pPr>
          </w:p>
        </w:tc>
        <w:tc>
          <w:tcPr>
            <w:tcW w:w="450" w:type="dxa"/>
          </w:tcPr>
          <w:p w14:paraId="78013050" w14:textId="77777777" w:rsidR="00692D9E" w:rsidRPr="000D3DC5" w:rsidRDefault="00692D9E" w:rsidP="00692D9E">
            <w:pPr>
              <w:ind w:right="-360"/>
            </w:pPr>
          </w:p>
        </w:tc>
        <w:tc>
          <w:tcPr>
            <w:tcW w:w="2160" w:type="dxa"/>
          </w:tcPr>
          <w:p w14:paraId="60A75C7B" w14:textId="77777777" w:rsidR="00692D9E" w:rsidRPr="000D3DC5" w:rsidRDefault="00692D9E" w:rsidP="00692D9E">
            <w:pPr>
              <w:tabs>
                <w:tab w:val="right" w:pos="9180"/>
              </w:tabs>
              <w:ind w:right="-360"/>
            </w:pPr>
          </w:p>
        </w:tc>
        <w:tc>
          <w:tcPr>
            <w:tcW w:w="1530" w:type="dxa"/>
          </w:tcPr>
          <w:p w14:paraId="0F93B86C" w14:textId="77777777" w:rsidR="00692D9E" w:rsidRPr="000D3DC5" w:rsidRDefault="00692D9E" w:rsidP="00692D9E">
            <w:pPr>
              <w:tabs>
                <w:tab w:val="right" w:pos="9180"/>
              </w:tabs>
              <w:ind w:right="-18"/>
            </w:pPr>
          </w:p>
        </w:tc>
        <w:tc>
          <w:tcPr>
            <w:tcW w:w="270" w:type="dxa"/>
          </w:tcPr>
          <w:p w14:paraId="3116C3A1" w14:textId="77777777" w:rsidR="00692D9E" w:rsidRPr="000D3DC5" w:rsidRDefault="00692D9E" w:rsidP="00692D9E">
            <w:pPr>
              <w:tabs>
                <w:tab w:val="right" w:pos="9180"/>
              </w:tabs>
              <w:ind w:right="-360"/>
            </w:pPr>
          </w:p>
        </w:tc>
        <w:tc>
          <w:tcPr>
            <w:tcW w:w="1440" w:type="dxa"/>
          </w:tcPr>
          <w:p w14:paraId="515BBA66" w14:textId="77777777" w:rsidR="00692D9E" w:rsidRPr="000D3DC5" w:rsidRDefault="00692D9E" w:rsidP="00692D9E">
            <w:pPr>
              <w:tabs>
                <w:tab w:val="right" w:pos="9180"/>
              </w:tabs>
              <w:ind w:right="-46"/>
            </w:pPr>
          </w:p>
        </w:tc>
        <w:tc>
          <w:tcPr>
            <w:tcW w:w="450" w:type="dxa"/>
          </w:tcPr>
          <w:p w14:paraId="470ABCC3" w14:textId="77777777" w:rsidR="00692D9E" w:rsidRPr="000D3DC5" w:rsidRDefault="00692D9E" w:rsidP="00692D9E">
            <w:pPr>
              <w:tabs>
                <w:tab w:val="right" w:pos="9180"/>
              </w:tabs>
              <w:ind w:right="-360"/>
            </w:pPr>
          </w:p>
        </w:tc>
        <w:tc>
          <w:tcPr>
            <w:tcW w:w="1440" w:type="dxa"/>
          </w:tcPr>
          <w:p w14:paraId="01F8594A" w14:textId="77777777" w:rsidR="00692D9E" w:rsidRPr="000D3DC5" w:rsidRDefault="00692D9E" w:rsidP="00692D9E">
            <w:pPr>
              <w:tabs>
                <w:tab w:val="right" w:pos="9180"/>
              </w:tabs>
              <w:ind w:right="-18"/>
            </w:pPr>
          </w:p>
        </w:tc>
        <w:tc>
          <w:tcPr>
            <w:tcW w:w="270" w:type="dxa"/>
          </w:tcPr>
          <w:p w14:paraId="2F861432" w14:textId="77777777" w:rsidR="00692D9E" w:rsidRPr="000D3DC5" w:rsidRDefault="00692D9E" w:rsidP="00692D9E">
            <w:pPr>
              <w:tabs>
                <w:tab w:val="right" w:pos="9180"/>
              </w:tabs>
              <w:ind w:right="-360"/>
            </w:pPr>
          </w:p>
        </w:tc>
        <w:tc>
          <w:tcPr>
            <w:tcW w:w="1530" w:type="dxa"/>
          </w:tcPr>
          <w:p w14:paraId="45C1915E" w14:textId="77777777" w:rsidR="00692D9E" w:rsidRPr="000D3DC5" w:rsidRDefault="00692D9E" w:rsidP="00692D9E">
            <w:pPr>
              <w:tabs>
                <w:tab w:val="right" w:pos="9180"/>
              </w:tabs>
              <w:ind w:right="-18"/>
            </w:pPr>
          </w:p>
        </w:tc>
      </w:tr>
      <w:tr w:rsidR="00692D9E" w:rsidRPr="000D3DC5" w14:paraId="59D41153" w14:textId="77777777" w:rsidTr="00692D9E">
        <w:tc>
          <w:tcPr>
            <w:tcW w:w="3438" w:type="dxa"/>
            <w:gridSpan w:val="4"/>
          </w:tcPr>
          <w:p w14:paraId="4D27827B" w14:textId="77777777" w:rsidR="00692D9E" w:rsidRPr="000D3DC5" w:rsidRDefault="00692D9E" w:rsidP="00692D9E">
            <w:pPr>
              <w:tabs>
                <w:tab w:val="right" w:pos="9180"/>
              </w:tabs>
              <w:ind w:right="-360"/>
            </w:pPr>
            <w:r w:rsidRPr="000D3DC5">
              <w:t>Basic and diluted:</w:t>
            </w:r>
          </w:p>
        </w:tc>
        <w:tc>
          <w:tcPr>
            <w:tcW w:w="1530" w:type="dxa"/>
          </w:tcPr>
          <w:p w14:paraId="7FC58F42" w14:textId="77777777" w:rsidR="00692D9E" w:rsidRPr="000D3DC5" w:rsidRDefault="00692D9E" w:rsidP="00692D9E">
            <w:pPr>
              <w:tabs>
                <w:tab w:val="decimal" w:pos="792"/>
                <w:tab w:val="right" w:pos="9180"/>
              </w:tabs>
              <w:ind w:right="-18"/>
            </w:pPr>
          </w:p>
        </w:tc>
        <w:tc>
          <w:tcPr>
            <w:tcW w:w="270" w:type="dxa"/>
          </w:tcPr>
          <w:p w14:paraId="5915CA5D" w14:textId="77777777" w:rsidR="00692D9E" w:rsidRPr="000D3DC5" w:rsidRDefault="00692D9E" w:rsidP="00692D9E">
            <w:pPr>
              <w:tabs>
                <w:tab w:val="right" w:pos="9180"/>
              </w:tabs>
              <w:ind w:right="-360"/>
            </w:pPr>
          </w:p>
        </w:tc>
        <w:tc>
          <w:tcPr>
            <w:tcW w:w="1440" w:type="dxa"/>
          </w:tcPr>
          <w:p w14:paraId="34014780" w14:textId="77777777" w:rsidR="00692D9E" w:rsidRPr="00F31ABA" w:rsidRDefault="00692D9E" w:rsidP="00692D9E">
            <w:pPr>
              <w:tabs>
                <w:tab w:val="decimal" w:pos="612"/>
                <w:tab w:val="right" w:pos="9180"/>
              </w:tabs>
              <w:ind w:right="-46"/>
            </w:pPr>
          </w:p>
        </w:tc>
        <w:tc>
          <w:tcPr>
            <w:tcW w:w="450" w:type="dxa"/>
          </w:tcPr>
          <w:p w14:paraId="3020BAB0" w14:textId="77777777" w:rsidR="00692D9E" w:rsidRPr="00F31ABA" w:rsidRDefault="00692D9E" w:rsidP="00692D9E">
            <w:pPr>
              <w:tabs>
                <w:tab w:val="right" w:pos="9180"/>
              </w:tabs>
              <w:ind w:right="-360"/>
            </w:pPr>
          </w:p>
        </w:tc>
        <w:tc>
          <w:tcPr>
            <w:tcW w:w="1440" w:type="dxa"/>
          </w:tcPr>
          <w:p w14:paraId="72A6CCD3" w14:textId="77777777" w:rsidR="00692D9E" w:rsidRPr="00F31ABA" w:rsidRDefault="00692D9E" w:rsidP="00692D9E">
            <w:pPr>
              <w:tabs>
                <w:tab w:val="decimal" w:pos="792"/>
                <w:tab w:val="right" w:pos="9180"/>
              </w:tabs>
              <w:ind w:right="-18"/>
            </w:pPr>
          </w:p>
        </w:tc>
        <w:tc>
          <w:tcPr>
            <w:tcW w:w="270" w:type="dxa"/>
          </w:tcPr>
          <w:p w14:paraId="040CA129" w14:textId="77777777" w:rsidR="00692D9E" w:rsidRPr="00F31ABA" w:rsidRDefault="00692D9E" w:rsidP="00692D9E">
            <w:pPr>
              <w:tabs>
                <w:tab w:val="right" w:pos="9180"/>
              </w:tabs>
              <w:ind w:right="-360"/>
            </w:pPr>
          </w:p>
        </w:tc>
        <w:tc>
          <w:tcPr>
            <w:tcW w:w="1530" w:type="dxa"/>
          </w:tcPr>
          <w:p w14:paraId="738F4196" w14:textId="77777777" w:rsidR="00692D9E" w:rsidRPr="00F31ABA" w:rsidRDefault="00692D9E" w:rsidP="00692D9E">
            <w:pPr>
              <w:tabs>
                <w:tab w:val="decimal" w:pos="702"/>
                <w:tab w:val="right" w:pos="9180"/>
              </w:tabs>
              <w:ind w:right="-18"/>
            </w:pPr>
          </w:p>
        </w:tc>
      </w:tr>
      <w:tr w:rsidR="00692D9E" w:rsidRPr="000D3DC5" w14:paraId="7CAB980D" w14:textId="77777777" w:rsidTr="00692D9E">
        <w:tc>
          <w:tcPr>
            <w:tcW w:w="3438" w:type="dxa"/>
            <w:gridSpan w:val="4"/>
          </w:tcPr>
          <w:p w14:paraId="37A9847B" w14:textId="6674CE73" w:rsidR="00692D9E" w:rsidRPr="00342196" w:rsidRDefault="00692D9E" w:rsidP="00692D9E">
            <w:pPr>
              <w:tabs>
                <w:tab w:val="right" w:pos="9180"/>
              </w:tabs>
              <w:ind w:right="-360"/>
            </w:pPr>
            <w:r>
              <w:t xml:space="preserve">  </w:t>
            </w:r>
            <w:r w:rsidR="001B5554">
              <w:t>Net l</w:t>
            </w:r>
            <w:r w:rsidRPr="00342196">
              <w:t>oss per common share</w:t>
            </w:r>
          </w:p>
        </w:tc>
        <w:tc>
          <w:tcPr>
            <w:tcW w:w="1530" w:type="dxa"/>
          </w:tcPr>
          <w:p w14:paraId="7D4C28AA" w14:textId="05153511" w:rsidR="00692D9E" w:rsidRPr="00342196" w:rsidRDefault="00692D9E" w:rsidP="00692D9E">
            <w:pPr>
              <w:tabs>
                <w:tab w:val="decimal" w:pos="882"/>
                <w:tab w:val="right" w:pos="9180"/>
              </w:tabs>
              <w:ind w:right="-18"/>
            </w:pPr>
            <w:r w:rsidRPr="00342196">
              <w:t>$</w:t>
            </w:r>
            <w:r w:rsidRPr="00342196">
              <w:tab/>
            </w:r>
            <w:r w:rsidR="004E4958">
              <w:t>(0.73)</w:t>
            </w:r>
          </w:p>
        </w:tc>
        <w:tc>
          <w:tcPr>
            <w:tcW w:w="270" w:type="dxa"/>
          </w:tcPr>
          <w:p w14:paraId="6DC0F49F" w14:textId="77777777" w:rsidR="00692D9E" w:rsidRPr="00342196" w:rsidRDefault="00692D9E" w:rsidP="00692D9E">
            <w:pPr>
              <w:tabs>
                <w:tab w:val="right" w:pos="9180"/>
              </w:tabs>
              <w:ind w:right="-360"/>
            </w:pPr>
          </w:p>
        </w:tc>
        <w:tc>
          <w:tcPr>
            <w:tcW w:w="1440" w:type="dxa"/>
          </w:tcPr>
          <w:p w14:paraId="1E756323" w14:textId="7C77FA93" w:rsidR="00692D9E" w:rsidRPr="008B4164" w:rsidRDefault="00692D9E" w:rsidP="00692D9E">
            <w:pPr>
              <w:tabs>
                <w:tab w:val="decimal" w:pos="792"/>
                <w:tab w:val="right" w:pos="9180"/>
              </w:tabs>
              <w:ind w:right="-46"/>
            </w:pPr>
            <w:r w:rsidRPr="008B4164">
              <w:t>$</w:t>
            </w:r>
            <w:r w:rsidRPr="008B4164">
              <w:tab/>
            </w:r>
            <w:r w:rsidR="00670470">
              <w:t>(1,282.28)</w:t>
            </w:r>
          </w:p>
        </w:tc>
        <w:tc>
          <w:tcPr>
            <w:tcW w:w="450" w:type="dxa"/>
          </w:tcPr>
          <w:p w14:paraId="1868F46F" w14:textId="77777777" w:rsidR="00692D9E" w:rsidRPr="008B4164" w:rsidRDefault="00692D9E" w:rsidP="00692D9E">
            <w:pPr>
              <w:tabs>
                <w:tab w:val="right" w:pos="9180"/>
              </w:tabs>
              <w:ind w:right="-360"/>
            </w:pPr>
          </w:p>
        </w:tc>
        <w:tc>
          <w:tcPr>
            <w:tcW w:w="1440" w:type="dxa"/>
          </w:tcPr>
          <w:p w14:paraId="0D75FB14" w14:textId="60CEAD4D" w:rsidR="00692D9E" w:rsidRPr="008B4164" w:rsidRDefault="00692D9E" w:rsidP="00692D9E">
            <w:pPr>
              <w:tabs>
                <w:tab w:val="decimal" w:pos="792"/>
                <w:tab w:val="right" w:pos="9180"/>
              </w:tabs>
              <w:ind w:right="-18"/>
            </w:pPr>
            <w:r w:rsidRPr="008B4164">
              <w:t>$</w:t>
            </w:r>
            <w:r w:rsidRPr="008B4164">
              <w:tab/>
            </w:r>
            <w:r w:rsidR="00670470">
              <w:t>(2.85)</w:t>
            </w:r>
          </w:p>
        </w:tc>
        <w:tc>
          <w:tcPr>
            <w:tcW w:w="270" w:type="dxa"/>
          </w:tcPr>
          <w:p w14:paraId="022DDCF3" w14:textId="77777777" w:rsidR="00692D9E" w:rsidRPr="008B4164" w:rsidRDefault="00692D9E" w:rsidP="00692D9E">
            <w:pPr>
              <w:tabs>
                <w:tab w:val="right" w:pos="9180"/>
              </w:tabs>
              <w:ind w:right="-360"/>
            </w:pPr>
          </w:p>
        </w:tc>
        <w:tc>
          <w:tcPr>
            <w:tcW w:w="1530" w:type="dxa"/>
          </w:tcPr>
          <w:p w14:paraId="34820FF9" w14:textId="6783AD3E" w:rsidR="00692D9E" w:rsidRPr="008B4164" w:rsidRDefault="00692D9E" w:rsidP="00692D9E">
            <w:pPr>
              <w:tabs>
                <w:tab w:val="decimal" w:pos="882"/>
                <w:tab w:val="right" w:pos="9180"/>
              </w:tabs>
              <w:ind w:right="-18"/>
            </w:pPr>
            <w:r w:rsidRPr="008B4164">
              <w:t>$</w:t>
            </w:r>
            <w:r w:rsidRPr="008B4164">
              <w:tab/>
            </w:r>
            <w:r w:rsidR="00670470">
              <w:t>(14,016.03)</w:t>
            </w:r>
          </w:p>
        </w:tc>
      </w:tr>
      <w:tr w:rsidR="00692D9E" w:rsidRPr="000D3DC5" w14:paraId="4EF09A5D" w14:textId="77777777" w:rsidTr="00692D9E">
        <w:tc>
          <w:tcPr>
            <w:tcW w:w="3438" w:type="dxa"/>
            <w:gridSpan w:val="4"/>
          </w:tcPr>
          <w:p w14:paraId="5DF51E56" w14:textId="2A20F881" w:rsidR="00692D9E" w:rsidRPr="000D3DC5" w:rsidRDefault="00692D9E" w:rsidP="00692D9E">
            <w:pPr>
              <w:tabs>
                <w:tab w:val="right" w:pos="9180"/>
              </w:tabs>
              <w:ind w:right="-360"/>
            </w:pPr>
            <w:r>
              <w:t xml:space="preserve">  Weighted average shares outstanding</w:t>
            </w:r>
          </w:p>
        </w:tc>
        <w:tc>
          <w:tcPr>
            <w:tcW w:w="1530" w:type="dxa"/>
          </w:tcPr>
          <w:p w14:paraId="1F99AD93" w14:textId="3C847975" w:rsidR="00692D9E" w:rsidRPr="000D3DC5" w:rsidRDefault="00692D9E" w:rsidP="00692D9E">
            <w:pPr>
              <w:tabs>
                <w:tab w:val="decimal" w:pos="1152"/>
                <w:tab w:val="right" w:pos="9180"/>
              </w:tabs>
              <w:ind w:right="-18"/>
            </w:pPr>
            <w:r>
              <w:tab/>
            </w:r>
            <w:r w:rsidR="004E4958">
              <w:t>782,978</w:t>
            </w:r>
          </w:p>
        </w:tc>
        <w:tc>
          <w:tcPr>
            <w:tcW w:w="270" w:type="dxa"/>
          </w:tcPr>
          <w:p w14:paraId="65A49C31" w14:textId="77777777" w:rsidR="00692D9E" w:rsidRPr="000D3DC5" w:rsidRDefault="00692D9E" w:rsidP="00692D9E">
            <w:pPr>
              <w:tabs>
                <w:tab w:val="right" w:pos="9180"/>
              </w:tabs>
              <w:ind w:right="-360"/>
            </w:pPr>
          </w:p>
        </w:tc>
        <w:tc>
          <w:tcPr>
            <w:tcW w:w="1440" w:type="dxa"/>
          </w:tcPr>
          <w:p w14:paraId="7709020D" w14:textId="5F79E5B9" w:rsidR="00692D9E" w:rsidRPr="008B4164" w:rsidRDefault="00692D9E" w:rsidP="00692D9E">
            <w:pPr>
              <w:tabs>
                <w:tab w:val="decimal" w:pos="1062"/>
                <w:tab w:val="right" w:pos="9180"/>
              </w:tabs>
              <w:ind w:right="-46"/>
            </w:pPr>
            <w:r w:rsidRPr="008B4164">
              <w:tab/>
            </w:r>
            <w:r w:rsidR="004E4958">
              <w:t>331</w:t>
            </w:r>
          </w:p>
        </w:tc>
        <w:tc>
          <w:tcPr>
            <w:tcW w:w="450" w:type="dxa"/>
          </w:tcPr>
          <w:p w14:paraId="2FA0AF66" w14:textId="77777777" w:rsidR="00692D9E" w:rsidRPr="008B4164" w:rsidRDefault="00692D9E" w:rsidP="00692D9E">
            <w:pPr>
              <w:tabs>
                <w:tab w:val="right" w:pos="9180"/>
              </w:tabs>
              <w:ind w:right="-360"/>
            </w:pPr>
          </w:p>
        </w:tc>
        <w:tc>
          <w:tcPr>
            <w:tcW w:w="1440" w:type="dxa"/>
          </w:tcPr>
          <w:p w14:paraId="4275AD80" w14:textId="328FF21E" w:rsidR="00692D9E" w:rsidRPr="008B4164" w:rsidRDefault="00692D9E" w:rsidP="00692D9E">
            <w:pPr>
              <w:tabs>
                <w:tab w:val="decimal" w:pos="1062"/>
                <w:tab w:val="right" w:pos="9180"/>
              </w:tabs>
              <w:ind w:right="-18"/>
            </w:pPr>
            <w:r w:rsidRPr="008B4164">
              <w:tab/>
            </w:r>
            <w:r w:rsidR="00670470">
              <w:t>569,955</w:t>
            </w:r>
          </w:p>
        </w:tc>
        <w:tc>
          <w:tcPr>
            <w:tcW w:w="270" w:type="dxa"/>
          </w:tcPr>
          <w:p w14:paraId="378DF259" w14:textId="77777777" w:rsidR="00692D9E" w:rsidRPr="008B4164" w:rsidRDefault="00692D9E" w:rsidP="00692D9E">
            <w:pPr>
              <w:tabs>
                <w:tab w:val="right" w:pos="9180"/>
              </w:tabs>
              <w:ind w:right="-360"/>
            </w:pPr>
          </w:p>
        </w:tc>
        <w:tc>
          <w:tcPr>
            <w:tcW w:w="1530" w:type="dxa"/>
          </w:tcPr>
          <w:p w14:paraId="5B971AEB" w14:textId="4501C219" w:rsidR="00692D9E" w:rsidRPr="008B4164" w:rsidRDefault="00692D9E" w:rsidP="00692D9E">
            <w:pPr>
              <w:tabs>
                <w:tab w:val="decimal" w:pos="1152"/>
                <w:tab w:val="right" w:pos="9180"/>
              </w:tabs>
              <w:ind w:right="-18"/>
            </w:pPr>
            <w:r w:rsidRPr="008B4164">
              <w:tab/>
            </w:r>
            <w:r w:rsidR="00670470">
              <w:t>127</w:t>
            </w:r>
          </w:p>
        </w:tc>
      </w:tr>
      <w:tr w:rsidR="00692D9E" w:rsidRPr="008F36CA" w14:paraId="6EAE032F" w14:textId="77777777" w:rsidTr="00692D9E">
        <w:tc>
          <w:tcPr>
            <w:tcW w:w="378" w:type="dxa"/>
          </w:tcPr>
          <w:p w14:paraId="7F5EB853" w14:textId="77777777" w:rsidR="00692D9E" w:rsidRPr="008F36CA" w:rsidRDefault="00692D9E" w:rsidP="00692D9E">
            <w:pPr>
              <w:ind w:right="-360"/>
            </w:pPr>
          </w:p>
        </w:tc>
        <w:tc>
          <w:tcPr>
            <w:tcW w:w="450" w:type="dxa"/>
          </w:tcPr>
          <w:p w14:paraId="6FD2407C" w14:textId="77777777" w:rsidR="00692D9E" w:rsidRPr="008F36CA" w:rsidRDefault="00692D9E" w:rsidP="00692D9E">
            <w:pPr>
              <w:ind w:right="-360"/>
            </w:pPr>
          </w:p>
        </w:tc>
        <w:tc>
          <w:tcPr>
            <w:tcW w:w="450" w:type="dxa"/>
          </w:tcPr>
          <w:p w14:paraId="7000CA75" w14:textId="77777777" w:rsidR="00692D9E" w:rsidRPr="008F36CA" w:rsidRDefault="00692D9E" w:rsidP="00692D9E">
            <w:pPr>
              <w:ind w:right="-360"/>
            </w:pPr>
          </w:p>
        </w:tc>
        <w:tc>
          <w:tcPr>
            <w:tcW w:w="2160" w:type="dxa"/>
          </w:tcPr>
          <w:p w14:paraId="6963DC9E" w14:textId="77777777" w:rsidR="00692D9E" w:rsidRPr="008F36CA" w:rsidRDefault="00692D9E" w:rsidP="00692D9E">
            <w:pPr>
              <w:tabs>
                <w:tab w:val="right" w:pos="9180"/>
              </w:tabs>
              <w:ind w:right="-360"/>
            </w:pPr>
          </w:p>
        </w:tc>
        <w:tc>
          <w:tcPr>
            <w:tcW w:w="1530" w:type="dxa"/>
          </w:tcPr>
          <w:p w14:paraId="37138BD1" w14:textId="77777777" w:rsidR="00692D9E" w:rsidRPr="008F36CA" w:rsidRDefault="00692D9E" w:rsidP="00692D9E">
            <w:pPr>
              <w:tabs>
                <w:tab w:val="right" w:pos="9180"/>
              </w:tabs>
              <w:ind w:right="-18"/>
            </w:pPr>
          </w:p>
        </w:tc>
        <w:tc>
          <w:tcPr>
            <w:tcW w:w="270" w:type="dxa"/>
          </w:tcPr>
          <w:p w14:paraId="03E7926B" w14:textId="77777777" w:rsidR="00692D9E" w:rsidRPr="008F36CA" w:rsidRDefault="00692D9E" w:rsidP="00692D9E">
            <w:pPr>
              <w:tabs>
                <w:tab w:val="right" w:pos="9180"/>
              </w:tabs>
              <w:ind w:right="-360"/>
            </w:pPr>
          </w:p>
        </w:tc>
        <w:tc>
          <w:tcPr>
            <w:tcW w:w="1440" w:type="dxa"/>
          </w:tcPr>
          <w:p w14:paraId="65E8BCE7" w14:textId="77777777" w:rsidR="00692D9E" w:rsidRPr="00F31ABA" w:rsidRDefault="00692D9E" w:rsidP="00692D9E">
            <w:pPr>
              <w:tabs>
                <w:tab w:val="right" w:pos="9180"/>
              </w:tabs>
              <w:ind w:right="-46"/>
            </w:pPr>
          </w:p>
        </w:tc>
        <w:tc>
          <w:tcPr>
            <w:tcW w:w="450" w:type="dxa"/>
          </w:tcPr>
          <w:p w14:paraId="2CA3E64D" w14:textId="77777777" w:rsidR="00692D9E" w:rsidRPr="00F31ABA" w:rsidRDefault="00692D9E" w:rsidP="00692D9E">
            <w:pPr>
              <w:tabs>
                <w:tab w:val="right" w:pos="9180"/>
              </w:tabs>
              <w:ind w:right="-360"/>
            </w:pPr>
          </w:p>
        </w:tc>
        <w:tc>
          <w:tcPr>
            <w:tcW w:w="1440" w:type="dxa"/>
          </w:tcPr>
          <w:p w14:paraId="26C6DF88" w14:textId="77777777" w:rsidR="00692D9E" w:rsidRPr="00F31ABA" w:rsidRDefault="00692D9E" w:rsidP="00692D9E">
            <w:pPr>
              <w:tabs>
                <w:tab w:val="right" w:pos="9180"/>
              </w:tabs>
              <w:ind w:right="-18"/>
            </w:pPr>
          </w:p>
        </w:tc>
        <w:tc>
          <w:tcPr>
            <w:tcW w:w="270" w:type="dxa"/>
          </w:tcPr>
          <w:p w14:paraId="367A29CA" w14:textId="77777777" w:rsidR="00692D9E" w:rsidRPr="00F31ABA" w:rsidRDefault="00692D9E" w:rsidP="00692D9E">
            <w:pPr>
              <w:tabs>
                <w:tab w:val="right" w:pos="9180"/>
              </w:tabs>
              <w:ind w:right="-360"/>
            </w:pPr>
          </w:p>
        </w:tc>
        <w:tc>
          <w:tcPr>
            <w:tcW w:w="1530" w:type="dxa"/>
          </w:tcPr>
          <w:p w14:paraId="07A20BDE" w14:textId="77777777" w:rsidR="00692D9E" w:rsidRPr="00F31ABA" w:rsidRDefault="00692D9E" w:rsidP="00692D9E">
            <w:pPr>
              <w:tabs>
                <w:tab w:val="right" w:pos="9180"/>
              </w:tabs>
              <w:ind w:right="-18"/>
            </w:pPr>
          </w:p>
        </w:tc>
      </w:tr>
      <w:tr w:rsidR="00692D9E" w:rsidRPr="000D3DC5" w14:paraId="1AA4EA91" w14:textId="77777777" w:rsidTr="00692D9E">
        <w:tc>
          <w:tcPr>
            <w:tcW w:w="378" w:type="dxa"/>
          </w:tcPr>
          <w:p w14:paraId="24BD237A" w14:textId="77777777" w:rsidR="00692D9E" w:rsidRPr="000D3DC5" w:rsidRDefault="00692D9E" w:rsidP="00692D9E">
            <w:pPr>
              <w:ind w:right="-360"/>
            </w:pPr>
          </w:p>
        </w:tc>
        <w:tc>
          <w:tcPr>
            <w:tcW w:w="450" w:type="dxa"/>
          </w:tcPr>
          <w:p w14:paraId="0706CD79" w14:textId="77777777" w:rsidR="00692D9E" w:rsidRPr="000D3DC5" w:rsidRDefault="00692D9E" w:rsidP="00692D9E">
            <w:pPr>
              <w:ind w:right="-360"/>
            </w:pPr>
          </w:p>
        </w:tc>
        <w:tc>
          <w:tcPr>
            <w:tcW w:w="450" w:type="dxa"/>
          </w:tcPr>
          <w:p w14:paraId="2B055FBE" w14:textId="77777777" w:rsidR="00692D9E" w:rsidRPr="000D3DC5" w:rsidRDefault="00692D9E" w:rsidP="00692D9E">
            <w:pPr>
              <w:ind w:right="-360"/>
            </w:pPr>
          </w:p>
        </w:tc>
        <w:tc>
          <w:tcPr>
            <w:tcW w:w="2160" w:type="dxa"/>
          </w:tcPr>
          <w:p w14:paraId="0836CC20" w14:textId="77777777" w:rsidR="00692D9E" w:rsidRPr="000D3DC5" w:rsidRDefault="00692D9E" w:rsidP="00692D9E">
            <w:pPr>
              <w:tabs>
                <w:tab w:val="right" w:pos="9180"/>
              </w:tabs>
              <w:ind w:right="-360"/>
            </w:pPr>
          </w:p>
        </w:tc>
        <w:tc>
          <w:tcPr>
            <w:tcW w:w="1530" w:type="dxa"/>
          </w:tcPr>
          <w:p w14:paraId="3941A1C5" w14:textId="77777777" w:rsidR="00692D9E" w:rsidRPr="000D3DC5" w:rsidRDefault="00692D9E" w:rsidP="00692D9E">
            <w:pPr>
              <w:tabs>
                <w:tab w:val="right" w:pos="9180"/>
              </w:tabs>
              <w:ind w:right="-18"/>
            </w:pPr>
          </w:p>
        </w:tc>
        <w:tc>
          <w:tcPr>
            <w:tcW w:w="270" w:type="dxa"/>
          </w:tcPr>
          <w:p w14:paraId="25E7DA9C" w14:textId="77777777" w:rsidR="00692D9E" w:rsidRPr="000D3DC5" w:rsidRDefault="00692D9E" w:rsidP="00692D9E">
            <w:pPr>
              <w:tabs>
                <w:tab w:val="right" w:pos="9180"/>
              </w:tabs>
              <w:ind w:right="-360"/>
            </w:pPr>
          </w:p>
        </w:tc>
        <w:tc>
          <w:tcPr>
            <w:tcW w:w="1440" w:type="dxa"/>
          </w:tcPr>
          <w:p w14:paraId="4ABA568E" w14:textId="77777777" w:rsidR="00692D9E" w:rsidRPr="000D3DC5" w:rsidRDefault="00692D9E" w:rsidP="00692D9E">
            <w:pPr>
              <w:tabs>
                <w:tab w:val="right" w:pos="9180"/>
              </w:tabs>
              <w:ind w:right="-46"/>
            </w:pPr>
          </w:p>
        </w:tc>
        <w:tc>
          <w:tcPr>
            <w:tcW w:w="450" w:type="dxa"/>
          </w:tcPr>
          <w:p w14:paraId="69977527" w14:textId="77777777" w:rsidR="00692D9E" w:rsidRPr="000D3DC5" w:rsidRDefault="00692D9E" w:rsidP="00692D9E">
            <w:pPr>
              <w:tabs>
                <w:tab w:val="right" w:pos="9180"/>
              </w:tabs>
              <w:ind w:right="-360"/>
            </w:pPr>
          </w:p>
        </w:tc>
        <w:tc>
          <w:tcPr>
            <w:tcW w:w="1440" w:type="dxa"/>
          </w:tcPr>
          <w:p w14:paraId="727644C3" w14:textId="77777777" w:rsidR="00692D9E" w:rsidRPr="000D3DC5" w:rsidRDefault="00692D9E" w:rsidP="00692D9E">
            <w:pPr>
              <w:tabs>
                <w:tab w:val="right" w:pos="9180"/>
              </w:tabs>
              <w:ind w:right="-18"/>
            </w:pPr>
          </w:p>
        </w:tc>
        <w:tc>
          <w:tcPr>
            <w:tcW w:w="270" w:type="dxa"/>
          </w:tcPr>
          <w:p w14:paraId="3E38E6C0" w14:textId="77777777" w:rsidR="00692D9E" w:rsidRPr="000D3DC5" w:rsidRDefault="00692D9E" w:rsidP="00692D9E">
            <w:pPr>
              <w:tabs>
                <w:tab w:val="right" w:pos="9180"/>
              </w:tabs>
              <w:ind w:right="-360"/>
            </w:pPr>
          </w:p>
        </w:tc>
        <w:tc>
          <w:tcPr>
            <w:tcW w:w="1530" w:type="dxa"/>
          </w:tcPr>
          <w:p w14:paraId="27F91B9C" w14:textId="77777777" w:rsidR="00692D9E" w:rsidRPr="000D3DC5" w:rsidRDefault="00692D9E" w:rsidP="00692D9E">
            <w:pPr>
              <w:tabs>
                <w:tab w:val="right" w:pos="9180"/>
              </w:tabs>
              <w:ind w:right="-18"/>
            </w:pPr>
          </w:p>
        </w:tc>
      </w:tr>
    </w:tbl>
    <w:p w14:paraId="43C78DAC" w14:textId="77777777" w:rsidR="00692D9E" w:rsidRPr="00BA4187" w:rsidRDefault="00692D9E" w:rsidP="00692D9E">
      <w:pPr>
        <w:tabs>
          <w:tab w:val="left" w:pos="1080"/>
          <w:tab w:val="left" w:pos="1260"/>
          <w:tab w:val="left" w:pos="2340"/>
          <w:tab w:val="right" w:pos="9180"/>
        </w:tabs>
        <w:ind w:right="-360"/>
        <w:jc w:val="center"/>
      </w:pPr>
    </w:p>
    <w:p w14:paraId="5992E6E2" w14:textId="77777777" w:rsidR="00692D9E" w:rsidRPr="00BA4187" w:rsidRDefault="00692D9E" w:rsidP="00692D9E">
      <w:pPr>
        <w:tabs>
          <w:tab w:val="left" w:pos="1080"/>
          <w:tab w:val="left" w:pos="1260"/>
          <w:tab w:val="left" w:pos="2340"/>
          <w:tab w:val="right" w:pos="9180"/>
        </w:tabs>
        <w:ind w:right="-360"/>
        <w:jc w:val="center"/>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5"/>
          <w:headerReference w:type="default" r:id="rId16"/>
          <w:footerReference w:type="default" r:id="rId17"/>
          <w:headerReference w:type="first" r:id="rId18"/>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bookmarkStart w:id="8" w:name="_Hlk53149054"/>
      <w:r w:rsidRPr="00487CAB">
        <w:rPr>
          <w:b/>
        </w:rPr>
        <w:lastRenderedPageBreak/>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bookmarkEnd w:id="8"/>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9" w:name="_Hlk36562604"/>
    </w:p>
    <w:bookmarkEnd w:id="9"/>
    <w:p w14:paraId="14A426FD" w14:textId="787861CB" w:rsidR="008D0F89" w:rsidRDefault="008D0F89" w:rsidP="004F479E">
      <w:pPr>
        <w:tabs>
          <w:tab w:val="decimal" w:pos="1152"/>
          <w:tab w:val="left" w:pos="2340"/>
          <w:tab w:val="right" w:pos="9180"/>
        </w:tabs>
        <w:rPr>
          <w:snapToGrid w:val="0"/>
          <w:color w:val="000000"/>
          <w:sz w:val="19"/>
          <w:szCs w:val="19"/>
        </w:rPr>
      </w:pPr>
    </w:p>
    <w:tbl>
      <w:tblPr>
        <w:tblStyle w:val="TableGrid2"/>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260"/>
        <w:gridCol w:w="990"/>
        <w:gridCol w:w="990"/>
        <w:gridCol w:w="1440"/>
        <w:gridCol w:w="1350"/>
        <w:gridCol w:w="1790"/>
        <w:gridCol w:w="10"/>
      </w:tblGrid>
      <w:tr w:rsidR="008D0F89" w:rsidRPr="00487CAB" w14:paraId="5DDEFFC3" w14:textId="77777777" w:rsidTr="005F710B">
        <w:trPr>
          <w:gridAfter w:val="1"/>
          <w:wAfter w:w="10" w:type="dxa"/>
        </w:trPr>
        <w:tc>
          <w:tcPr>
            <w:tcW w:w="4320" w:type="dxa"/>
          </w:tcPr>
          <w:p w14:paraId="4D4A95E3" w14:textId="77777777" w:rsidR="008D0F89" w:rsidRPr="00487CAB" w:rsidRDefault="008D0F89" w:rsidP="00D338E8">
            <w:pPr>
              <w:tabs>
                <w:tab w:val="left" w:pos="144"/>
                <w:tab w:val="left" w:pos="324"/>
                <w:tab w:val="right" w:pos="9180"/>
              </w:tabs>
              <w:rPr>
                <w:snapToGrid w:val="0"/>
                <w:color w:val="000000"/>
                <w:sz w:val="19"/>
                <w:szCs w:val="19"/>
              </w:rPr>
            </w:pPr>
          </w:p>
        </w:tc>
        <w:tc>
          <w:tcPr>
            <w:tcW w:w="9080" w:type="dxa"/>
            <w:gridSpan w:val="7"/>
            <w:tcBorders>
              <w:bottom w:val="single" w:sz="4" w:space="0" w:color="auto"/>
            </w:tcBorders>
          </w:tcPr>
          <w:p w14:paraId="416514E2" w14:textId="23B234F4" w:rsidR="008D0F89" w:rsidRPr="00487CAB" w:rsidRDefault="008D0F89" w:rsidP="00D338E8">
            <w:pPr>
              <w:tabs>
                <w:tab w:val="right" w:pos="9180"/>
              </w:tabs>
              <w:jc w:val="center"/>
              <w:rPr>
                <w:snapToGrid w:val="0"/>
                <w:color w:val="000000"/>
                <w:sz w:val="19"/>
                <w:szCs w:val="19"/>
              </w:rPr>
            </w:pPr>
            <w:r>
              <w:rPr>
                <w:snapToGrid w:val="0"/>
                <w:color w:val="000000"/>
                <w:sz w:val="19"/>
                <w:szCs w:val="19"/>
              </w:rPr>
              <w:t>Three</w:t>
            </w:r>
            <w:r w:rsidR="00C861EA">
              <w:rPr>
                <w:snapToGrid w:val="0"/>
                <w:color w:val="000000"/>
                <w:sz w:val="19"/>
                <w:szCs w:val="19"/>
              </w:rPr>
              <w:t>-</w:t>
            </w:r>
            <w:r>
              <w:rPr>
                <w:snapToGrid w:val="0"/>
                <w:color w:val="000000"/>
                <w:sz w:val="19"/>
                <w:szCs w:val="19"/>
              </w:rPr>
              <w:t>Month</w:t>
            </w:r>
            <w:r w:rsidR="00C861EA">
              <w:rPr>
                <w:snapToGrid w:val="0"/>
                <w:color w:val="000000"/>
                <w:sz w:val="19"/>
                <w:szCs w:val="19"/>
              </w:rPr>
              <w:t xml:space="preserve"> and </w:t>
            </w:r>
            <w:r w:rsidR="00C628AB">
              <w:rPr>
                <w:snapToGrid w:val="0"/>
                <w:color w:val="000000"/>
                <w:sz w:val="19"/>
                <w:szCs w:val="19"/>
              </w:rPr>
              <w:t>Nine</w:t>
            </w:r>
            <w:r w:rsidR="00C861EA">
              <w:rPr>
                <w:snapToGrid w:val="0"/>
                <w:color w:val="000000"/>
                <w:sz w:val="19"/>
                <w:szCs w:val="19"/>
              </w:rPr>
              <w:t>-Month Periods</w:t>
            </w:r>
            <w:r>
              <w:rPr>
                <w:snapToGrid w:val="0"/>
                <w:color w:val="000000"/>
                <w:sz w:val="19"/>
                <w:szCs w:val="19"/>
              </w:rPr>
              <w:t xml:space="preserve"> Ended </w:t>
            </w:r>
            <w:r w:rsidR="00C628AB">
              <w:rPr>
                <w:snapToGrid w:val="0"/>
                <w:color w:val="000000"/>
                <w:sz w:val="19"/>
                <w:szCs w:val="19"/>
              </w:rPr>
              <w:t>September</w:t>
            </w:r>
            <w:r>
              <w:rPr>
                <w:snapToGrid w:val="0"/>
                <w:color w:val="000000"/>
                <w:sz w:val="19"/>
                <w:szCs w:val="19"/>
              </w:rPr>
              <w:t xml:space="preserve"> 3</w:t>
            </w:r>
            <w:r w:rsidR="00C861EA">
              <w:rPr>
                <w:snapToGrid w:val="0"/>
                <w:color w:val="000000"/>
                <w:sz w:val="19"/>
                <w:szCs w:val="19"/>
              </w:rPr>
              <w:t>0</w:t>
            </w:r>
            <w:r>
              <w:rPr>
                <w:snapToGrid w:val="0"/>
                <w:color w:val="000000"/>
                <w:sz w:val="19"/>
                <w:szCs w:val="19"/>
              </w:rPr>
              <w:t>, 2020</w:t>
            </w:r>
          </w:p>
        </w:tc>
      </w:tr>
      <w:tr w:rsidR="008D0F89" w:rsidRPr="00487CAB" w14:paraId="75B3C14A" w14:textId="77777777" w:rsidTr="005F710B">
        <w:tc>
          <w:tcPr>
            <w:tcW w:w="4320" w:type="dxa"/>
          </w:tcPr>
          <w:p w14:paraId="08A86678" w14:textId="77777777" w:rsidR="008D0F89" w:rsidRPr="00487CAB" w:rsidRDefault="008D0F89" w:rsidP="00D338E8">
            <w:pPr>
              <w:tabs>
                <w:tab w:val="left" w:pos="144"/>
                <w:tab w:val="left" w:pos="324"/>
                <w:tab w:val="right" w:pos="9180"/>
              </w:tabs>
              <w:rPr>
                <w:snapToGrid w:val="0"/>
                <w:color w:val="000000"/>
                <w:sz w:val="19"/>
                <w:szCs w:val="19"/>
              </w:rPr>
            </w:pPr>
          </w:p>
        </w:tc>
        <w:tc>
          <w:tcPr>
            <w:tcW w:w="2520" w:type="dxa"/>
            <w:gridSpan w:val="2"/>
          </w:tcPr>
          <w:p w14:paraId="3F6FCDB4" w14:textId="77777777" w:rsidR="008D0F89" w:rsidRPr="00487CAB" w:rsidRDefault="008D0F89" w:rsidP="00D338E8">
            <w:pPr>
              <w:tabs>
                <w:tab w:val="left" w:pos="2340"/>
                <w:tab w:val="right" w:pos="9180"/>
              </w:tabs>
              <w:jc w:val="center"/>
              <w:rPr>
                <w:snapToGrid w:val="0"/>
                <w:color w:val="000000"/>
                <w:sz w:val="19"/>
                <w:szCs w:val="19"/>
              </w:rPr>
            </w:pPr>
          </w:p>
        </w:tc>
        <w:tc>
          <w:tcPr>
            <w:tcW w:w="990" w:type="dxa"/>
          </w:tcPr>
          <w:p w14:paraId="3F335080" w14:textId="77777777" w:rsidR="008D0F89" w:rsidRPr="00487CAB" w:rsidRDefault="008D0F89" w:rsidP="00D338E8">
            <w:pPr>
              <w:tabs>
                <w:tab w:val="decimal" w:pos="1148"/>
                <w:tab w:val="right" w:pos="9180"/>
              </w:tabs>
              <w:jc w:val="center"/>
              <w:rPr>
                <w:snapToGrid w:val="0"/>
                <w:color w:val="000000"/>
                <w:sz w:val="19"/>
                <w:szCs w:val="19"/>
              </w:rPr>
            </w:pPr>
          </w:p>
        </w:tc>
        <w:tc>
          <w:tcPr>
            <w:tcW w:w="990" w:type="dxa"/>
          </w:tcPr>
          <w:p w14:paraId="2EA41DBC" w14:textId="77777777" w:rsidR="008D0F89" w:rsidRPr="00487CAB" w:rsidRDefault="008D0F89" w:rsidP="00D338E8">
            <w:pPr>
              <w:tabs>
                <w:tab w:val="decimal" w:pos="1148"/>
                <w:tab w:val="right" w:pos="9180"/>
              </w:tabs>
              <w:jc w:val="center"/>
              <w:rPr>
                <w:snapToGrid w:val="0"/>
                <w:color w:val="000000"/>
                <w:sz w:val="19"/>
                <w:szCs w:val="19"/>
              </w:rPr>
            </w:pPr>
          </w:p>
        </w:tc>
        <w:tc>
          <w:tcPr>
            <w:tcW w:w="1440" w:type="dxa"/>
          </w:tcPr>
          <w:p w14:paraId="691589F7" w14:textId="77777777" w:rsidR="008D0F89" w:rsidRPr="00487CAB" w:rsidRDefault="008D0F89" w:rsidP="00D338E8">
            <w:pPr>
              <w:tabs>
                <w:tab w:val="decimal" w:pos="1148"/>
                <w:tab w:val="right" w:pos="9180"/>
              </w:tabs>
              <w:jc w:val="center"/>
              <w:rPr>
                <w:snapToGrid w:val="0"/>
                <w:color w:val="000000"/>
                <w:sz w:val="19"/>
                <w:szCs w:val="19"/>
              </w:rPr>
            </w:pPr>
          </w:p>
        </w:tc>
        <w:tc>
          <w:tcPr>
            <w:tcW w:w="1350" w:type="dxa"/>
          </w:tcPr>
          <w:p w14:paraId="7A5AAC4F" w14:textId="77777777" w:rsidR="008D0F89" w:rsidRPr="00487CAB" w:rsidRDefault="008D0F89" w:rsidP="00D338E8">
            <w:pPr>
              <w:tabs>
                <w:tab w:val="right" w:pos="9180"/>
              </w:tabs>
              <w:jc w:val="center"/>
              <w:rPr>
                <w:snapToGrid w:val="0"/>
                <w:color w:val="000000"/>
                <w:sz w:val="19"/>
                <w:szCs w:val="19"/>
              </w:rPr>
            </w:pPr>
          </w:p>
        </w:tc>
        <w:tc>
          <w:tcPr>
            <w:tcW w:w="1800" w:type="dxa"/>
            <w:gridSpan w:val="2"/>
          </w:tcPr>
          <w:p w14:paraId="03913BE7" w14:textId="2B1901CB" w:rsidR="008D0F89" w:rsidRPr="00487CAB" w:rsidRDefault="008D0F89" w:rsidP="00D338E8">
            <w:pPr>
              <w:tabs>
                <w:tab w:val="right" w:pos="9180"/>
              </w:tabs>
              <w:jc w:val="center"/>
              <w:rPr>
                <w:snapToGrid w:val="0"/>
                <w:color w:val="000000"/>
                <w:sz w:val="19"/>
                <w:szCs w:val="19"/>
              </w:rPr>
            </w:pPr>
            <w:r>
              <w:rPr>
                <w:snapToGrid w:val="0"/>
                <w:color w:val="000000"/>
                <w:sz w:val="19"/>
                <w:szCs w:val="19"/>
              </w:rPr>
              <w:t>Total</w:t>
            </w:r>
          </w:p>
        </w:tc>
      </w:tr>
      <w:tr w:rsidR="008D0F89" w:rsidRPr="00487CAB" w14:paraId="6B92FB16" w14:textId="77777777" w:rsidTr="005F710B">
        <w:tc>
          <w:tcPr>
            <w:tcW w:w="4320" w:type="dxa"/>
          </w:tcPr>
          <w:p w14:paraId="440A3B39" w14:textId="2A1159DA" w:rsidR="008D0F89" w:rsidRPr="00487CAB" w:rsidRDefault="008D0F89" w:rsidP="00D338E8">
            <w:pPr>
              <w:tabs>
                <w:tab w:val="left" w:pos="144"/>
                <w:tab w:val="left" w:pos="324"/>
                <w:tab w:val="right" w:pos="9180"/>
              </w:tabs>
              <w:rPr>
                <w:snapToGrid w:val="0"/>
                <w:color w:val="000000"/>
                <w:sz w:val="19"/>
                <w:szCs w:val="19"/>
              </w:rPr>
            </w:pPr>
          </w:p>
        </w:tc>
        <w:tc>
          <w:tcPr>
            <w:tcW w:w="2520" w:type="dxa"/>
            <w:gridSpan w:val="2"/>
            <w:tcBorders>
              <w:bottom w:val="single" w:sz="4" w:space="0" w:color="auto"/>
            </w:tcBorders>
          </w:tcPr>
          <w:p w14:paraId="578EC8C1" w14:textId="0DCB1C3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ED7E6A">
              <w:rPr>
                <w:snapToGrid w:val="0"/>
                <w:color w:val="000000"/>
                <w:sz w:val="19"/>
                <w:szCs w:val="19"/>
              </w:rPr>
              <w:t>10</w:t>
            </w:r>
            <w:r>
              <w:rPr>
                <w:snapToGrid w:val="0"/>
                <w:color w:val="000000"/>
                <w:sz w:val="19"/>
                <w:szCs w:val="19"/>
              </w:rPr>
              <w:t>)</w:t>
            </w:r>
          </w:p>
        </w:tc>
        <w:tc>
          <w:tcPr>
            <w:tcW w:w="1980" w:type="dxa"/>
            <w:gridSpan w:val="2"/>
            <w:tcBorders>
              <w:bottom w:val="single" w:sz="4" w:space="0" w:color="auto"/>
            </w:tcBorders>
          </w:tcPr>
          <w:p w14:paraId="1BB88628"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10FF718B"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2B3A023"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gridSpan w:val="2"/>
          </w:tcPr>
          <w:p w14:paraId="301332DC"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D0F89" w:rsidRPr="00487CAB" w14:paraId="06B798F0" w14:textId="77777777" w:rsidTr="005F710B">
        <w:tc>
          <w:tcPr>
            <w:tcW w:w="4320" w:type="dxa"/>
          </w:tcPr>
          <w:p w14:paraId="00B75AAE" w14:textId="77777777" w:rsidR="008D0F89" w:rsidRPr="00487CAB" w:rsidRDefault="008D0F89" w:rsidP="00D338E8">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151E770B"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260" w:type="dxa"/>
            <w:tcBorders>
              <w:top w:val="single" w:sz="4" w:space="0" w:color="auto"/>
              <w:bottom w:val="single" w:sz="4" w:space="0" w:color="auto"/>
            </w:tcBorders>
          </w:tcPr>
          <w:p w14:paraId="4CC98C75"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990" w:type="dxa"/>
            <w:tcBorders>
              <w:bottom w:val="single" w:sz="4" w:space="0" w:color="auto"/>
            </w:tcBorders>
          </w:tcPr>
          <w:p w14:paraId="6B1E30F7"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990" w:type="dxa"/>
            <w:tcBorders>
              <w:bottom w:val="single" w:sz="4" w:space="0" w:color="auto"/>
            </w:tcBorders>
          </w:tcPr>
          <w:p w14:paraId="00496EC4"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C2B1292"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B743BD0"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Deficit</w:t>
            </w:r>
          </w:p>
        </w:tc>
        <w:tc>
          <w:tcPr>
            <w:tcW w:w="1800" w:type="dxa"/>
            <w:gridSpan w:val="2"/>
            <w:tcBorders>
              <w:bottom w:val="single" w:sz="4" w:space="0" w:color="auto"/>
            </w:tcBorders>
          </w:tcPr>
          <w:p w14:paraId="75277B7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8D0F89" w:rsidRPr="00487CAB" w14:paraId="4F5996EF" w14:textId="77777777" w:rsidTr="005F710B">
        <w:tc>
          <w:tcPr>
            <w:tcW w:w="4320" w:type="dxa"/>
          </w:tcPr>
          <w:p w14:paraId="4C72DE78"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Balance at December 31, 201</w:t>
            </w:r>
            <w:r>
              <w:rPr>
                <w:snapToGrid w:val="0"/>
                <w:color w:val="000000"/>
                <w:sz w:val="19"/>
                <w:szCs w:val="19"/>
              </w:rPr>
              <w:t>9</w:t>
            </w:r>
          </w:p>
        </w:tc>
        <w:tc>
          <w:tcPr>
            <w:tcW w:w="1260" w:type="dxa"/>
          </w:tcPr>
          <w:p w14:paraId="6DCD6CAB"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260" w:type="dxa"/>
          </w:tcPr>
          <w:p w14:paraId="7CCEDC78" w14:textId="30649F61" w:rsidR="008D0F89" w:rsidRPr="00487CAB" w:rsidRDefault="005F710B" w:rsidP="005F710B">
            <w:pPr>
              <w:tabs>
                <w:tab w:val="decimal" w:pos="879"/>
                <w:tab w:val="left" w:pos="2340"/>
                <w:tab w:val="right" w:pos="9180"/>
              </w:tabs>
              <w:rPr>
                <w:snapToGrid w:val="0"/>
                <w:color w:val="000000"/>
                <w:sz w:val="19"/>
                <w:szCs w:val="19"/>
              </w:rPr>
            </w:pPr>
            <w:r>
              <w:rPr>
                <w:snapToGrid w:val="0"/>
                <w:color w:val="000000"/>
                <w:sz w:val="19"/>
                <w:szCs w:val="19"/>
              </w:rPr>
              <w:t>$</w:t>
            </w:r>
            <w:r>
              <w:rPr>
                <w:snapToGrid w:val="0"/>
                <w:color w:val="000000"/>
                <w:sz w:val="19"/>
                <w:szCs w:val="19"/>
              </w:rPr>
              <w:tab/>
            </w:r>
            <w:r w:rsidR="008D0F89">
              <w:rPr>
                <w:snapToGrid w:val="0"/>
                <w:color w:val="000000"/>
                <w:sz w:val="19"/>
                <w:szCs w:val="19"/>
              </w:rPr>
              <w:t>1,932,433</w:t>
            </w:r>
          </w:p>
        </w:tc>
        <w:tc>
          <w:tcPr>
            <w:tcW w:w="990" w:type="dxa"/>
          </w:tcPr>
          <w:p w14:paraId="26ECEDA4" w14:textId="180D01F9"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14,992</w:t>
            </w:r>
          </w:p>
        </w:tc>
        <w:tc>
          <w:tcPr>
            <w:tcW w:w="990" w:type="dxa"/>
          </w:tcPr>
          <w:p w14:paraId="6A6584C4" w14:textId="1ADDDFDF"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4B4D49">
              <w:rPr>
                <w:snapToGrid w:val="0"/>
                <w:color w:val="000000"/>
                <w:sz w:val="19"/>
                <w:szCs w:val="19"/>
              </w:rPr>
              <w:t>15</w:t>
            </w:r>
          </w:p>
        </w:tc>
        <w:tc>
          <w:tcPr>
            <w:tcW w:w="1440" w:type="dxa"/>
          </w:tcPr>
          <w:p w14:paraId="53A34B63" w14:textId="461421D1"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w:t>
            </w:r>
            <w:r w:rsidR="004B4D49">
              <w:rPr>
                <w:snapToGrid w:val="0"/>
                <w:color w:val="000000"/>
                <w:sz w:val="19"/>
                <w:szCs w:val="19"/>
              </w:rPr>
              <w:t>509</w:t>
            </w:r>
          </w:p>
        </w:tc>
        <w:tc>
          <w:tcPr>
            <w:tcW w:w="1350" w:type="dxa"/>
          </w:tcPr>
          <w:p w14:paraId="3A8FFC4B"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gridSpan w:val="2"/>
          </w:tcPr>
          <w:p w14:paraId="40CE8F3B"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8D0F89" w:rsidRPr="00487CAB" w14:paraId="111AEE3C" w14:textId="77777777" w:rsidTr="005F710B">
        <w:tc>
          <w:tcPr>
            <w:tcW w:w="4320" w:type="dxa"/>
          </w:tcPr>
          <w:p w14:paraId="3B003A1F" w14:textId="77777777" w:rsidR="008D0F89" w:rsidRPr="00487CAB" w:rsidRDefault="008D0F89" w:rsidP="00D338E8">
            <w:pPr>
              <w:tabs>
                <w:tab w:val="left" w:pos="144"/>
                <w:tab w:val="left" w:pos="324"/>
                <w:tab w:val="right" w:pos="9180"/>
              </w:tabs>
              <w:rPr>
                <w:snapToGrid w:val="0"/>
                <w:color w:val="000000"/>
                <w:sz w:val="19"/>
                <w:szCs w:val="19"/>
              </w:rPr>
            </w:pPr>
            <w:bookmarkStart w:id="10" w:name="_Hlk45112542"/>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12C2954D"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260" w:type="dxa"/>
          </w:tcPr>
          <w:p w14:paraId="4DE65CE0" w14:textId="77777777"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990" w:type="dxa"/>
          </w:tcPr>
          <w:p w14:paraId="1985D62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990" w:type="dxa"/>
          </w:tcPr>
          <w:p w14:paraId="3E75EC7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CFD5796"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2E1604D6"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gridSpan w:val="2"/>
          </w:tcPr>
          <w:p w14:paraId="1DC45C70"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8D0F89" w:rsidRPr="00487CAB" w14:paraId="4DF453B1" w14:textId="77777777" w:rsidTr="005F710B">
        <w:tc>
          <w:tcPr>
            <w:tcW w:w="4320" w:type="dxa"/>
          </w:tcPr>
          <w:p w14:paraId="51323A74" w14:textId="77777777" w:rsidR="008D0F89" w:rsidRPr="008D0F89"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r>
            <w:r w:rsidRPr="008D0F89">
              <w:rPr>
                <w:snapToGrid w:val="0"/>
                <w:color w:val="000000"/>
                <w:sz w:val="19"/>
                <w:szCs w:val="19"/>
              </w:rPr>
              <w:t>Conversion of preferred stock to common stock</w:t>
            </w:r>
          </w:p>
        </w:tc>
        <w:tc>
          <w:tcPr>
            <w:tcW w:w="1260" w:type="dxa"/>
          </w:tcPr>
          <w:p w14:paraId="0EF958FF" w14:textId="77777777" w:rsidR="008D0F89" w:rsidRPr="008D0F89" w:rsidRDefault="008D0F89" w:rsidP="00D338E8">
            <w:pPr>
              <w:tabs>
                <w:tab w:val="decimal" w:pos="917"/>
                <w:tab w:val="left" w:pos="2340"/>
                <w:tab w:val="right" w:pos="9180"/>
              </w:tabs>
              <w:rPr>
                <w:snapToGrid w:val="0"/>
                <w:color w:val="000000"/>
                <w:sz w:val="19"/>
                <w:szCs w:val="19"/>
              </w:rPr>
            </w:pPr>
            <w:r w:rsidRPr="008D0F89">
              <w:rPr>
                <w:snapToGrid w:val="0"/>
                <w:color w:val="000000"/>
                <w:sz w:val="19"/>
                <w:szCs w:val="19"/>
              </w:rPr>
              <w:tab/>
              <w:t>(2,386)</w:t>
            </w:r>
          </w:p>
        </w:tc>
        <w:tc>
          <w:tcPr>
            <w:tcW w:w="1260" w:type="dxa"/>
          </w:tcPr>
          <w:p w14:paraId="0ED7F4D9" w14:textId="77777777" w:rsidR="008D0F89" w:rsidRPr="008D0F89" w:rsidRDefault="008D0F89" w:rsidP="005F710B">
            <w:pPr>
              <w:tabs>
                <w:tab w:val="decimal" w:pos="879"/>
                <w:tab w:val="left" w:pos="2340"/>
                <w:tab w:val="right" w:pos="9180"/>
              </w:tabs>
              <w:rPr>
                <w:snapToGrid w:val="0"/>
                <w:color w:val="000000"/>
                <w:sz w:val="19"/>
                <w:szCs w:val="19"/>
              </w:rPr>
            </w:pPr>
            <w:r w:rsidRPr="008D0F89">
              <w:rPr>
                <w:snapToGrid w:val="0"/>
                <w:color w:val="000000"/>
                <w:sz w:val="19"/>
                <w:szCs w:val="19"/>
              </w:rPr>
              <w:tab/>
              <w:t>(1,856,338)</w:t>
            </w:r>
          </w:p>
        </w:tc>
        <w:tc>
          <w:tcPr>
            <w:tcW w:w="990" w:type="dxa"/>
          </w:tcPr>
          <w:p w14:paraId="0DD8E3E1" w14:textId="1BAF0FEA"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4B4D49">
              <w:rPr>
                <w:snapToGrid w:val="0"/>
                <w:color w:val="000000"/>
                <w:sz w:val="19"/>
                <w:szCs w:val="19"/>
              </w:rPr>
              <w:t>674,06</w:t>
            </w:r>
            <w:r w:rsidR="005F710B">
              <w:rPr>
                <w:snapToGrid w:val="0"/>
                <w:color w:val="000000"/>
                <w:sz w:val="19"/>
                <w:szCs w:val="19"/>
              </w:rPr>
              <w:t>7</w:t>
            </w:r>
          </w:p>
        </w:tc>
        <w:tc>
          <w:tcPr>
            <w:tcW w:w="990" w:type="dxa"/>
          </w:tcPr>
          <w:p w14:paraId="54AAE74F" w14:textId="4FD20049"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4B4D49">
              <w:rPr>
                <w:snapToGrid w:val="0"/>
                <w:color w:val="000000"/>
                <w:sz w:val="19"/>
                <w:szCs w:val="19"/>
              </w:rPr>
              <w:t>674</w:t>
            </w:r>
          </w:p>
        </w:tc>
        <w:tc>
          <w:tcPr>
            <w:tcW w:w="1440" w:type="dxa"/>
          </w:tcPr>
          <w:p w14:paraId="3B78A0DC" w14:textId="6704BDA5"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1,8</w:t>
            </w:r>
            <w:r w:rsidR="004B4D49">
              <w:rPr>
                <w:snapToGrid w:val="0"/>
                <w:color w:val="000000"/>
                <w:sz w:val="19"/>
                <w:szCs w:val="19"/>
              </w:rPr>
              <w:t>55,664</w:t>
            </w:r>
          </w:p>
        </w:tc>
        <w:tc>
          <w:tcPr>
            <w:tcW w:w="1350" w:type="dxa"/>
          </w:tcPr>
          <w:p w14:paraId="1DBFE5A0" w14:textId="77777777" w:rsidR="008D0F89" w:rsidRPr="008D0F89" w:rsidRDefault="008D0F89" w:rsidP="00D338E8">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gridSpan w:val="2"/>
          </w:tcPr>
          <w:p w14:paraId="65D8EC76" w14:textId="77777777" w:rsidR="008D0F89" w:rsidRPr="00487CAB" w:rsidRDefault="008D0F89" w:rsidP="00D338E8">
            <w:pPr>
              <w:tabs>
                <w:tab w:val="decimal" w:pos="1418"/>
                <w:tab w:val="right" w:pos="9180"/>
              </w:tabs>
              <w:rPr>
                <w:snapToGrid w:val="0"/>
                <w:color w:val="000000"/>
                <w:sz w:val="19"/>
                <w:szCs w:val="19"/>
              </w:rPr>
            </w:pPr>
            <w:r w:rsidRPr="008D0F89">
              <w:rPr>
                <w:snapToGrid w:val="0"/>
                <w:color w:val="000000"/>
                <w:sz w:val="19"/>
                <w:szCs w:val="19"/>
              </w:rPr>
              <w:tab/>
              <w:t>-</w:t>
            </w:r>
          </w:p>
        </w:tc>
      </w:tr>
      <w:tr w:rsidR="008D0F89" w:rsidRPr="00487CAB" w14:paraId="136E1824" w14:textId="77777777" w:rsidTr="005F710B">
        <w:tc>
          <w:tcPr>
            <w:tcW w:w="4320" w:type="dxa"/>
          </w:tcPr>
          <w:p w14:paraId="313B8B90" w14:textId="79C135FD" w:rsidR="008D0F89" w:rsidRPr="00487CAB" w:rsidRDefault="008D0F89" w:rsidP="00D338E8">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260" w:type="dxa"/>
          </w:tcPr>
          <w:p w14:paraId="5465DA1E" w14:textId="77777777" w:rsidR="008D0F89" w:rsidRPr="00487CAB" w:rsidRDefault="008D0F89"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626DA3B0" w14:textId="77777777" w:rsidR="008D0F89" w:rsidRPr="00487CAB" w:rsidRDefault="008D0F8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232D7B45" w14:textId="3891649F"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521</w:t>
            </w:r>
          </w:p>
        </w:tc>
        <w:tc>
          <w:tcPr>
            <w:tcW w:w="990" w:type="dxa"/>
          </w:tcPr>
          <w:p w14:paraId="22DEC1DC" w14:textId="0A149496"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1</w:t>
            </w:r>
          </w:p>
        </w:tc>
        <w:tc>
          <w:tcPr>
            <w:tcW w:w="1440" w:type="dxa"/>
          </w:tcPr>
          <w:p w14:paraId="56BFECD0" w14:textId="0EF4881A"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5,9</w:t>
            </w:r>
            <w:r w:rsidR="004B4D49">
              <w:rPr>
                <w:snapToGrid w:val="0"/>
                <w:color w:val="000000"/>
                <w:sz w:val="19"/>
                <w:szCs w:val="19"/>
              </w:rPr>
              <w:t>99</w:t>
            </w:r>
          </w:p>
        </w:tc>
        <w:tc>
          <w:tcPr>
            <w:tcW w:w="1350" w:type="dxa"/>
          </w:tcPr>
          <w:p w14:paraId="1BECC3E0"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652339D2"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ab/>
              <w:t>6,000</w:t>
            </w:r>
          </w:p>
        </w:tc>
      </w:tr>
      <w:tr w:rsidR="008D0F89" w:rsidRPr="00487CAB" w14:paraId="347745C8" w14:textId="77777777" w:rsidTr="005F710B">
        <w:tc>
          <w:tcPr>
            <w:tcW w:w="4320" w:type="dxa"/>
          </w:tcPr>
          <w:p w14:paraId="01A0D14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20</w:t>
            </w:r>
          </w:p>
        </w:tc>
        <w:tc>
          <w:tcPr>
            <w:tcW w:w="1260" w:type="dxa"/>
            <w:tcBorders>
              <w:bottom w:val="single" w:sz="4" w:space="0" w:color="auto"/>
            </w:tcBorders>
          </w:tcPr>
          <w:p w14:paraId="118A67F8"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05C34547" w14:textId="77777777"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2F456BE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15495A78"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206BBF"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D25EC9"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c>
          <w:tcPr>
            <w:tcW w:w="1800" w:type="dxa"/>
            <w:gridSpan w:val="2"/>
            <w:tcBorders>
              <w:bottom w:val="single" w:sz="4" w:space="0" w:color="auto"/>
            </w:tcBorders>
          </w:tcPr>
          <w:p w14:paraId="098AFF78"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r>
      <w:tr w:rsidR="008D0F89" w:rsidRPr="00487CAB" w14:paraId="4933F0DE" w14:textId="77777777" w:rsidTr="005F710B">
        <w:tc>
          <w:tcPr>
            <w:tcW w:w="4320" w:type="dxa"/>
          </w:tcPr>
          <w:p w14:paraId="5EBCE36B" w14:textId="77777777" w:rsidR="008D0F89" w:rsidRPr="00487CAB" w:rsidRDefault="008D0F89" w:rsidP="00D338E8">
            <w:pPr>
              <w:tabs>
                <w:tab w:val="left" w:pos="144"/>
                <w:tab w:val="left" w:pos="324"/>
                <w:tab w:val="right" w:pos="9180"/>
              </w:tabs>
              <w:rPr>
                <w:snapToGrid w:val="0"/>
                <w:color w:val="000000"/>
                <w:sz w:val="19"/>
                <w:szCs w:val="19"/>
              </w:rPr>
            </w:pPr>
            <w:bookmarkStart w:id="11" w:name="_Hlk53149588"/>
            <w:r w:rsidRPr="00487CAB">
              <w:rPr>
                <w:snapToGrid w:val="0"/>
                <w:color w:val="000000"/>
                <w:sz w:val="19"/>
                <w:szCs w:val="19"/>
              </w:rPr>
              <w:t>Balance at March 31, 20</w:t>
            </w:r>
            <w:r>
              <w:rPr>
                <w:snapToGrid w:val="0"/>
                <w:color w:val="000000"/>
                <w:sz w:val="19"/>
                <w:szCs w:val="19"/>
              </w:rPr>
              <w:t>20</w:t>
            </w:r>
          </w:p>
        </w:tc>
        <w:tc>
          <w:tcPr>
            <w:tcW w:w="1260" w:type="dxa"/>
            <w:tcBorders>
              <w:top w:val="single" w:sz="4" w:space="0" w:color="auto"/>
            </w:tcBorders>
          </w:tcPr>
          <w:p w14:paraId="0F6D70F1"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260" w:type="dxa"/>
            <w:tcBorders>
              <w:top w:val="single" w:sz="4" w:space="0" w:color="auto"/>
            </w:tcBorders>
          </w:tcPr>
          <w:p w14:paraId="749284B2" w14:textId="3003A6B6" w:rsidR="008D0F89" w:rsidRPr="00487CAB" w:rsidRDefault="008D0F89"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376,095</w:t>
            </w:r>
          </w:p>
        </w:tc>
        <w:tc>
          <w:tcPr>
            <w:tcW w:w="990" w:type="dxa"/>
            <w:tcBorders>
              <w:top w:val="single" w:sz="4" w:space="0" w:color="auto"/>
            </w:tcBorders>
          </w:tcPr>
          <w:p w14:paraId="33F994E1" w14:textId="4286CEA3"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689,58</w:t>
            </w:r>
            <w:r w:rsidR="005F710B">
              <w:rPr>
                <w:snapToGrid w:val="0"/>
                <w:color w:val="000000"/>
                <w:sz w:val="19"/>
                <w:szCs w:val="19"/>
              </w:rPr>
              <w:t>0</w:t>
            </w:r>
          </w:p>
        </w:tc>
        <w:tc>
          <w:tcPr>
            <w:tcW w:w="990" w:type="dxa"/>
            <w:tcBorders>
              <w:top w:val="single" w:sz="4" w:space="0" w:color="auto"/>
            </w:tcBorders>
          </w:tcPr>
          <w:p w14:paraId="08D14B17" w14:textId="2E22671D"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690</w:t>
            </w:r>
          </w:p>
        </w:tc>
        <w:tc>
          <w:tcPr>
            <w:tcW w:w="1440" w:type="dxa"/>
            <w:tcBorders>
              <w:top w:val="single" w:sz="4" w:space="0" w:color="auto"/>
            </w:tcBorders>
          </w:tcPr>
          <w:p w14:paraId="603A728B" w14:textId="297380BB"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41,202,172</w:t>
            </w:r>
          </w:p>
        </w:tc>
        <w:tc>
          <w:tcPr>
            <w:tcW w:w="1350" w:type="dxa"/>
            <w:tcBorders>
              <w:top w:val="single" w:sz="4" w:space="0" w:color="auto"/>
            </w:tcBorders>
          </w:tcPr>
          <w:p w14:paraId="3D491962" w14:textId="6B82F431"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(43,443,207)</w:t>
            </w:r>
          </w:p>
        </w:tc>
        <w:tc>
          <w:tcPr>
            <w:tcW w:w="1800" w:type="dxa"/>
            <w:gridSpan w:val="2"/>
            <w:tcBorders>
              <w:top w:val="single" w:sz="4" w:space="0" w:color="auto"/>
            </w:tcBorders>
          </w:tcPr>
          <w:p w14:paraId="385FAB1B" w14:textId="19DEE4DA"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(1,864,250)</w:t>
            </w:r>
          </w:p>
        </w:tc>
      </w:tr>
      <w:bookmarkEnd w:id="10"/>
      <w:bookmarkEnd w:id="11"/>
      <w:tr w:rsidR="00C861EA" w:rsidRPr="00487CAB" w14:paraId="47234623" w14:textId="77777777" w:rsidTr="005F710B">
        <w:tc>
          <w:tcPr>
            <w:tcW w:w="4320" w:type="dxa"/>
          </w:tcPr>
          <w:p w14:paraId="682DD484" w14:textId="19575BEE" w:rsidR="00C861EA" w:rsidRPr="00487CAB" w:rsidRDefault="00C861EA" w:rsidP="00B02073">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260" w:type="dxa"/>
          </w:tcPr>
          <w:p w14:paraId="413EC902" w14:textId="77777777" w:rsidR="00C861EA" w:rsidRPr="00487CAB" w:rsidRDefault="00C861EA"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20B231A3" w14:textId="77777777" w:rsidR="00C861EA" w:rsidRPr="00487CAB" w:rsidRDefault="00C861EA"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F2700DF" w14:textId="6FEDD769"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2,124</w:t>
            </w:r>
          </w:p>
        </w:tc>
        <w:tc>
          <w:tcPr>
            <w:tcW w:w="990" w:type="dxa"/>
          </w:tcPr>
          <w:p w14:paraId="46594FDD" w14:textId="4940FEDC"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2</w:t>
            </w:r>
          </w:p>
        </w:tc>
        <w:tc>
          <w:tcPr>
            <w:tcW w:w="1440" w:type="dxa"/>
          </w:tcPr>
          <w:p w14:paraId="6B59BE01" w14:textId="5F546A00"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A2288D">
              <w:rPr>
                <w:snapToGrid w:val="0"/>
                <w:color w:val="000000"/>
                <w:sz w:val="19"/>
                <w:szCs w:val="19"/>
              </w:rPr>
              <w:t>11,9</w:t>
            </w:r>
            <w:r w:rsidR="004B4D49">
              <w:rPr>
                <w:snapToGrid w:val="0"/>
                <w:color w:val="000000"/>
                <w:sz w:val="19"/>
                <w:szCs w:val="19"/>
              </w:rPr>
              <w:t>98</w:t>
            </w:r>
          </w:p>
        </w:tc>
        <w:tc>
          <w:tcPr>
            <w:tcW w:w="1350" w:type="dxa"/>
          </w:tcPr>
          <w:p w14:paraId="6CDB1BB4" w14:textId="77777777"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2CC2C599" w14:textId="51FCA6B6"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ab/>
            </w:r>
            <w:r w:rsidR="00A2288D">
              <w:rPr>
                <w:snapToGrid w:val="0"/>
                <w:color w:val="000000"/>
                <w:sz w:val="19"/>
                <w:szCs w:val="19"/>
              </w:rPr>
              <w:t>12,000</w:t>
            </w:r>
          </w:p>
        </w:tc>
      </w:tr>
      <w:tr w:rsidR="004B4D49" w:rsidRPr="00487CAB" w14:paraId="49829102" w14:textId="77777777" w:rsidTr="005F710B">
        <w:tc>
          <w:tcPr>
            <w:tcW w:w="4320" w:type="dxa"/>
          </w:tcPr>
          <w:p w14:paraId="4B7B7116" w14:textId="65F354DD" w:rsidR="004B4D49" w:rsidRDefault="004B4D49" w:rsidP="00B02073">
            <w:pPr>
              <w:tabs>
                <w:tab w:val="left" w:pos="144"/>
                <w:tab w:val="left" w:pos="324"/>
                <w:tab w:val="right" w:pos="9180"/>
              </w:tabs>
              <w:rPr>
                <w:snapToGrid w:val="0"/>
                <w:color w:val="000000"/>
                <w:sz w:val="19"/>
                <w:szCs w:val="19"/>
              </w:rPr>
            </w:pPr>
            <w:r>
              <w:rPr>
                <w:snapToGrid w:val="0"/>
                <w:color w:val="000000"/>
                <w:sz w:val="19"/>
                <w:szCs w:val="19"/>
              </w:rPr>
              <w:tab/>
              <w:t>Warrants issued in bridge financing</w:t>
            </w:r>
          </w:p>
        </w:tc>
        <w:tc>
          <w:tcPr>
            <w:tcW w:w="1260" w:type="dxa"/>
          </w:tcPr>
          <w:p w14:paraId="59AE427D" w14:textId="279C731C" w:rsidR="004B4D49" w:rsidRDefault="004B4D49"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0D39AC06" w14:textId="3C3498B5" w:rsidR="004B4D49" w:rsidRDefault="004B4D4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78892A42" w14:textId="2F20F37F"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990" w:type="dxa"/>
          </w:tcPr>
          <w:p w14:paraId="41271C24" w14:textId="7C37B32C"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46F55CA" w14:textId="36D0FDA7"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457,833</w:t>
            </w:r>
          </w:p>
        </w:tc>
        <w:tc>
          <w:tcPr>
            <w:tcW w:w="1350" w:type="dxa"/>
          </w:tcPr>
          <w:p w14:paraId="0E3AEF84" w14:textId="355E466C" w:rsidR="004B4D49" w:rsidRPr="004B4D49" w:rsidRDefault="004B4D49" w:rsidP="004B4D49">
            <w:pPr>
              <w:pStyle w:val="ListParagraph"/>
              <w:numPr>
                <w:ilvl w:val="0"/>
                <w:numId w:val="10"/>
              </w:numPr>
              <w:tabs>
                <w:tab w:val="decimal" w:pos="1150"/>
                <w:tab w:val="left" w:pos="2340"/>
                <w:tab w:val="right" w:pos="9180"/>
              </w:tabs>
              <w:rPr>
                <w:snapToGrid w:val="0"/>
                <w:color w:val="000000"/>
                <w:sz w:val="19"/>
                <w:szCs w:val="19"/>
              </w:rPr>
            </w:pPr>
          </w:p>
        </w:tc>
        <w:tc>
          <w:tcPr>
            <w:tcW w:w="1800" w:type="dxa"/>
            <w:gridSpan w:val="2"/>
          </w:tcPr>
          <w:p w14:paraId="06035939" w14:textId="19B0435F" w:rsidR="004B4D49" w:rsidRDefault="004B4D49" w:rsidP="00B02073">
            <w:pPr>
              <w:tabs>
                <w:tab w:val="decimal" w:pos="1418"/>
                <w:tab w:val="right" w:pos="9180"/>
              </w:tabs>
              <w:rPr>
                <w:snapToGrid w:val="0"/>
                <w:color w:val="000000"/>
                <w:sz w:val="19"/>
                <w:szCs w:val="19"/>
              </w:rPr>
            </w:pPr>
            <w:r>
              <w:rPr>
                <w:snapToGrid w:val="0"/>
                <w:color w:val="000000"/>
                <w:sz w:val="19"/>
                <w:szCs w:val="19"/>
              </w:rPr>
              <w:tab/>
              <w:t>457,833</w:t>
            </w:r>
          </w:p>
        </w:tc>
      </w:tr>
      <w:tr w:rsidR="004B4D49" w:rsidRPr="00487CAB" w14:paraId="317E4663" w14:textId="77777777" w:rsidTr="005F710B">
        <w:tc>
          <w:tcPr>
            <w:tcW w:w="4320" w:type="dxa"/>
          </w:tcPr>
          <w:p w14:paraId="18C4A6D3" w14:textId="08530DD5" w:rsidR="004B4D49" w:rsidRDefault="004B4D49" w:rsidP="00B02073">
            <w:pPr>
              <w:tabs>
                <w:tab w:val="left" w:pos="144"/>
                <w:tab w:val="left" w:pos="324"/>
                <w:tab w:val="right" w:pos="9180"/>
              </w:tabs>
              <w:rPr>
                <w:snapToGrid w:val="0"/>
                <w:color w:val="000000"/>
                <w:sz w:val="19"/>
                <w:szCs w:val="19"/>
              </w:rPr>
            </w:pPr>
            <w:r>
              <w:rPr>
                <w:snapToGrid w:val="0"/>
                <w:color w:val="000000"/>
                <w:sz w:val="19"/>
                <w:szCs w:val="19"/>
              </w:rPr>
              <w:tab/>
              <w:t>Net loss for the three months ended June 30, 2020</w:t>
            </w:r>
          </w:p>
        </w:tc>
        <w:tc>
          <w:tcPr>
            <w:tcW w:w="1260" w:type="dxa"/>
          </w:tcPr>
          <w:p w14:paraId="4B40BE40" w14:textId="5E53FC50" w:rsidR="004B4D49" w:rsidRDefault="004B4D49"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0DCF6FAD" w14:textId="65960EC1" w:rsidR="004B4D49" w:rsidRDefault="004B4D49"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9FBEBD4" w14:textId="0AE765BE"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990" w:type="dxa"/>
          </w:tcPr>
          <w:p w14:paraId="009315C3" w14:textId="5061E84A"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5B682FA" w14:textId="401FC940" w:rsidR="004B4D49" w:rsidRDefault="004B4D49"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65CB7FF2" w14:textId="5EACF63C" w:rsidR="004B4D49" w:rsidRDefault="004B4D49" w:rsidP="00B02073">
            <w:pPr>
              <w:tabs>
                <w:tab w:val="decimal" w:pos="1150"/>
                <w:tab w:val="left" w:pos="2340"/>
                <w:tab w:val="right" w:pos="9180"/>
              </w:tabs>
              <w:rPr>
                <w:snapToGrid w:val="0"/>
                <w:color w:val="000000"/>
                <w:sz w:val="19"/>
                <w:szCs w:val="19"/>
              </w:rPr>
            </w:pPr>
            <w:r>
              <w:rPr>
                <w:snapToGrid w:val="0"/>
                <w:color w:val="000000"/>
                <w:sz w:val="19"/>
                <w:szCs w:val="19"/>
              </w:rPr>
              <w:tab/>
              <w:t>(455,204)</w:t>
            </w:r>
          </w:p>
        </w:tc>
        <w:tc>
          <w:tcPr>
            <w:tcW w:w="1800" w:type="dxa"/>
            <w:gridSpan w:val="2"/>
          </w:tcPr>
          <w:p w14:paraId="4AF84510" w14:textId="173288E8" w:rsidR="004B4D49" w:rsidRDefault="004B4D49" w:rsidP="00B02073">
            <w:pPr>
              <w:tabs>
                <w:tab w:val="decimal" w:pos="1418"/>
                <w:tab w:val="right" w:pos="9180"/>
              </w:tabs>
              <w:rPr>
                <w:snapToGrid w:val="0"/>
                <w:color w:val="000000"/>
                <w:sz w:val="19"/>
                <w:szCs w:val="19"/>
              </w:rPr>
            </w:pPr>
            <w:r>
              <w:rPr>
                <w:snapToGrid w:val="0"/>
                <w:color w:val="000000"/>
                <w:sz w:val="19"/>
                <w:szCs w:val="19"/>
              </w:rPr>
              <w:tab/>
              <w:t>(455,204)</w:t>
            </w:r>
          </w:p>
        </w:tc>
      </w:tr>
      <w:tr w:rsidR="00302C3D" w:rsidRPr="00487CAB" w14:paraId="57E99B19" w14:textId="77777777" w:rsidTr="005F710B">
        <w:tc>
          <w:tcPr>
            <w:tcW w:w="4320" w:type="dxa"/>
          </w:tcPr>
          <w:p w14:paraId="063C99EB" w14:textId="29BC20B9" w:rsidR="00302C3D" w:rsidRPr="00487CAB" w:rsidRDefault="00302C3D"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tcBorders>
          </w:tcPr>
          <w:p w14:paraId="5DE981CB" w14:textId="77777777" w:rsidR="00302C3D" w:rsidRPr="00487CAB" w:rsidRDefault="00302C3D"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260" w:type="dxa"/>
            <w:tcBorders>
              <w:top w:val="single" w:sz="4" w:space="0" w:color="auto"/>
            </w:tcBorders>
          </w:tcPr>
          <w:p w14:paraId="62253624" w14:textId="77777777" w:rsidR="00302C3D" w:rsidRPr="00487CAB" w:rsidRDefault="00302C3D" w:rsidP="005F710B">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376,095</w:t>
            </w:r>
          </w:p>
        </w:tc>
        <w:tc>
          <w:tcPr>
            <w:tcW w:w="990" w:type="dxa"/>
            <w:tcBorders>
              <w:top w:val="single" w:sz="4" w:space="0" w:color="auto"/>
            </w:tcBorders>
          </w:tcPr>
          <w:p w14:paraId="489AE469" w14:textId="7685AD37"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w:t>
            </w:r>
            <w:r w:rsidR="008219AB">
              <w:rPr>
                <w:snapToGrid w:val="0"/>
                <w:color w:val="000000"/>
                <w:sz w:val="19"/>
                <w:szCs w:val="19"/>
              </w:rPr>
              <w:t>91</w:t>
            </w:r>
            <w:r>
              <w:rPr>
                <w:snapToGrid w:val="0"/>
                <w:color w:val="000000"/>
                <w:sz w:val="19"/>
                <w:szCs w:val="19"/>
              </w:rPr>
              <w:t>,70</w:t>
            </w:r>
            <w:r w:rsidR="005F710B">
              <w:rPr>
                <w:snapToGrid w:val="0"/>
                <w:color w:val="000000"/>
                <w:sz w:val="19"/>
                <w:szCs w:val="19"/>
              </w:rPr>
              <w:t>4</w:t>
            </w:r>
          </w:p>
        </w:tc>
        <w:tc>
          <w:tcPr>
            <w:tcW w:w="990" w:type="dxa"/>
            <w:tcBorders>
              <w:top w:val="single" w:sz="4" w:space="0" w:color="auto"/>
            </w:tcBorders>
          </w:tcPr>
          <w:p w14:paraId="7939681B" w14:textId="0910AB31"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692</w:t>
            </w:r>
          </w:p>
        </w:tc>
        <w:tc>
          <w:tcPr>
            <w:tcW w:w="1440" w:type="dxa"/>
            <w:tcBorders>
              <w:top w:val="single" w:sz="4" w:space="0" w:color="auto"/>
            </w:tcBorders>
          </w:tcPr>
          <w:p w14:paraId="2A5BDD74" w14:textId="254D4291" w:rsidR="00302C3D" w:rsidRPr="00487CAB" w:rsidRDefault="00302C3D"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41,672,003</w:t>
            </w:r>
          </w:p>
        </w:tc>
        <w:tc>
          <w:tcPr>
            <w:tcW w:w="1350" w:type="dxa"/>
            <w:tcBorders>
              <w:top w:val="single" w:sz="4" w:space="0" w:color="auto"/>
            </w:tcBorders>
          </w:tcPr>
          <w:p w14:paraId="214B788B" w14:textId="7320025D" w:rsidR="00302C3D" w:rsidRPr="00487CAB" w:rsidRDefault="00302C3D"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(43,898,411)</w:t>
            </w:r>
          </w:p>
        </w:tc>
        <w:tc>
          <w:tcPr>
            <w:tcW w:w="1800" w:type="dxa"/>
            <w:gridSpan w:val="2"/>
            <w:tcBorders>
              <w:top w:val="single" w:sz="4" w:space="0" w:color="auto"/>
            </w:tcBorders>
          </w:tcPr>
          <w:p w14:paraId="675C3852" w14:textId="7BE7A184" w:rsidR="00302C3D" w:rsidRPr="00487CAB" w:rsidRDefault="00302C3D"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(1,849,621)</w:t>
            </w:r>
          </w:p>
        </w:tc>
      </w:tr>
      <w:tr w:rsidR="00A2288D" w:rsidRPr="00487CAB" w14:paraId="33E05BDB" w14:textId="77777777" w:rsidTr="005F710B">
        <w:tc>
          <w:tcPr>
            <w:tcW w:w="4320" w:type="dxa"/>
          </w:tcPr>
          <w:p w14:paraId="13F8CF5A" w14:textId="7413DC9E" w:rsidR="00A2288D" w:rsidRDefault="00A2288D" w:rsidP="00B02073">
            <w:pPr>
              <w:tabs>
                <w:tab w:val="left" w:pos="144"/>
                <w:tab w:val="left" w:pos="324"/>
                <w:tab w:val="right" w:pos="9180"/>
              </w:tabs>
              <w:rPr>
                <w:snapToGrid w:val="0"/>
                <w:color w:val="000000"/>
                <w:sz w:val="19"/>
                <w:szCs w:val="19"/>
              </w:rPr>
            </w:pPr>
            <w:r>
              <w:rPr>
                <w:snapToGrid w:val="0"/>
                <w:color w:val="000000"/>
                <w:sz w:val="19"/>
                <w:szCs w:val="19"/>
              </w:rPr>
              <w:tab/>
            </w:r>
            <w:r w:rsidR="00302C3D">
              <w:rPr>
                <w:snapToGrid w:val="0"/>
                <w:color w:val="000000"/>
                <w:sz w:val="19"/>
                <w:szCs w:val="19"/>
              </w:rPr>
              <w:t>Conversion of preferred stock to common stock</w:t>
            </w:r>
          </w:p>
        </w:tc>
        <w:tc>
          <w:tcPr>
            <w:tcW w:w="1260" w:type="dxa"/>
          </w:tcPr>
          <w:p w14:paraId="4B376F4F" w14:textId="6CF4DB9B" w:rsidR="00A2288D" w:rsidRDefault="00A2288D" w:rsidP="00B02073">
            <w:pPr>
              <w:tabs>
                <w:tab w:val="decimal" w:pos="917"/>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(300)</w:t>
            </w:r>
          </w:p>
        </w:tc>
        <w:tc>
          <w:tcPr>
            <w:tcW w:w="1260" w:type="dxa"/>
          </w:tcPr>
          <w:p w14:paraId="28B60BB5" w14:textId="338C2922" w:rsidR="00A2288D" w:rsidRDefault="00A2288D" w:rsidP="005F710B">
            <w:pPr>
              <w:tabs>
                <w:tab w:val="decimal" w:pos="879"/>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(300,000)</w:t>
            </w:r>
          </w:p>
        </w:tc>
        <w:tc>
          <w:tcPr>
            <w:tcW w:w="990" w:type="dxa"/>
          </w:tcPr>
          <w:p w14:paraId="6AEBE8B5" w14:textId="622E92EA"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42,723</w:t>
            </w:r>
          </w:p>
        </w:tc>
        <w:tc>
          <w:tcPr>
            <w:tcW w:w="990" w:type="dxa"/>
          </w:tcPr>
          <w:p w14:paraId="774B4C4E" w14:textId="47495F8D"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43</w:t>
            </w:r>
          </w:p>
        </w:tc>
        <w:tc>
          <w:tcPr>
            <w:tcW w:w="1440" w:type="dxa"/>
          </w:tcPr>
          <w:p w14:paraId="1EBB438D" w14:textId="208EB7C8"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302C3D">
              <w:rPr>
                <w:snapToGrid w:val="0"/>
                <w:color w:val="000000"/>
                <w:sz w:val="19"/>
                <w:szCs w:val="19"/>
              </w:rPr>
              <w:t>299,957</w:t>
            </w:r>
          </w:p>
        </w:tc>
        <w:tc>
          <w:tcPr>
            <w:tcW w:w="1350" w:type="dxa"/>
          </w:tcPr>
          <w:p w14:paraId="111B2B67" w14:textId="3003417B" w:rsidR="00A2288D" w:rsidRDefault="00A2288D"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5A5CC437" w14:textId="1E2D47CE" w:rsidR="00A2288D" w:rsidRDefault="00A2288D" w:rsidP="00B02073">
            <w:pPr>
              <w:tabs>
                <w:tab w:val="decimal" w:pos="1418"/>
                <w:tab w:val="right" w:pos="9180"/>
              </w:tabs>
              <w:rPr>
                <w:snapToGrid w:val="0"/>
                <w:color w:val="000000"/>
                <w:sz w:val="19"/>
                <w:szCs w:val="19"/>
              </w:rPr>
            </w:pPr>
            <w:r>
              <w:rPr>
                <w:snapToGrid w:val="0"/>
                <w:color w:val="000000"/>
                <w:sz w:val="19"/>
                <w:szCs w:val="19"/>
              </w:rPr>
              <w:tab/>
            </w:r>
            <w:r w:rsidR="00302C3D">
              <w:rPr>
                <w:snapToGrid w:val="0"/>
                <w:color w:val="000000"/>
                <w:sz w:val="19"/>
                <w:szCs w:val="19"/>
              </w:rPr>
              <w:t>-</w:t>
            </w:r>
          </w:p>
        </w:tc>
      </w:tr>
      <w:tr w:rsidR="00302C3D" w:rsidRPr="00487CAB" w14:paraId="0AA70400" w14:textId="77777777" w:rsidTr="005F710B">
        <w:tc>
          <w:tcPr>
            <w:tcW w:w="4320" w:type="dxa"/>
          </w:tcPr>
          <w:p w14:paraId="153F989D" w14:textId="56F8100B"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W</w:t>
            </w:r>
            <w:r w:rsidRPr="008D40D7">
              <w:rPr>
                <w:snapToGrid w:val="0"/>
                <w:color w:val="000000"/>
                <w:sz w:val="19"/>
                <w:szCs w:val="19"/>
              </w:rPr>
              <w:t>arrant</w:t>
            </w:r>
            <w:r w:rsidR="008D40D7" w:rsidRPr="008D40D7">
              <w:rPr>
                <w:snapToGrid w:val="0"/>
                <w:color w:val="000000"/>
                <w:sz w:val="19"/>
                <w:szCs w:val="19"/>
              </w:rPr>
              <w:t>s</w:t>
            </w:r>
            <w:r w:rsidRPr="008D40D7">
              <w:rPr>
                <w:snapToGrid w:val="0"/>
                <w:color w:val="000000"/>
                <w:sz w:val="19"/>
                <w:szCs w:val="19"/>
              </w:rPr>
              <w:t xml:space="preserve"> exercise</w:t>
            </w:r>
            <w:r w:rsidR="008D40D7" w:rsidRPr="008D40D7">
              <w:rPr>
                <w:snapToGrid w:val="0"/>
                <w:color w:val="000000"/>
                <w:sz w:val="19"/>
                <w:szCs w:val="19"/>
              </w:rPr>
              <w:t>d for common stock</w:t>
            </w:r>
          </w:p>
        </w:tc>
        <w:tc>
          <w:tcPr>
            <w:tcW w:w="1260" w:type="dxa"/>
          </w:tcPr>
          <w:p w14:paraId="43CE86E4" w14:textId="7C895744"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519BA15" w14:textId="26AD0DF2"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2704AEFE" w14:textId="1D951345"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36,902</w:t>
            </w:r>
          </w:p>
        </w:tc>
        <w:tc>
          <w:tcPr>
            <w:tcW w:w="990" w:type="dxa"/>
          </w:tcPr>
          <w:p w14:paraId="79BA074F" w14:textId="0F772DD1"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440" w:type="dxa"/>
          </w:tcPr>
          <w:p w14:paraId="70B75503" w14:textId="57DF2FC2"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350" w:type="dxa"/>
          </w:tcPr>
          <w:p w14:paraId="444542E9" w14:textId="06398463" w:rsidR="00302C3D" w:rsidRPr="008D40D7" w:rsidRDefault="00302C3D"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3024B0FF" w14:textId="612DBCEB" w:rsidR="00302C3D" w:rsidRDefault="00302C3D" w:rsidP="00B02073">
            <w:pPr>
              <w:tabs>
                <w:tab w:val="decimal" w:pos="1418"/>
                <w:tab w:val="right" w:pos="9180"/>
              </w:tabs>
              <w:rPr>
                <w:snapToGrid w:val="0"/>
                <w:color w:val="000000"/>
                <w:sz w:val="19"/>
                <w:szCs w:val="19"/>
              </w:rPr>
            </w:pPr>
            <w:r w:rsidRPr="008D40D7">
              <w:rPr>
                <w:snapToGrid w:val="0"/>
                <w:color w:val="000000"/>
                <w:sz w:val="19"/>
                <w:szCs w:val="19"/>
              </w:rPr>
              <w:tab/>
              <w:t>-</w:t>
            </w:r>
          </w:p>
        </w:tc>
      </w:tr>
      <w:tr w:rsidR="00302C3D" w:rsidRPr="00487CAB" w14:paraId="68D6621A" w14:textId="77777777" w:rsidTr="005F710B">
        <w:tc>
          <w:tcPr>
            <w:tcW w:w="4320" w:type="dxa"/>
          </w:tcPr>
          <w:p w14:paraId="383651D1" w14:textId="19EB18B6"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Common stock issued upon debenture conversion</w:t>
            </w:r>
          </w:p>
        </w:tc>
        <w:tc>
          <w:tcPr>
            <w:tcW w:w="1260" w:type="dxa"/>
          </w:tcPr>
          <w:p w14:paraId="16EDA2E2" w14:textId="1E0E6ECF"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358E776B" w14:textId="60D9C601"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35880A01" w14:textId="37525322"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177,626</w:t>
            </w:r>
          </w:p>
        </w:tc>
        <w:tc>
          <w:tcPr>
            <w:tcW w:w="990" w:type="dxa"/>
          </w:tcPr>
          <w:p w14:paraId="3EF4A2CD" w14:textId="16399F0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w:t>
            </w:r>
            <w:r w:rsidR="005F710B">
              <w:rPr>
                <w:snapToGrid w:val="0"/>
                <w:color w:val="000000"/>
                <w:sz w:val="19"/>
                <w:szCs w:val="19"/>
              </w:rPr>
              <w:t>7</w:t>
            </w:r>
          </w:p>
        </w:tc>
        <w:tc>
          <w:tcPr>
            <w:tcW w:w="1440" w:type="dxa"/>
          </w:tcPr>
          <w:p w14:paraId="4A167587" w14:textId="0ADF3AC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569,3</w:t>
            </w:r>
            <w:r w:rsidR="005F710B">
              <w:rPr>
                <w:snapToGrid w:val="0"/>
                <w:color w:val="000000"/>
                <w:sz w:val="19"/>
                <w:szCs w:val="19"/>
              </w:rPr>
              <w:t>40</w:t>
            </w:r>
          </w:p>
        </w:tc>
        <w:tc>
          <w:tcPr>
            <w:tcW w:w="1350" w:type="dxa"/>
          </w:tcPr>
          <w:p w14:paraId="5AA79AD3" w14:textId="173A13DE"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AEB883C" w14:textId="137AB4AA"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t>569,517</w:t>
            </w:r>
          </w:p>
        </w:tc>
      </w:tr>
      <w:tr w:rsidR="00302C3D" w:rsidRPr="00487CAB" w14:paraId="60D96EE8" w14:textId="77777777" w:rsidTr="005F710B">
        <w:tc>
          <w:tcPr>
            <w:tcW w:w="4320" w:type="dxa"/>
          </w:tcPr>
          <w:p w14:paraId="5DC0D4F3" w14:textId="476F1598" w:rsidR="00302C3D"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Common stock issued upon cancellation</w:t>
            </w:r>
          </w:p>
          <w:p w14:paraId="2F309F46" w14:textId="426EF1BD" w:rsidR="009F771E" w:rsidRPr="008D40D7" w:rsidRDefault="009F771E" w:rsidP="00B02073">
            <w:pPr>
              <w:tabs>
                <w:tab w:val="left" w:pos="144"/>
                <w:tab w:val="left" w:pos="324"/>
                <w:tab w:val="right" w:pos="9180"/>
              </w:tabs>
              <w:rPr>
                <w:snapToGrid w:val="0"/>
                <w:color w:val="000000"/>
                <w:sz w:val="19"/>
                <w:szCs w:val="19"/>
              </w:rPr>
            </w:pPr>
            <w:r>
              <w:rPr>
                <w:snapToGrid w:val="0"/>
                <w:color w:val="000000"/>
                <w:sz w:val="19"/>
                <w:szCs w:val="19"/>
              </w:rPr>
              <w:tab/>
              <w:t xml:space="preserve">   of accrued compensation</w:t>
            </w:r>
          </w:p>
        </w:tc>
        <w:tc>
          <w:tcPr>
            <w:tcW w:w="1260" w:type="dxa"/>
          </w:tcPr>
          <w:p w14:paraId="7338511A" w14:textId="77777777" w:rsidR="009F771E" w:rsidRDefault="009F771E" w:rsidP="00B02073">
            <w:pPr>
              <w:tabs>
                <w:tab w:val="decimal" w:pos="917"/>
                <w:tab w:val="left" w:pos="2340"/>
                <w:tab w:val="right" w:pos="9180"/>
              </w:tabs>
              <w:rPr>
                <w:snapToGrid w:val="0"/>
                <w:color w:val="000000"/>
                <w:sz w:val="19"/>
                <w:szCs w:val="19"/>
              </w:rPr>
            </w:pPr>
          </w:p>
          <w:p w14:paraId="775B189E" w14:textId="353CA951"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6D652F60" w14:textId="77777777" w:rsidR="009F771E" w:rsidRDefault="009F771E" w:rsidP="005F710B">
            <w:pPr>
              <w:tabs>
                <w:tab w:val="decimal" w:pos="879"/>
                <w:tab w:val="left" w:pos="2340"/>
                <w:tab w:val="right" w:pos="9180"/>
              </w:tabs>
              <w:rPr>
                <w:snapToGrid w:val="0"/>
                <w:color w:val="000000"/>
                <w:sz w:val="19"/>
                <w:szCs w:val="19"/>
              </w:rPr>
            </w:pPr>
          </w:p>
          <w:p w14:paraId="7CCC5D94" w14:textId="528C59FD"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2BCBA69B" w14:textId="77777777" w:rsidR="009F771E" w:rsidRDefault="009F771E" w:rsidP="00B02073">
            <w:pPr>
              <w:tabs>
                <w:tab w:val="decimal" w:pos="1148"/>
                <w:tab w:val="decimal" w:pos="1422"/>
                <w:tab w:val="left" w:pos="2340"/>
                <w:tab w:val="right" w:pos="9180"/>
              </w:tabs>
              <w:rPr>
                <w:snapToGrid w:val="0"/>
                <w:color w:val="000000"/>
                <w:sz w:val="19"/>
                <w:szCs w:val="19"/>
              </w:rPr>
            </w:pPr>
          </w:p>
          <w:p w14:paraId="472F0474" w14:textId="5DD7685D"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300,001</w:t>
            </w:r>
          </w:p>
        </w:tc>
        <w:tc>
          <w:tcPr>
            <w:tcW w:w="990" w:type="dxa"/>
          </w:tcPr>
          <w:p w14:paraId="6690D4E2" w14:textId="77777777" w:rsidR="009F771E" w:rsidRDefault="009F771E" w:rsidP="00B02073">
            <w:pPr>
              <w:tabs>
                <w:tab w:val="decimal" w:pos="1148"/>
                <w:tab w:val="decimal" w:pos="1422"/>
                <w:tab w:val="left" w:pos="2340"/>
                <w:tab w:val="right" w:pos="9180"/>
              </w:tabs>
              <w:rPr>
                <w:snapToGrid w:val="0"/>
                <w:color w:val="000000"/>
                <w:sz w:val="19"/>
                <w:szCs w:val="19"/>
              </w:rPr>
            </w:pPr>
          </w:p>
          <w:p w14:paraId="71CAC28F" w14:textId="3EC35496"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w:t>
            </w:r>
          </w:p>
        </w:tc>
        <w:tc>
          <w:tcPr>
            <w:tcW w:w="1440" w:type="dxa"/>
          </w:tcPr>
          <w:p w14:paraId="0D0921A5" w14:textId="77777777" w:rsidR="009F771E" w:rsidRDefault="009F771E" w:rsidP="00B02073">
            <w:pPr>
              <w:tabs>
                <w:tab w:val="decimal" w:pos="1148"/>
                <w:tab w:val="decimal" w:pos="1422"/>
                <w:tab w:val="left" w:pos="2340"/>
                <w:tab w:val="right" w:pos="9180"/>
              </w:tabs>
              <w:rPr>
                <w:snapToGrid w:val="0"/>
                <w:color w:val="000000"/>
                <w:sz w:val="19"/>
                <w:szCs w:val="19"/>
              </w:rPr>
            </w:pPr>
          </w:p>
          <w:p w14:paraId="0A96E1C9" w14:textId="5D43CC80"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1,499,700</w:t>
            </w:r>
          </w:p>
        </w:tc>
        <w:tc>
          <w:tcPr>
            <w:tcW w:w="1350" w:type="dxa"/>
          </w:tcPr>
          <w:p w14:paraId="1FD86C1F" w14:textId="77777777" w:rsidR="009F771E" w:rsidRDefault="009F771E" w:rsidP="00B02073">
            <w:pPr>
              <w:tabs>
                <w:tab w:val="decimal" w:pos="1150"/>
                <w:tab w:val="left" w:pos="2340"/>
                <w:tab w:val="right" w:pos="9180"/>
              </w:tabs>
              <w:rPr>
                <w:snapToGrid w:val="0"/>
                <w:color w:val="000000"/>
                <w:sz w:val="19"/>
                <w:szCs w:val="19"/>
              </w:rPr>
            </w:pPr>
          </w:p>
          <w:p w14:paraId="59609CFB" w14:textId="325C73EF"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22BB171" w14:textId="77777777" w:rsidR="009F771E" w:rsidRDefault="009F771E" w:rsidP="00B02073">
            <w:pPr>
              <w:tabs>
                <w:tab w:val="decimal" w:pos="1418"/>
                <w:tab w:val="right" w:pos="9180"/>
              </w:tabs>
              <w:rPr>
                <w:snapToGrid w:val="0"/>
                <w:color w:val="000000"/>
                <w:sz w:val="19"/>
                <w:szCs w:val="19"/>
              </w:rPr>
            </w:pPr>
          </w:p>
          <w:p w14:paraId="6A733587" w14:textId="4CB8A200"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t>1,500,000</w:t>
            </w:r>
          </w:p>
        </w:tc>
      </w:tr>
      <w:tr w:rsidR="00302C3D" w:rsidRPr="00487CAB" w14:paraId="570C3B72" w14:textId="77777777" w:rsidTr="005F710B">
        <w:tc>
          <w:tcPr>
            <w:tcW w:w="4320" w:type="dxa"/>
          </w:tcPr>
          <w:p w14:paraId="1728D9DA" w14:textId="5A6159C8" w:rsidR="00302C3D" w:rsidRPr="008D40D7" w:rsidRDefault="00302C3D" w:rsidP="00B02073">
            <w:pPr>
              <w:tabs>
                <w:tab w:val="left" w:pos="144"/>
                <w:tab w:val="left" w:pos="324"/>
                <w:tab w:val="right" w:pos="9180"/>
              </w:tabs>
              <w:rPr>
                <w:snapToGrid w:val="0"/>
                <w:color w:val="000000"/>
                <w:sz w:val="19"/>
                <w:szCs w:val="19"/>
              </w:rPr>
            </w:pPr>
            <w:r w:rsidRPr="008D40D7">
              <w:rPr>
                <w:snapToGrid w:val="0"/>
                <w:color w:val="000000"/>
                <w:sz w:val="19"/>
                <w:szCs w:val="19"/>
              </w:rPr>
              <w:tab/>
            </w:r>
            <w:r w:rsidR="008D40D7" w:rsidRPr="008D40D7">
              <w:rPr>
                <w:snapToGrid w:val="0"/>
                <w:color w:val="000000"/>
                <w:sz w:val="19"/>
                <w:szCs w:val="19"/>
              </w:rPr>
              <w:t>Sale of common stock for cash</w:t>
            </w:r>
          </w:p>
        </w:tc>
        <w:tc>
          <w:tcPr>
            <w:tcW w:w="1260" w:type="dxa"/>
          </w:tcPr>
          <w:p w14:paraId="153A4548" w14:textId="49ED42F2" w:rsidR="00302C3D" w:rsidRPr="008D40D7" w:rsidRDefault="00302C3D" w:rsidP="00B02073">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7780A0C3" w14:textId="0D44C117" w:rsidR="00302C3D" w:rsidRPr="008D40D7" w:rsidRDefault="00302C3D" w:rsidP="005F710B">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1CA44F3B" w14:textId="63BEADA1" w:rsidR="00302C3D" w:rsidRPr="008D40D7" w:rsidRDefault="00302C3D"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2,310,000</w:t>
            </w:r>
          </w:p>
        </w:tc>
        <w:tc>
          <w:tcPr>
            <w:tcW w:w="990" w:type="dxa"/>
          </w:tcPr>
          <w:p w14:paraId="66803D9C" w14:textId="42303E28"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w:t>
            </w:r>
          </w:p>
        </w:tc>
        <w:tc>
          <w:tcPr>
            <w:tcW w:w="1440" w:type="dxa"/>
          </w:tcPr>
          <w:p w14:paraId="60C865D5" w14:textId="053E3359" w:rsidR="00302C3D" w:rsidRPr="008D40D7" w:rsidRDefault="00C628AB" w:rsidP="00B02073">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r>
            <w:r w:rsidR="00C7748D" w:rsidRPr="008D40D7">
              <w:rPr>
                <w:snapToGrid w:val="0"/>
                <w:color w:val="000000"/>
                <w:sz w:val="19"/>
                <w:szCs w:val="19"/>
              </w:rPr>
              <w:t>11,156,186</w:t>
            </w:r>
          </w:p>
        </w:tc>
        <w:tc>
          <w:tcPr>
            <w:tcW w:w="1350" w:type="dxa"/>
          </w:tcPr>
          <w:p w14:paraId="02F78642" w14:textId="1B8AA552" w:rsidR="00302C3D" w:rsidRPr="008D40D7" w:rsidRDefault="00C628AB" w:rsidP="00B02073">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CE63856" w14:textId="20A227E4" w:rsidR="00302C3D" w:rsidRDefault="00C628AB" w:rsidP="00B02073">
            <w:pPr>
              <w:tabs>
                <w:tab w:val="decimal" w:pos="1418"/>
                <w:tab w:val="right" w:pos="9180"/>
              </w:tabs>
              <w:rPr>
                <w:snapToGrid w:val="0"/>
                <w:color w:val="000000"/>
                <w:sz w:val="19"/>
                <w:szCs w:val="19"/>
              </w:rPr>
            </w:pPr>
            <w:r w:rsidRPr="008D40D7">
              <w:rPr>
                <w:snapToGrid w:val="0"/>
                <w:color w:val="000000"/>
                <w:sz w:val="19"/>
                <w:szCs w:val="19"/>
              </w:rPr>
              <w:tab/>
            </w:r>
            <w:r w:rsidR="00C7748D" w:rsidRPr="008D40D7">
              <w:rPr>
                <w:snapToGrid w:val="0"/>
                <w:color w:val="000000"/>
                <w:sz w:val="19"/>
                <w:szCs w:val="19"/>
              </w:rPr>
              <w:t>11,158,496</w:t>
            </w:r>
          </w:p>
        </w:tc>
      </w:tr>
      <w:tr w:rsidR="00302C3D" w:rsidRPr="00487CAB" w14:paraId="5FFA80B7" w14:textId="77777777" w:rsidTr="005F710B">
        <w:tc>
          <w:tcPr>
            <w:tcW w:w="4320" w:type="dxa"/>
          </w:tcPr>
          <w:p w14:paraId="46470B8D" w14:textId="75CDC0D4" w:rsidR="00302C3D" w:rsidRDefault="00302C3D" w:rsidP="00B02073">
            <w:pPr>
              <w:tabs>
                <w:tab w:val="left" w:pos="144"/>
                <w:tab w:val="left" w:pos="324"/>
                <w:tab w:val="right" w:pos="9180"/>
              </w:tabs>
              <w:rPr>
                <w:snapToGrid w:val="0"/>
                <w:color w:val="000000"/>
                <w:sz w:val="19"/>
                <w:szCs w:val="19"/>
              </w:rPr>
            </w:pPr>
            <w:r>
              <w:rPr>
                <w:snapToGrid w:val="0"/>
                <w:color w:val="000000"/>
                <w:sz w:val="19"/>
                <w:szCs w:val="19"/>
              </w:rPr>
              <w:tab/>
              <w:t>Common stock issued for services</w:t>
            </w:r>
          </w:p>
        </w:tc>
        <w:tc>
          <w:tcPr>
            <w:tcW w:w="1260" w:type="dxa"/>
          </w:tcPr>
          <w:p w14:paraId="2E92F62B" w14:textId="396917C0" w:rsidR="00302C3D" w:rsidRDefault="00302C3D"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56FA9035" w14:textId="029ECFF1" w:rsidR="00302C3D" w:rsidRDefault="00302C3D" w:rsidP="005F710B">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57B311F" w14:textId="4BCE223B"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517</w:t>
            </w:r>
          </w:p>
        </w:tc>
        <w:tc>
          <w:tcPr>
            <w:tcW w:w="990" w:type="dxa"/>
          </w:tcPr>
          <w:p w14:paraId="4218535E" w14:textId="40B404E7"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F710B">
              <w:rPr>
                <w:snapToGrid w:val="0"/>
                <w:color w:val="000000"/>
                <w:sz w:val="19"/>
                <w:szCs w:val="19"/>
              </w:rPr>
              <w:t>-</w:t>
            </w:r>
          </w:p>
        </w:tc>
        <w:tc>
          <w:tcPr>
            <w:tcW w:w="1440" w:type="dxa"/>
          </w:tcPr>
          <w:p w14:paraId="3A432693" w14:textId="7777367B" w:rsidR="00302C3D" w:rsidRPr="008219AB" w:rsidRDefault="00C628AB" w:rsidP="008219AB">
            <w:pPr>
              <w:tabs>
                <w:tab w:val="decimal" w:pos="1148"/>
                <w:tab w:val="decimal" w:pos="1422"/>
                <w:tab w:val="left" w:pos="2340"/>
                <w:tab w:val="right" w:pos="9180"/>
              </w:tabs>
              <w:ind w:left="360"/>
              <w:rPr>
                <w:snapToGrid w:val="0"/>
                <w:color w:val="000000"/>
                <w:sz w:val="19"/>
                <w:szCs w:val="19"/>
              </w:rPr>
            </w:pPr>
            <w:r w:rsidRPr="008219AB">
              <w:rPr>
                <w:snapToGrid w:val="0"/>
                <w:color w:val="000000"/>
                <w:sz w:val="19"/>
                <w:szCs w:val="19"/>
              </w:rPr>
              <w:tab/>
            </w:r>
            <w:r w:rsidR="005F710B" w:rsidRPr="008219AB">
              <w:rPr>
                <w:snapToGrid w:val="0"/>
                <w:color w:val="000000"/>
                <w:sz w:val="19"/>
                <w:szCs w:val="19"/>
              </w:rPr>
              <w:t>6,000</w:t>
            </w:r>
          </w:p>
        </w:tc>
        <w:tc>
          <w:tcPr>
            <w:tcW w:w="1350" w:type="dxa"/>
          </w:tcPr>
          <w:p w14:paraId="3D2B9EAF" w14:textId="1E716D86" w:rsidR="00302C3D" w:rsidRDefault="00C628AB"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4D736BC7" w14:textId="074DFB10" w:rsidR="00302C3D" w:rsidRDefault="00C628AB" w:rsidP="00B02073">
            <w:pPr>
              <w:tabs>
                <w:tab w:val="decimal" w:pos="1418"/>
                <w:tab w:val="right" w:pos="9180"/>
              </w:tabs>
              <w:rPr>
                <w:snapToGrid w:val="0"/>
                <w:color w:val="000000"/>
                <w:sz w:val="19"/>
                <w:szCs w:val="19"/>
              </w:rPr>
            </w:pPr>
            <w:r>
              <w:rPr>
                <w:snapToGrid w:val="0"/>
                <w:color w:val="000000"/>
                <w:sz w:val="19"/>
                <w:szCs w:val="19"/>
              </w:rPr>
              <w:tab/>
              <w:t>6,000</w:t>
            </w:r>
          </w:p>
        </w:tc>
      </w:tr>
      <w:tr w:rsidR="00302C3D" w:rsidRPr="00487CAB" w14:paraId="3673105A" w14:textId="77777777" w:rsidTr="005F710B">
        <w:tc>
          <w:tcPr>
            <w:tcW w:w="4320" w:type="dxa"/>
          </w:tcPr>
          <w:p w14:paraId="2D69C588" w14:textId="18898B22" w:rsidR="00302C3D" w:rsidRDefault="00302C3D" w:rsidP="00B02073">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4DCBAF8C" w14:textId="099AA2CE" w:rsidR="00302C3D" w:rsidRDefault="00302C3D" w:rsidP="00B02073">
            <w:pPr>
              <w:tabs>
                <w:tab w:val="decimal" w:pos="917"/>
                <w:tab w:val="left" w:pos="2340"/>
                <w:tab w:val="right" w:pos="9180"/>
              </w:tabs>
              <w:rPr>
                <w:snapToGrid w:val="0"/>
                <w:color w:val="000000"/>
                <w:sz w:val="19"/>
                <w:szCs w:val="19"/>
              </w:rPr>
            </w:pPr>
            <w:r>
              <w:rPr>
                <w:snapToGrid w:val="0"/>
                <w:color w:val="000000"/>
                <w:sz w:val="19"/>
                <w:szCs w:val="19"/>
              </w:rPr>
              <w:tab/>
            </w:r>
          </w:p>
        </w:tc>
        <w:tc>
          <w:tcPr>
            <w:tcW w:w="1260" w:type="dxa"/>
          </w:tcPr>
          <w:p w14:paraId="1A1A7018" w14:textId="3BFD906E" w:rsidR="00302C3D" w:rsidRDefault="00302C3D" w:rsidP="005F710B">
            <w:pPr>
              <w:tabs>
                <w:tab w:val="decimal" w:pos="879"/>
                <w:tab w:val="left" w:pos="2340"/>
                <w:tab w:val="right" w:pos="9180"/>
              </w:tabs>
              <w:rPr>
                <w:snapToGrid w:val="0"/>
                <w:color w:val="000000"/>
                <w:sz w:val="19"/>
                <w:szCs w:val="19"/>
              </w:rPr>
            </w:pPr>
            <w:r>
              <w:rPr>
                <w:snapToGrid w:val="0"/>
                <w:color w:val="000000"/>
                <w:sz w:val="19"/>
                <w:szCs w:val="19"/>
              </w:rPr>
              <w:tab/>
            </w:r>
          </w:p>
        </w:tc>
        <w:tc>
          <w:tcPr>
            <w:tcW w:w="990" w:type="dxa"/>
          </w:tcPr>
          <w:p w14:paraId="034B0138" w14:textId="3E0409ED" w:rsidR="00302C3D" w:rsidRDefault="00C628AB"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990" w:type="dxa"/>
          </w:tcPr>
          <w:p w14:paraId="6F7A732B" w14:textId="77777777" w:rsidR="00302C3D" w:rsidRDefault="00302C3D" w:rsidP="00B02073">
            <w:pPr>
              <w:tabs>
                <w:tab w:val="decimal" w:pos="1148"/>
                <w:tab w:val="decimal" w:pos="1422"/>
                <w:tab w:val="left" w:pos="2340"/>
                <w:tab w:val="right" w:pos="9180"/>
              </w:tabs>
              <w:rPr>
                <w:snapToGrid w:val="0"/>
                <w:color w:val="000000"/>
                <w:sz w:val="19"/>
                <w:szCs w:val="19"/>
              </w:rPr>
            </w:pPr>
          </w:p>
        </w:tc>
        <w:tc>
          <w:tcPr>
            <w:tcW w:w="1440" w:type="dxa"/>
          </w:tcPr>
          <w:p w14:paraId="47A130CF" w14:textId="79A0E133" w:rsidR="00302C3D" w:rsidRDefault="00C774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1350" w:type="dxa"/>
          </w:tcPr>
          <w:p w14:paraId="0DDA4D3E" w14:textId="77777777" w:rsidR="00302C3D" w:rsidRDefault="00302C3D" w:rsidP="00B02073">
            <w:pPr>
              <w:tabs>
                <w:tab w:val="decimal" w:pos="1150"/>
                <w:tab w:val="left" w:pos="2340"/>
                <w:tab w:val="right" w:pos="9180"/>
              </w:tabs>
              <w:rPr>
                <w:snapToGrid w:val="0"/>
                <w:color w:val="000000"/>
                <w:sz w:val="19"/>
                <w:szCs w:val="19"/>
              </w:rPr>
            </w:pPr>
          </w:p>
        </w:tc>
        <w:tc>
          <w:tcPr>
            <w:tcW w:w="1800" w:type="dxa"/>
            <w:gridSpan w:val="2"/>
          </w:tcPr>
          <w:p w14:paraId="0AD20769" w14:textId="77777777" w:rsidR="00302C3D" w:rsidRDefault="00302C3D" w:rsidP="00B02073">
            <w:pPr>
              <w:tabs>
                <w:tab w:val="decimal" w:pos="1418"/>
                <w:tab w:val="right" w:pos="9180"/>
              </w:tabs>
              <w:rPr>
                <w:snapToGrid w:val="0"/>
                <w:color w:val="000000"/>
                <w:sz w:val="19"/>
                <w:szCs w:val="19"/>
              </w:rPr>
            </w:pPr>
          </w:p>
        </w:tc>
      </w:tr>
      <w:tr w:rsidR="00C861EA" w:rsidRPr="00487CAB" w14:paraId="699E5DD0" w14:textId="77777777" w:rsidTr="005F710B">
        <w:tc>
          <w:tcPr>
            <w:tcW w:w="4320" w:type="dxa"/>
          </w:tcPr>
          <w:p w14:paraId="2F469877" w14:textId="18A9DCFA"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ab/>
            </w:r>
            <w:r w:rsidR="00302C3D">
              <w:rPr>
                <w:snapToGrid w:val="0"/>
                <w:color w:val="000000"/>
                <w:sz w:val="19"/>
                <w:szCs w:val="19"/>
              </w:rPr>
              <w:t xml:space="preserve">   September</w:t>
            </w:r>
            <w:r w:rsidR="001B5554" w:rsidRPr="00487CAB">
              <w:rPr>
                <w:snapToGrid w:val="0"/>
                <w:color w:val="000000"/>
                <w:sz w:val="19"/>
                <w:szCs w:val="19"/>
              </w:rPr>
              <w:t xml:space="preserve"> </w:t>
            </w:r>
            <w:r w:rsidRPr="00487CAB">
              <w:rPr>
                <w:snapToGrid w:val="0"/>
                <w:color w:val="000000"/>
                <w:sz w:val="19"/>
                <w:szCs w:val="19"/>
              </w:rPr>
              <w:t>3</w:t>
            </w:r>
            <w:r w:rsidR="001B5554">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bottom w:val="single" w:sz="4" w:space="0" w:color="auto"/>
            </w:tcBorders>
          </w:tcPr>
          <w:p w14:paraId="4253C859" w14:textId="77777777"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2339E43D" w14:textId="77777777" w:rsidR="00C861EA" w:rsidRPr="00487CAB" w:rsidRDefault="00C861EA" w:rsidP="005F710B">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7EF5ACD5"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31F45BD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673454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F34B0C6" w14:textId="35F1F38F" w:rsidR="00C861EA" w:rsidRPr="00487CAB" w:rsidRDefault="00C861EA" w:rsidP="00B02073">
            <w:pPr>
              <w:tabs>
                <w:tab w:val="decimal" w:pos="1150"/>
                <w:tab w:val="left" w:pos="2340"/>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(570,648)</w:t>
            </w:r>
          </w:p>
        </w:tc>
        <w:tc>
          <w:tcPr>
            <w:tcW w:w="1800" w:type="dxa"/>
            <w:gridSpan w:val="2"/>
            <w:tcBorders>
              <w:bottom w:val="single" w:sz="4" w:space="0" w:color="auto"/>
            </w:tcBorders>
          </w:tcPr>
          <w:p w14:paraId="736E4D74" w14:textId="3BF4F545" w:rsidR="00C861EA" w:rsidRPr="00487CAB" w:rsidRDefault="00C861EA" w:rsidP="00B02073">
            <w:pPr>
              <w:tabs>
                <w:tab w:val="decimal" w:pos="1418"/>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(570,648)</w:t>
            </w:r>
          </w:p>
        </w:tc>
      </w:tr>
      <w:tr w:rsidR="00C861EA" w:rsidRPr="00487CAB" w14:paraId="7035B961" w14:textId="77777777" w:rsidTr="005F710B">
        <w:tc>
          <w:tcPr>
            <w:tcW w:w="4320" w:type="dxa"/>
          </w:tcPr>
          <w:p w14:paraId="7B81EC5F" w14:textId="7D166142"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sidR="00302C3D">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bottom w:val="double" w:sz="4" w:space="0" w:color="auto"/>
            </w:tcBorders>
          </w:tcPr>
          <w:p w14:paraId="4255E35C" w14:textId="07AE7FCC"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r>
            <w:r w:rsidR="00302C3D">
              <w:rPr>
                <w:snapToGrid w:val="0"/>
                <w:color w:val="000000"/>
                <w:sz w:val="19"/>
                <w:szCs w:val="19"/>
              </w:rPr>
              <w:t>1</w:t>
            </w:r>
            <w:r>
              <w:rPr>
                <w:snapToGrid w:val="0"/>
                <w:color w:val="000000"/>
                <w:sz w:val="19"/>
                <w:szCs w:val="19"/>
              </w:rPr>
              <w:t>00</w:t>
            </w:r>
          </w:p>
        </w:tc>
        <w:tc>
          <w:tcPr>
            <w:tcW w:w="1260" w:type="dxa"/>
            <w:tcBorders>
              <w:top w:val="single" w:sz="4" w:space="0" w:color="auto"/>
              <w:bottom w:val="double" w:sz="4" w:space="0" w:color="auto"/>
            </w:tcBorders>
          </w:tcPr>
          <w:p w14:paraId="74001B28" w14:textId="4C69721A" w:rsidR="00C861EA" w:rsidRPr="00487CAB" w:rsidRDefault="00C861EA" w:rsidP="005F710B">
            <w:pPr>
              <w:tabs>
                <w:tab w:val="decimal" w:pos="879"/>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990" w:type="dxa"/>
            <w:tcBorders>
              <w:top w:val="single" w:sz="4" w:space="0" w:color="auto"/>
              <w:bottom w:val="double" w:sz="4" w:space="0" w:color="auto"/>
            </w:tcBorders>
          </w:tcPr>
          <w:p w14:paraId="431ECC76" w14:textId="626D95CB"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C7748D">
              <w:rPr>
                <w:snapToGrid w:val="0"/>
                <w:color w:val="000000"/>
                <w:sz w:val="19"/>
                <w:szCs w:val="19"/>
              </w:rPr>
              <w:t>3,559,473</w:t>
            </w:r>
          </w:p>
        </w:tc>
        <w:tc>
          <w:tcPr>
            <w:tcW w:w="990" w:type="dxa"/>
            <w:tcBorders>
              <w:top w:val="single" w:sz="4" w:space="0" w:color="auto"/>
              <w:bottom w:val="double" w:sz="4" w:space="0" w:color="auto"/>
            </w:tcBorders>
          </w:tcPr>
          <w:p w14:paraId="0F969952" w14:textId="542B8C2D"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3,559</w:t>
            </w:r>
          </w:p>
        </w:tc>
        <w:tc>
          <w:tcPr>
            <w:tcW w:w="1440" w:type="dxa"/>
            <w:tcBorders>
              <w:top w:val="single" w:sz="4" w:space="0" w:color="auto"/>
              <w:bottom w:val="double" w:sz="4" w:space="0" w:color="auto"/>
            </w:tcBorders>
          </w:tcPr>
          <w:p w14:paraId="1F849916" w14:textId="6296A0B7"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55,203,149</w:t>
            </w:r>
          </w:p>
        </w:tc>
        <w:tc>
          <w:tcPr>
            <w:tcW w:w="1350" w:type="dxa"/>
            <w:tcBorders>
              <w:top w:val="single" w:sz="4" w:space="0" w:color="auto"/>
              <w:bottom w:val="double" w:sz="4" w:space="0" w:color="auto"/>
            </w:tcBorders>
          </w:tcPr>
          <w:p w14:paraId="3CF1A09B" w14:textId="4685E26D"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(44,469,059)</w:t>
            </w:r>
          </w:p>
        </w:tc>
        <w:tc>
          <w:tcPr>
            <w:tcW w:w="1800" w:type="dxa"/>
            <w:gridSpan w:val="2"/>
            <w:tcBorders>
              <w:top w:val="single" w:sz="4" w:space="0" w:color="auto"/>
              <w:bottom w:val="double" w:sz="4" w:space="0" w:color="auto"/>
            </w:tcBorders>
          </w:tcPr>
          <w:p w14:paraId="1CAB3C51" w14:textId="38173BB7"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C7748D">
              <w:rPr>
                <w:snapToGrid w:val="0"/>
                <w:color w:val="000000"/>
                <w:sz w:val="19"/>
                <w:szCs w:val="19"/>
              </w:rPr>
              <w:t>10,813,744</w:t>
            </w:r>
          </w:p>
        </w:tc>
      </w:tr>
    </w:tbl>
    <w:p w14:paraId="3CC87C4C" w14:textId="4A97A63B" w:rsidR="008D0F89" w:rsidRDefault="008D0F89" w:rsidP="004F479E">
      <w:pPr>
        <w:tabs>
          <w:tab w:val="decimal" w:pos="1152"/>
          <w:tab w:val="left" w:pos="2340"/>
          <w:tab w:val="right" w:pos="9180"/>
        </w:tabs>
        <w:rPr>
          <w:snapToGrid w:val="0"/>
          <w:color w:val="000000"/>
          <w:sz w:val="19"/>
          <w:szCs w:val="19"/>
        </w:rPr>
      </w:pPr>
    </w:p>
    <w:p w14:paraId="36D0F323" w14:textId="090C470E" w:rsidR="004B4D49" w:rsidRDefault="004B4D49" w:rsidP="004F479E">
      <w:pPr>
        <w:tabs>
          <w:tab w:val="decimal" w:pos="1152"/>
          <w:tab w:val="left" w:pos="2340"/>
          <w:tab w:val="right" w:pos="9180"/>
        </w:tabs>
        <w:rPr>
          <w:snapToGrid w:val="0"/>
          <w:color w:val="000000"/>
          <w:sz w:val="19"/>
          <w:szCs w:val="19"/>
        </w:rPr>
      </w:pPr>
    </w:p>
    <w:p w14:paraId="370EA68C" w14:textId="4818271E" w:rsidR="004B4D49" w:rsidRDefault="004B4D49" w:rsidP="004F479E">
      <w:pPr>
        <w:tabs>
          <w:tab w:val="decimal" w:pos="1152"/>
          <w:tab w:val="left" w:pos="2340"/>
          <w:tab w:val="right" w:pos="9180"/>
        </w:tabs>
        <w:rPr>
          <w:snapToGrid w:val="0"/>
          <w:color w:val="000000"/>
          <w:sz w:val="19"/>
          <w:szCs w:val="19"/>
        </w:rPr>
      </w:pPr>
    </w:p>
    <w:p w14:paraId="61A19711" w14:textId="6D5AF269" w:rsidR="004B4D49" w:rsidRDefault="004B4D49" w:rsidP="004F479E">
      <w:pPr>
        <w:tabs>
          <w:tab w:val="decimal" w:pos="1152"/>
          <w:tab w:val="left" w:pos="2340"/>
          <w:tab w:val="right" w:pos="9180"/>
        </w:tabs>
        <w:rPr>
          <w:snapToGrid w:val="0"/>
          <w:color w:val="000000"/>
          <w:sz w:val="19"/>
          <w:szCs w:val="19"/>
        </w:rPr>
      </w:pPr>
    </w:p>
    <w:p w14:paraId="55129BC8" w14:textId="45EF2863" w:rsidR="004B4D49" w:rsidRDefault="004B4D49" w:rsidP="004F479E">
      <w:pPr>
        <w:tabs>
          <w:tab w:val="decimal" w:pos="1152"/>
          <w:tab w:val="left" w:pos="2340"/>
          <w:tab w:val="right" w:pos="9180"/>
        </w:tabs>
        <w:rPr>
          <w:snapToGrid w:val="0"/>
          <w:color w:val="000000"/>
          <w:sz w:val="19"/>
          <w:szCs w:val="19"/>
        </w:rPr>
      </w:pPr>
    </w:p>
    <w:p w14:paraId="02ED4AEA" w14:textId="645FAA87" w:rsidR="004B4D49" w:rsidRDefault="004B4D49" w:rsidP="004F479E">
      <w:pPr>
        <w:tabs>
          <w:tab w:val="decimal" w:pos="1152"/>
          <w:tab w:val="left" w:pos="2340"/>
          <w:tab w:val="right" w:pos="9180"/>
        </w:tabs>
        <w:rPr>
          <w:snapToGrid w:val="0"/>
          <w:color w:val="000000"/>
          <w:sz w:val="19"/>
          <w:szCs w:val="19"/>
        </w:rPr>
      </w:pPr>
    </w:p>
    <w:p w14:paraId="451DEDBD" w14:textId="28363D55" w:rsidR="004B4D49" w:rsidRDefault="004B4D49" w:rsidP="004F479E">
      <w:pPr>
        <w:tabs>
          <w:tab w:val="decimal" w:pos="1152"/>
          <w:tab w:val="left" w:pos="2340"/>
          <w:tab w:val="right" w:pos="9180"/>
        </w:tabs>
        <w:rPr>
          <w:snapToGrid w:val="0"/>
          <w:color w:val="000000"/>
          <w:sz w:val="19"/>
          <w:szCs w:val="19"/>
        </w:rPr>
      </w:pPr>
    </w:p>
    <w:p w14:paraId="43DBBF45" w14:textId="6045884A" w:rsidR="004B4D49" w:rsidRDefault="004B4D49" w:rsidP="004F479E">
      <w:pPr>
        <w:tabs>
          <w:tab w:val="decimal" w:pos="1152"/>
          <w:tab w:val="left" w:pos="2340"/>
          <w:tab w:val="right" w:pos="9180"/>
        </w:tabs>
        <w:rPr>
          <w:snapToGrid w:val="0"/>
          <w:color w:val="000000"/>
          <w:sz w:val="19"/>
          <w:szCs w:val="19"/>
        </w:rPr>
      </w:pPr>
    </w:p>
    <w:p w14:paraId="668A70FF" w14:textId="77777777" w:rsidR="004B4D49" w:rsidRDefault="004B4D49" w:rsidP="004F479E">
      <w:pPr>
        <w:tabs>
          <w:tab w:val="decimal" w:pos="1152"/>
          <w:tab w:val="left" w:pos="2340"/>
          <w:tab w:val="right" w:pos="9180"/>
        </w:tabs>
        <w:rPr>
          <w:snapToGrid w:val="0"/>
          <w:color w:val="000000"/>
          <w:sz w:val="19"/>
          <w:szCs w:val="19"/>
        </w:rPr>
      </w:pPr>
    </w:p>
    <w:p w14:paraId="59E13D0F" w14:textId="30F04A9B" w:rsidR="004B4D49" w:rsidRDefault="004B4D49" w:rsidP="004F479E">
      <w:pPr>
        <w:tabs>
          <w:tab w:val="decimal" w:pos="1152"/>
          <w:tab w:val="left" w:pos="2340"/>
          <w:tab w:val="right" w:pos="9180"/>
        </w:tabs>
        <w:rPr>
          <w:snapToGrid w:val="0"/>
          <w:color w:val="000000"/>
          <w:sz w:val="19"/>
          <w:szCs w:val="19"/>
        </w:rPr>
      </w:pPr>
    </w:p>
    <w:p w14:paraId="0D6AF434" w14:textId="0CE94DD1" w:rsidR="004B4D49" w:rsidRDefault="004B4D49" w:rsidP="004B4D49">
      <w:pPr>
        <w:tabs>
          <w:tab w:val="decimal" w:pos="1152"/>
          <w:tab w:val="left" w:pos="2340"/>
          <w:tab w:val="right" w:pos="9180"/>
        </w:tabs>
        <w:jc w:val="center"/>
        <w:rPr>
          <w:snapToGrid w:val="0"/>
          <w:color w:val="000000"/>
          <w:sz w:val="19"/>
          <w:szCs w:val="19"/>
        </w:rPr>
      </w:pPr>
      <w:r w:rsidRPr="00487CAB">
        <w:rPr>
          <w:snapToGrid w:val="0"/>
          <w:color w:val="000000"/>
        </w:rPr>
        <w:t>See accompanying notes to consolidated financial statements</w:t>
      </w:r>
      <w:r>
        <w:rPr>
          <w:snapToGrid w:val="0"/>
          <w:color w:val="000000"/>
        </w:rPr>
        <w:t>.</w:t>
      </w:r>
    </w:p>
    <w:p w14:paraId="07BD1D8E" w14:textId="7D239511" w:rsidR="004B4D49" w:rsidRDefault="004B4D49" w:rsidP="004F479E">
      <w:pPr>
        <w:tabs>
          <w:tab w:val="decimal" w:pos="1152"/>
          <w:tab w:val="left" w:pos="2340"/>
          <w:tab w:val="right" w:pos="9180"/>
        </w:tabs>
        <w:rPr>
          <w:snapToGrid w:val="0"/>
          <w:color w:val="000000"/>
          <w:sz w:val="19"/>
          <w:szCs w:val="19"/>
        </w:rPr>
      </w:pPr>
    </w:p>
    <w:p w14:paraId="591AAE20" w14:textId="77777777" w:rsidR="004B4D49" w:rsidRDefault="004B4D49" w:rsidP="004F479E">
      <w:pPr>
        <w:tabs>
          <w:tab w:val="decimal" w:pos="1152"/>
          <w:tab w:val="left" w:pos="2340"/>
          <w:tab w:val="right" w:pos="9180"/>
        </w:tabs>
        <w:rPr>
          <w:snapToGrid w:val="0"/>
          <w:color w:val="000000"/>
          <w:sz w:val="19"/>
          <w:szCs w:val="19"/>
        </w:rPr>
      </w:pPr>
    </w:p>
    <w:p w14:paraId="23263D24" w14:textId="1531BB84" w:rsidR="00402DCC" w:rsidRDefault="00402DCC">
      <w:pPr>
        <w:rPr>
          <w:snapToGrid w:val="0"/>
          <w:color w:val="000000"/>
          <w:sz w:val="19"/>
          <w:szCs w:val="19"/>
        </w:rPr>
      </w:pPr>
      <w:r>
        <w:rPr>
          <w:snapToGrid w:val="0"/>
          <w:color w:val="000000"/>
          <w:sz w:val="19"/>
          <w:szCs w:val="19"/>
        </w:rPr>
        <w:br w:type="page"/>
      </w:r>
    </w:p>
    <w:p w14:paraId="0C7D0870" w14:textId="77777777" w:rsidR="004B4D49" w:rsidRPr="00487CAB" w:rsidRDefault="004B4D49" w:rsidP="004B4D49">
      <w:pPr>
        <w:jc w:val="center"/>
        <w:rPr>
          <w:b/>
        </w:rPr>
      </w:pPr>
      <w:r w:rsidRPr="00487CAB">
        <w:rPr>
          <w:b/>
        </w:rPr>
        <w:lastRenderedPageBreak/>
        <w:t>GEOVAX LABS, INC.</w:t>
      </w:r>
    </w:p>
    <w:p w14:paraId="33B96F2E" w14:textId="77777777" w:rsidR="004B4D49" w:rsidRPr="00487CAB" w:rsidRDefault="004B4D49" w:rsidP="004B4D49">
      <w:pPr>
        <w:jc w:val="center"/>
        <w:rPr>
          <w:b/>
        </w:rPr>
      </w:pPr>
      <w:r w:rsidRPr="00487CAB">
        <w:rPr>
          <w:b/>
        </w:rPr>
        <w:t>CONDENSED CONSOLIDATED STATEMENTS OF CHANGES IN STOCKHOLDERS’ EQUITY (DEFICIENCY)</w:t>
      </w:r>
    </w:p>
    <w:p w14:paraId="03A7ECDE" w14:textId="311C01C7" w:rsidR="004B4D49" w:rsidRPr="004B4D49" w:rsidRDefault="004B4D49" w:rsidP="004B4D49">
      <w:pPr>
        <w:jc w:val="center"/>
        <w:rPr>
          <w:b/>
        </w:rPr>
      </w:pPr>
      <w:r w:rsidRPr="00487CAB">
        <w:rPr>
          <w:b/>
        </w:rPr>
        <w:t>(Unaudited)</w:t>
      </w:r>
    </w:p>
    <w:p w14:paraId="674FFE1A" w14:textId="77777777" w:rsidR="00402DCC" w:rsidRDefault="00402DCC" w:rsidP="00402DCC">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402DCC" w:rsidRPr="00487CAB" w14:paraId="07EDBB0D" w14:textId="77777777" w:rsidTr="00D92B09">
        <w:tc>
          <w:tcPr>
            <w:tcW w:w="4410" w:type="dxa"/>
          </w:tcPr>
          <w:p w14:paraId="02D41686" w14:textId="77777777" w:rsidR="00402DCC" w:rsidRPr="00487CAB" w:rsidRDefault="00402DCC" w:rsidP="00D92B09">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1D70B573" w14:textId="77777777" w:rsidR="00402DCC" w:rsidRPr="00487CAB" w:rsidRDefault="00402DCC" w:rsidP="00D92B09">
            <w:pPr>
              <w:tabs>
                <w:tab w:val="right" w:pos="9180"/>
              </w:tabs>
              <w:jc w:val="center"/>
              <w:rPr>
                <w:snapToGrid w:val="0"/>
                <w:color w:val="000000"/>
                <w:sz w:val="19"/>
                <w:szCs w:val="19"/>
              </w:rPr>
            </w:pPr>
            <w:r>
              <w:rPr>
                <w:snapToGrid w:val="0"/>
                <w:color w:val="000000"/>
                <w:sz w:val="19"/>
                <w:szCs w:val="19"/>
              </w:rPr>
              <w:t>Three-Month and Nine-Month Periods Ended September 30, 2019</w:t>
            </w:r>
          </w:p>
        </w:tc>
      </w:tr>
      <w:tr w:rsidR="00402DCC" w:rsidRPr="00487CAB" w14:paraId="54E417A8" w14:textId="77777777" w:rsidTr="00D92B09">
        <w:tc>
          <w:tcPr>
            <w:tcW w:w="4410" w:type="dxa"/>
          </w:tcPr>
          <w:p w14:paraId="462D83AA" w14:textId="77777777" w:rsidR="00402DCC" w:rsidRPr="00487CAB" w:rsidRDefault="00402DCC" w:rsidP="00D92B09">
            <w:pPr>
              <w:tabs>
                <w:tab w:val="left" w:pos="144"/>
                <w:tab w:val="left" w:pos="324"/>
                <w:tab w:val="right" w:pos="9180"/>
              </w:tabs>
              <w:rPr>
                <w:snapToGrid w:val="0"/>
                <w:color w:val="000000"/>
                <w:sz w:val="19"/>
                <w:szCs w:val="19"/>
              </w:rPr>
            </w:pPr>
          </w:p>
        </w:tc>
        <w:tc>
          <w:tcPr>
            <w:tcW w:w="2340" w:type="dxa"/>
            <w:gridSpan w:val="2"/>
          </w:tcPr>
          <w:p w14:paraId="5B20F576" w14:textId="77777777" w:rsidR="00402DCC" w:rsidRPr="00487CAB" w:rsidRDefault="00402DCC" w:rsidP="00D92B09">
            <w:pPr>
              <w:tabs>
                <w:tab w:val="left" w:pos="2340"/>
                <w:tab w:val="right" w:pos="9180"/>
              </w:tabs>
              <w:jc w:val="center"/>
              <w:rPr>
                <w:snapToGrid w:val="0"/>
                <w:color w:val="000000"/>
                <w:sz w:val="19"/>
                <w:szCs w:val="19"/>
              </w:rPr>
            </w:pPr>
          </w:p>
        </w:tc>
        <w:tc>
          <w:tcPr>
            <w:tcW w:w="1080" w:type="dxa"/>
          </w:tcPr>
          <w:p w14:paraId="1A758E81" w14:textId="77777777" w:rsidR="00402DCC" w:rsidRPr="00487CAB" w:rsidRDefault="00402DCC" w:rsidP="00D92B09">
            <w:pPr>
              <w:tabs>
                <w:tab w:val="decimal" w:pos="1148"/>
                <w:tab w:val="right" w:pos="9180"/>
              </w:tabs>
              <w:jc w:val="center"/>
              <w:rPr>
                <w:snapToGrid w:val="0"/>
                <w:color w:val="000000"/>
                <w:sz w:val="19"/>
                <w:szCs w:val="19"/>
              </w:rPr>
            </w:pPr>
          </w:p>
        </w:tc>
        <w:tc>
          <w:tcPr>
            <w:tcW w:w="1170" w:type="dxa"/>
          </w:tcPr>
          <w:p w14:paraId="2AE8AE27" w14:textId="77777777" w:rsidR="00402DCC" w:rsidRPr="00487CAB" w:rsidRDefault="00402DCC" w:rsidP="00D92B09">
            <w:pPr>
              <w:tabs>
                <w:tab w:val="decimal" w:pos="1148"/>
                <w:tab w:val="right" w:pos="9180"/>
              </w:tabs>
              <w:jc w:val="center"/>
              <w:rPr>
                <w:snapToGrid w:val="0"/>
                <w:color w:val="000000"/>
                <w:sz w:val="19"/>
                <w:szCs w:val="19"/>
              </w:rPr>
            </w:pPr>
          </w:p>
        </w:tc>
        <w:tc>
          <w:tcPr>
            <w:tcW w:w="1440" w:type="dxa"/>
          </w:tcPr>
          <w:p w14:paraId="3B6DC5FD" w14:textId="77777777" w:rsidR="00402DCC" w:rsidRPr="00487CAB" w:rsidRDefault="00402DCC" w:rsidP="00D92B09">
            <w:pPr>
              <w:tabs>
                <w:tab w:val="decimal" w:pos="1148"/>
                <w:tab w:val="right" w:pos="9180"/>
              </w:tabs>
              <w:jc w:val="center"/>
              <w:rPr>
                <w:snapToGrid w:val="0"/>
                <w:color w:val="000000"/>
                <w:sz w:val="19"/>
                <w:szCs w:val="19"/>
              </w:rPr>
            </w:pPr>
          </w:p>
        </w:tc>
        <w:tc>
          <w:tcPr>
            <w:tcW w:w="1350" w:type="dxa"/>
          </w:tcPr>
          <w:p w14:paraId="7D51611C" w14:textId="77777777" w:rsidR="00402DCC" w:rsidRPr="00487CAB" w:rsidRDefault="00402DCC" w:rsidP="00D92B09">
            <w:pPr>
              <w:tabs>
                <w:tab w:val="right" w:pos="9180"/>
              </w:tabs>
              <w:jc w:val="center"/>
              <w:rPr>
                <w:snapToGrid w:val="0"/>
                <w:color w:val="000000"/>
                <w:sz w:val="19"/>
                <w:szCs w:val="19"/>
              </w:rPr>
            </w:pPr>
          </w:p>
        </w:tc>
        <w:tc>
          <w:tcPr>
            <w:tcW w:w="1800" w:type="dxa"/>
          </w:tcPr>
          <w:p w14:paraId="36076616"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Total</w:t>
            </w:r>
          </w:p>
        </w:tc>
      </w:tr>
      <w:tr w:rsidR="00402DCC" w:rsidRPr="00487CAB" w14:paraId="05212DCC" w14:textId="77777777" w:rsidTr="00D92B09">
        <w:tc>
          <w:tcPr>
            <w:tcW w:w="4410" w:type="dxa"/>
          </w:tcPr>
          <w:p w14:paraId="4D6C74AD" w14:textId="77777777" w:rsidR="00402DCC" w:rsidRPr="00487CAB" w:rsidRDefault="00402DCC" w:rsidP="00D92B09">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4C4F939" w14:textId="61E1B929"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8219AB">
              <w:rPr>
                <w:snapToGrid w:val="0"/>
                <w:color w:val="000000"/>
                <w:sz w:val="19"/>
                <w:szCs w:val="19"/>
              </w:rPr>
              <w:t>10</w:t>
            </w:r>
            <w:r>
              <w:rPr>
                <w:snapToGrid w:val="0"/>
                <w:color w:val="000000"/>
                <w:sz w:val="19"/>
                <w:szCs w:val="19"/>
              </w:rPr>
              <w:t>)</w:t>
            </w:r>
          </w:p>
        </w:tc>
        <w:tc>
          <w:tcPr>
            <w:tcW w:w="2250" w:type="dxa"/>
            <w:gridSpan w:val="2"/>
            <w:tcBorders>
              <w:bottom w:val="single" w:sz="4" w:space="0" w:color="auto"/>
            </w:tcBorders>
          </w:tcPr>
          <w:p w14:paraId="2399DA86"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6060FFD9"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4441861"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4367EDF8"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402DCC" w:rsidRPr="00487CAB" w14:paraId="4D915740" w14:textId="77777777" w:rsidTr="00D92B09">
        <w:tc>
          <w:tcPr>
            <w:tcW w:w="4410" w:type="dxa"/>
          </w:tcPr>
          <w:p w14:paraId="64E69165"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7C64C8EC"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417D01E4"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73BE60EA"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6998F015"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B3F583B" w14:textId="77777777" w:rsidR="00402DCC" w:rsidRPr="00487CAB" w:rsidRDefault="00402DCC" w:rsidP="00D92B09">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2899EA" w14:textId="77777777" w:rsidR="00402DCC" w:rsidRPr="00487CAB" w:rsidRDefault="00402DCC" w:rsidP="00D92B09">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08A56E9E" w14:textId="77777777" w:rsidR="00402DCC" w:rsidRPr="00487CAB" w:rsidRDefault="00402DCC" w:rsidP="00D92B09">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402DCC" w:rsidRPr="00487CAB" w14:paraId="5095BE6D" w14:textId="77777777" w:rsidTr="00D92B09">
        <w:tc>
          <w:tcPr>
            <w:tcW w:w="4410" w:type="dxa"/>
          </w:tcPr>
          <w:p w14:paraId="5BCD0066"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Balance at December 31, 2018</w:t>
            </w:r>
          </w:p>
        </w:tc>
        <w:tc>
          <w:tcPr>
            <w:tcW w:w="1260" w:type="dxa"/>
          </w:tcPr>
          <w:p w14:paraId="62953433"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3,450</w:t>
            </w:r>
          </w:p>
        </w:tc>
        <w:tc>
          <w:tcPr>
            <w:tcW w:w="1080" w:type="dxa"/>
          </w:tcPr>
          <w:p w14:paraId="11007EFE"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1,971,333</w:t>
            </w:r>
          </w:p>
        </w:tc>
        <w:tc>
          <w:tcPr>
            <w:tcW w:w="1080" w:type="dxa"/>
          </w:tcPr>
          <w:p w14:paraId="5B14906B" w14:textId="0F56AD96"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w:t>
            </w:r>
          </w:p>
        </w:tc>
        <w:tc>
          <w:tcPr>
            <w:tcW w:w="1170" w:type="dxa"/>
          </w:tcPr>
          <w:p w14:paraId="3EF530EA" w14:textId="0A95E020"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440" w:type="dxa"/>
          </w:tcPr>
          <w:p w14:paraId="5F6244E4" w14:textId="3187E2F3"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37,48</w:t>
            </w:r>
            <w:r>
              <w:rPr>
                <w:snapToGrid w:val="0"/>
                <w:color w:val="000000"/>
                <w:sz w:val="19"/>
                <w:szCs w:val="19"/>
              </w:rPr>
              <w:t>3,204</w:t>
            </w:r>
          </w:p>
        </w:tc>
        <w:tc>
          <w:tcPr>
            <w:tcW w:w="1350" w:type="dxa"/>
          </w:tcPr>
          <w:p w14:paraId="57F9CE65"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$(40,476,884)</w:t>
            </w:r>
          </w:p>
        </w:tc>
        <w:tc>
          <w:tcPr>
            <w:tcW w:w="1800" w:type="dxa"/>
          </w:tcPr>
          <w:p w14:paraId="256FE44A"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(1,022,347)</w:t>
            </w:r>
          </w:p>
        </w:tc>
      </w:tr>
      <w:tr w:rsidR="00402DCC" w:rsidRPr="00487CAB" w14:paraId="5FA12312" w14:textId="77777777" w:rsidTr="00D92B09">
        <w:tc>
          <w:tcPr>
            <w:tcW w:w="4410" w:type="dxa"/>
          </w:tcPr>
          <w:p w14:paraId="1BB749BF"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p>
        </w:tc>
        <w:tc>
          <w:tcPr>
            <w:tcW w:w="1260" w:type="dxa"/>
          </w:tcPr>
          <w:p w14:paraId="6194D84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263B4A2F"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4B99ADB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170" w:type="dxa"/>
          </w:tcPr>
          <w:p w14:paraId="61AAFC22"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440" w:type="dxa"/>
          </w:tcPr>
          <w:p w14:paraId="7797815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350" w:type="dxa"/>
          </w:tcPr>
          <w:p w14:paraId="0A49AA0B"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p>
        </w:tc>
        <w:tc>
          <w:tcPr>
            <w:tcW w:w="1800" w:type="dxa"/>
          </w:tcPr>
          <w:p w14:paraId="470D2DC1"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p>
        </w:tc>
      </w:tr>
      <w:tr w:rsidR="00402DCC" w:rsidRPr="00487CAB" w14:paraId="664682DE" w14:textId="77777777" w:rsidTr="00D92B09">
        <w:tc>
          <w:tcPr>
            <w:tcW w:w="4410" w:type="dxa"/>
          </w:tcPr>
          <w:p w14:paraId="43CB6133"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r>
            <w:r w:rsidRPr="00487CAB">
              <w:rPr>
                <w:snapToGrid w:val="0"/>
                <w:color w:val="000000"/>
                <w:sz w:val="19"/>
                <w:szCs w:val="19"/>
              </w:rPr>
              <w:tab/>
              <w:t>for cash and cancellation of note payable</w:t>
            </w:r>
          </w:p>
        </w:tc>
        <w:tc>
          <w:tcPr>
            <w:tcW w:w="1260" w:type="dxa"/>
          </w:tcPr>
          <w:p w14:paraId="6C5CBE70"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500</w:t>
            </w:r>
          </w:p>
        </w:tc>
        <w:tc>
          <w:tcPr>
            <w:tcW w:w="1080" w:type="dxa"/>
          </w:tcPr>
          <w:p w14:paraId="3D02B185"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404,250</w:t>
            </w:r>
          </w:p>
        </w:tc>
        <w:tc>
          <w:tcPr>
            <w:tcW w:w="1080" w:type="dxa"/>
          </w:tcPr>
          <w:p w14:paraId="2B61054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44140C9F"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50350075"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85,750</w:t>
            </w:r>
          </w:p>
        </w:tc>
        <w:tc>
          <w:tcPr>
            <w:tcW w:w="1350" w:type="dxa"/>
          </w:tcPr>
          <w:p w14:paraId="1C5F7A66"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15E75221"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490,000</w:t>
            </w:r>
          </w:p>
        </w:tc>
      </w:tr>
      <w:tr w:rsidR="00402DCC" w:rsidRPr="00487CAB" w14:paraId="0C010302" w14:textId="77777777" w:rsidTr="00D92B09">
        <w:tc>
          <w:tcPr>
            <w:tcW w:w="4410" w:type="dxa"/>
          </w:tcPr>
          <w:p w14:paraId="3A17786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31730DFE"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(767)</w:t>
            </w:r>
          </w:p>
        </w:tc>
        <w:tc>
          <w:tcPr>
            <w:tcW w:w="1080" w:type="dxa"/>
          </w:tcPr>
          <w:p w14:paraId="25EC8571"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(303,475)</w:t>
            </w:r>
          </w:p>
        </w:tc>
        <w:tc>
          <w:tcPr>
            <w:tcW w:w="1080" w:type="dxa"/>
          </w:tcPr>
          <w:p w14:paraId="7DC8146B" w14:textId="054E4CC9"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w:t>
            </w:r>
          </w:p>
        </w:tc>
        <w:tc>
          <w:tcPr>
            <w:tcW w:w="1170" w:type="dxa"/>
          </w:tcPr>
          <w:p w14:paraId="7FC43AF0" w14:textId="27D4DCE5"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261602F3" w14:textId="4CEC222E"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303,</w:t>
            </w:r>
            <w:r>
              <w:rPr>
                <w:snapToGrid w:val="0"/>
                <w:color w:val="000000"/>
                <w:sz w:val="19"/>
                <w:szCs w:val="19"/>
              </w:rPr>
              <w:t>475</w:t>
            </w:r>
          </w:p>
        </w:tc>
        <w:tc>
          <w:tcPr>
            <w:tcW w:w="1350" w:type="dxa"/>
          </w:tcPr>
          <w:p w14:paraId="357BDE33"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C080DA9"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586835BB" w14:textId="77777777" w:rsidTr="00D92B09">
        <w:tc>
          <w:tcPr>
            <w:tcW w:w="4410" w:type="dxa"/>
          </w:tcPr>
          <w:p w14:paraId="32A69CB0"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3CD5CF99"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189FB3E"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5578717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08A6748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74D1D1CF"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26,652</w:t>
            </w:r>
          </w:p>
        </w:tc>
        <w:tc>
          <w:tcPr>
            <w:tcW w:w="1350" w:type="dxa"/>
          </w:tcPr>
          <w:p w14:paraId="306ADFD2"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0F194B3E"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26,652</w:t>
            </w:r>
          </w:p>
        </w:tc>
      </w:tr>
      <w:tr w:rsidR="00402DCC" w:rsidRPr="00487CAB" w14:paraId="4E59E678" w14:textId="77777777" w:rsidTr="00D92B09">
        <w:tc>
          <w:tcPr>
            <w:tcW w:w="4410" w:type="dxa"/>
          </w:tcPr>
          <w:p w14:paraId="30E2273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2019</w:t>
            </w:r>
          </w:p>
        </w:tc>
        <w:tc>
          <w:tcPr>
            <w:tcW w:w="1260" w:type="dxa"/>
            <w:tcBorders>
              <w:bottom w:val="single" w:sz="4" w:space="0" w:color="auto"/>
            </w:tcBorders>
          </w:tcPr>
          <w:p w14:paraId="6F07527A"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6F408F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B0780FB"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9EBF3F3"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BFA982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7ABF911"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(701,454)</w:t>
            </w:r>
          </w:p>
        </w:tc>
        <w:tc>
          <w:tcPr>
            <w:tcW w:w="1800" w:type="dxa"/>
            <w:tcBorders>
              <w:bottom w:val="single" w:sz="4" w:space="0" w:color="auto"/>
            </w:tcBorders>
          </w:tcPr>
          <w:p w14:paraId="7B7EE667"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(701,454)</w:t>
            </w:r>
          </w:p>
        </w:tc>
      </w:tr>
      <w:tr w:rsidR="00402DCC" w:rsidRPr="00487CAB" w14:paraId="4B269002" w14:textId="77777777" w:rsidTr="00D92B09">
        <w:tc>
          <w:tcPr>
            <w:tcW w:w="4410" w:type="dxa"/>
          </w:tcPr>
          <w:p w14:paraId="69EB568B"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Balance at March 31, 2019</w:t>
            </w:r>
          </w:p>
        </w:tc>
        <w:tc>
          <w:tcPr>
            <w:tcW w:w="1260" w:type="dxa"/>
            <w:tcBorders>
              <w:top w:val="single" w:sz="4" w:space="0" w:color="auto"/>
            </w:tcBorders>
          </w:tcPr>
          <w:p w14:paraId="0464013E"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3,183</w:t>
            </w:r>
          </w:p>
        </w:tc>
        <w:tc>
          <w:tcPr>
            <w:tcW w:w="1080" w:type="dxa"/>
            <w:tcBorders>
              <w:top w:val="single" w:sz="4" w:space="0" w:color="auto"/>
            </w:tcBorders>
          </w:tcPr>
          <w:p w14:paraId="0B906CD6"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2,072,108</w:t>
            </w:r>
          </w:p>
        </w:tc>
        <w:tc>
          <w:tcPr>
            <w:tcW w:w="1080" w:type="dxa"/>
            <w:tcBorders>
              <w:top w:val="single" w:sz="4" w:space="0" w:color="auto"/>
            </w:tcBorders>
          </w:tcPr>
          <w:p w14:paraId="3EAC01E5" w14:textId="3959B2B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w:t>
            </w:r>
            <w:r w:rsidR="005F710B">
              <w:rPr>
                <w:snapToGrid w:val="0"/>
                <w:color w:val="000000"/>
                <w:sz w:val="19"/>
                <w:szCs w:val="19"/>
              </w:rPr>
              <w:t>4</w:t>
            </w:r>
          </w:p>
        </w:tc>
        <w:tc>
          <w:tcPr>
            <w:tcW w:w="1170" w:type="dxa"/>
            <w:tcBorders>
              <w:top w:val="single" w:sz="4" w:space="0" w:color="auto"/>
            </w:tcBorders>
          </w:tcPr>
          <w:p w14:paraId="67D171D9" w14:textId="764E748D"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Borders>
              <w:top w:val="single" w:sz="4" w:space="0" w:color="auto"/>
            </w:tcBorders>
          </w:tcPr>
          <w:p w14:paraId="690992DB" w14:textId="36C63BD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37,89</w:t>
            </w:r>
            <w:r>
              <w:rPr>
                <w:snapToGrid w:val="0"/>
                <w:color w:val="000000"/>
                <w:sz w:val="19"/>
                <w:szCs w:val="19"/>
              </w:rPr>
              <w:t>9,081</w:t>
            </w:r>
          </w:p>
        </w:tc>
        <w:tc>
          <w:tcPr>
            <w:tcW w:w="1350" w:type="dxa"/>
            <w:tcBorders>
              <w:top w:val="single" w:sz="4" w:space="0" w:color="auto"/>
            </w:tcBorders>
          </w:tcPr>
          <w:p w14:paraId="2F53D385"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(41,178,338)</w:t>
            </w:r>
          </w:p>
        </w:tc>
        <w:tc>
          <w:tcPr>
            <w:tcW w:w="1800" w:type="dxa"/>
            <w:tcBorders>
              <w:top w:val="single" w:sz="4" w:space="0" w:color="auto"/>
            </w:tcBorders>
          </w:tcPr>
          <w:p w14:paraId="3DE667BD"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(1,207,149)</w:t>
            </w:r>
          </w:p>
        </w:tc>
      </w:tr>
      <w:tr w:rsidR="00402DCC" w:rsidRPr="00487CAB" w14:paraId="58D7B865" w14:textId="77777777" w:rsidTr="00D92B09">
        <w:tc>
          <w:tcPr>
            <w:tcW w:w="4410" w:type="dxa"/>
          </w:tcPr>
          <w:p w14:paraId="216F681B" w14:textId="77777777" w:rsidR="00402DCC" w:rsidRPr="00487CAB" w:rsidRDefault="00402DCC" w:rsidP="00D92B09">
            <w:pPr>
              <w:tabs>
                <w:tab w:val="left" w:pos="144"/>
                <w:tab w:val="left" w:pos="324"/>
                <w:tab w:val="right" w:pos="9180"/>
              </w:tabs>
              <w:rPr>
                <w:snapToGrid w:val="0"/>
                <w:color w:val="000000"/>
                <w:sz w:val="19"/>
                <w:szCs w:val="19"/>
              </w:rPr>
            </w:pPr>
            <w:bookmarkStart w:id="12" w:name="_Hlk22049147"/>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49F9A34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500</w:t>
            </w:r>
          </w:p>
        </w:tc>
        <w:tc>
          <w:tcPr>
            <w:tcW w:w="1080" w:type="dxa"/>
          </w:tcPr>
          <w:p w14:paraId="08FADCD4"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438,700</w:t>
            </w:r>
          </w:p>
        </w:tc>
        <w:tc>
          <w:tcPr>
            <w:tcW w:w="1080" w:type="dxa"/>
          </w:tcPr>
          <w:p w14:paraId="1AF65D4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86613D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7F14C44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61,300</w:t>
            </w:r>
          </w:p>
        </w:tc>
        <w:tc>
          <w:tcPr>
            <w:tcW w:w="1350" w:type="dxa"/>
          </w:tcPr>
          <w:p w14:paraId="5ABB8EAB"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85D2816"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500,000</w:t>
            </w:r>
          </w:p>
        </w:tc>
      </w:tr>
      <w:tr w:rsidR="00402DCC" w:rsidRPr="00487CAB" w14:paraId="239E2C96" w14:textId="77777777" w:rsidTr="00D92B09">
        <w:tc>
          <w:tcPr>
            <w:tcW w:w="4410" w:type="dxa"/>
          </w:tcPr>
          <w:p w14:paraId="66C9E3D0"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6A359CB2"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(281)</w:t>
            </w:r>
          </w:p>
        </w:tc>
        <w:tc>
          <w:tcPr>
            <w:tcW w:w="1080" w:type="dxa"/>
          </w:tcPr>
          <w:p w14:paraId="25C9355A"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(172,941)</w:t>
            </w:r>
          </w:p>
        </w:tc>
        <w:tc>
          <w:tcPr>
            <w:tcW w:w="1080" w:type="dxa"/>
          </w:tcPr>
          <w:p w14:paraId="33108B9F" w14:textId="493E6A08"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w:t>
            </w:r>
          </w:p>
        </w:tc>
        <w:tc>
          <w:tcPr>
            <w:tcW w:w="1170" w:type="dxa"/>
          </w:tcPr>
          <w:p w14:paraId="1CC92902" w14:textId="21939FA8"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6C36E7D3" w14:textId="0AEAEF10"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172,941</w:t>
            </w:r>
          </w:p>
        </w:tc>
        <w:tc>
          <w:tcPr>
            <w:tcW w:w="1350" w:type="dxa"/>
          </w:tcPr>
          <w:p w14:paraId="1168690A"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D9260F3"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40B504BF" w14:textId="77777777" w:rsidTr="00D92B09">
        <w:tc>
          <w:tcPr>
            <w:tcW w:w="4410" w:type="dxa"/>
          </w:tcPr>
          <w:p w14:paraId="4642DED6"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0E6B8A8B" w14:textId="77777777" w:rsidR="00402DCC" w:rsidRPr="00487CAB" w:rsidRDefault="00402DCC" w:rsidP="00D92B09">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4EAE9EF5"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C14FA24" w14:textId="67E0D08F"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BCD0873" w14:textId="4B4F7799"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33CA07A8" w14:textId="77F83F31"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t>6,000</w:t>
            </w:r>
          </w:p>
        </w:tc>
        <w:tc>
          <w:tcPr>
            <w:tcW w:w="1350" w:type="dxa"/>
          </w:tcPr>
          <w:p w14:paraId="689496D0" w14:textId="77777777" w:rsidR="00402DCC" w:rsidRPr="00487CAB" w:rsidRDefault="00402DCC" w:rsidP="00D92B0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76AA126" w14:textId="77777777" w:rsidR="00402DCC" w:rsidRPr="00487CAB" w:rsidRDefault="00402DCC" w:rsidP="00D92B09">
            <w:pPr>
              <w:tabs>
                <w:tab w:val="decimal" w:pos="1418"/>
                <w:tab w:val="right" w:pos="9180"/>
              </w:tabs>
              <w:rPr>
                <w:snapToGrid w:val="0"/>
                <w:color w:val="000000"/>
                <w:sz w:val="19"/>
                <w:szCs w:val="19"/>
              </w:rPr>
            </w:pPr>
            <w:r>
              <w:rPr>
                <w:snapToGrid w:val="0"/>
                <w:color w:val="000000"/>
                <w:sz w:val="19"/>
                <w:szCs w:val="19"/>
              </w:rPr>
              <w:tab/>
              <w:t>6,000</w:t>
            </w:r>
          </w:p>
        </w:tc>
      </w:tr>
      <w:tr w:rsidR="00402DCC" w:rsidRPr="00487CAB" w14:paraId="0DEBBCAE" w14:textId="77777777" w:rsidTr="00D92B09">
        <w:tc>
          <w:tcPr>
            <w:tcW w:w="4410" w:type="dxa"/>
          </w:tcPr>
          <w:p w14:paraId="7B83FA56"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1127A51D"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38F6045B"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5111E11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35F4F484"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1155388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26,664</w:t>
            </w:r>
          </w:p>
        </w:tc>
        <w:tc>
          <w:tcPr>
            <w:tcW w:w="1350" w:type="dxa"/>
          </w:tcPr>
          <w:p w14:paraId="0D668550"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115019D"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26,664</w:t>
            </w:r>
          </w:p>
        </w:tc>
      </w:tr>
      <w:tr w:rsidR="00402DCC" w:rsidRPr="00487CAB" w14:paraId="25DA4372" w14:textId="77777777" w:rsidTr="00D92B09">
        <w:tc>
          <w:tcPr>
            <w:tcW w:w="4410" w:type="dxa"/>
          </w:tcPr>
          <w:p w14:paraId="27B20E1E"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74D4637F"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2F9EDBC"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921FCA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7E70EE0"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63290A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E41202"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(654,148)</w:t>
            </w:r>
          </w:p>
        </w:tc>
        <w:tc>
          <w:tcPr>
            <w:tcW w:w="1800" w:type="dxa"/>
            <w:tcBorders>
              <w:bottom w:val="single" w:sz="4" w:space="0" w:color="auto"/>
            </w:tcBorders>
          </w:tcPr>
          <w:p w14:paraId="3493D189"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(654,148)</w:t>
            </w:r>
          </w:p>
        </w:tc>
      </w:tr>
      <w:tr w:rsidR="00402DCC" w:rsidRPr="00487CAB" w14:paraId="7B295428" w14:textId="77777777" w:rsidTr="00D92B09">
        <w:tc>
          <w:tcPr>
            <w:tcW w:w="4410" w:type="dxa"/>
          </w:tcPr>
          <w:p w14:paraId="415A3B9D"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tcBorders>
          </w:tcPr>
          <w:p w14:paraId="3DADCFA6"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3,402</w:t>
            </w:r>
          </w:p>
        </w:tc>
        <w:tc>
          <w:tcPr>
            <w:tcW w:w="1080" w:type="dxa"/>
            <w:tcBorders>
              <w:top w:val="single" w:sz="4" w:space="0" w:color="auto"/>
            </w:tcBorders>
          </w:tcPr>
          <w:p w14:paraId="5003F66F"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2,337,867</w:t>
            </w:r>
          </w:p>
        </w:tc>
        <w:tc>
          <w:tcPr>
            <w:tcW w:w="1080" w:type="dxa"/>
            <w:tcBorders>
              <w:top w:val="single" w:sz="4" w:space="0" w:color="auto"/>
            </w:tcBorders>
          </w:tcPr>
          <w:p w14:paraId="4311E614" w14:textId="06B59DE5"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w:t>
            </w:r>
          </w:p>
        </w:tc>
        <w:tc>
          <w:tcPr>
            <w:tcW w:w="1170" w:type="dxa"/>
            <w:tcBorders>
              <w:top w:val="single" w:sz="4" w:space="0" w:color="auto"/>
            </w:tcBorders>
          </w:tcPr>
          <w:p w14:paraId="20B45A5E" w14:textId="4ADE1EA6"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Pr>
                <w:snapToGrid w:val="0"/>
                <w:color w:val="000000"/>
                <w:sz w:val="19"/>
                <w:szCs w:val="19"/>
              </w:rPr>
              <w:t>-</w:t>
            </w:r>
          </w:p>
        </w:tc>
        <w:tc>
          <w:tcPr>
            <w:tcW w:w="1440" w:type="dxa"/>
            <w:tcBorders>
              <w:top w:val="single" w:sz="4" w:space="0" w:color="auto"/>
            </w:tcBorders>
          </w:tcPr>
          <w:p w14:paraId="41FB9E77" w14:textId="5B65D06D"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ab/>
            </w:r>
            <w:r>
              <w:rPr>
                <w:snapToGrid w:val="0"/>
                <w:color w:val="000000"/>
                <w:sz w:val="19"/>
                <w:szCs w:val="19"/>
              </w:rPr>
              <w:t>38,165,986</w:t>
            </w:r>
          </w:p>
        </w:tc>
        <w:tc>
          <w:tcPr>
            <w:tcW w:w="1350" w:type="dxa"/>
            <w:tcBorders>
              <w:top w:val="single" w:sz="4" w:space="0" w:color="auto"/>
            </w:tcBorders>
          </w:tcPr>
          <w:p w14:paraId="6CFB1EA8"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(41,832,486)</w:t>
            </w:r>
          </w:p>
        </w:tc>
        <w:tc>
          <w:tcPr>
            <w:tcW w:w="1800" w:type="dxa"/>
            <w:tcBorders>
              <w:top w:val="single" w:sz="4" w:space="0" w:color="auto"/>
            </w:tcBorders>
          </w:tcPr>
          <w:p w14:paraId="78D414A7"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(1,328,633)</w:t>
            </w:r>
          </w:p>
        </w:tc>
      </w:tr>
      <w:bookmarkEnd w:id="12"/>
      <w:tr w:rsidR="00402DCC" w:rsidRPr="00487CAB" w14:paraId="1889A98B" w14:textId="77777777" w:rsidTr="00D92B09">
        <w:tc>
          <w:tcPr>
            <w:tcW w:w="4410" w:type="dxa"/>
          </w:tcPr>
          <w:p w14:paraId="7B8E8EB8"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2706235A"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w:t>
            </w:r>
          </w:p>
        </w:tc>
        <w:tc>
          <w:tcPr>
            <w:tcW w:w="1080" w:type="dxa"/>
          </w:tcPr>
          <w:p w14:paraId="31870CF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c>
          <w:tcPr>
            <w:tcW w:w="1080" w:type="dxa"/>
          </w:tcPr>
          <w:p w14:paraId="2508137A"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41E00351"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9EC05A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7EA1BF97"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E400196"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700,000</w:t>
            </w:r>
          </w:p>
        </w:tc>
      </w:tr>
      <w:tr w:rsidR="00402DCC" w:rsidRPr="00487CAB" w14:paraId="283B54CD" w14:textId="77777777" w:rsidTr="00D92B09">
        <w:tc>
          <w:tcPr>
            <w:tcW w:w="4410" w:type="dxa"/>
          </w:tcPr>
          <w:p w14:paraId="7439E8FF"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6CAC84FB"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(1,048)</w:t>
            </w:r>
          </w:p>
        </w:tc>
        <w:tc>
          <w:tcPr>
            <w:tcW w:w="1080" w:type="dxa"/>
          </w:tcPr>
          <w:p w14:paraId="31768540"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(716,044)</w:t>
            </w:r>
          </w:p>
        </w:tc>
        <w:tc>
          <w:tcPr>
            <w:tcW w:w="1080" w:type="dxa"/>
          </w:tcPr>
          <w:p w14:paraId="2AE2A9AA" w14:textId="5B68F60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2,369</w:t>
            </w:r>
          </w:p>
        </w:tc>
        <w:tc>
          <w:tcPr>
            <w:tcW w:w="1170" w:type="dxa"/>
          </w:tcPr>
          <w:p w14:paraId="5493A830" w14:textId="15A6FD1E"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F710B">
              <w:rPr>
                <w:snapToGrid w:val="0"/>
                <w:color w:val="000000"/>
                <w:sz w:val="19"/>
                <w:szCs w:val="19"/>
              </w:rPr>
              <w:t>3</w:t>
            </w:r>
          </w:p>
        </w:tc>
        <w:tc>
          <w:tcPr>
            <w:tcW w:w="1440" w:type="dxa"/>
          </w:tcPr>
          <w:p w14:paraId="3FA81394" w14:textId="09BA62E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716,04</w:t>
            </w:r>
            <w:r w:rsidR="005F710B">
              <w:rPr>
                <w:snapToGrid w:val="0"/>
                <w:color w:val="000000"/>
                <w:sz w:val="19"/>
                <w:szCs w:val="19"/>
              </w:rPr>
              <w:t>1</w:t>
            </w:r>
          </w:p>
        </w:tc>
        <w:tc>
          <w:tcPr>
            <w:tcW w:w="1350" w:type="dxa"/>
          </w:tcPr>
          <w:p w14:paraId="2E03DBF3"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6519C22E"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t>-</w:t>
            </w:r>
          </w:p>
        </w:tc>
      </w:tr>
      <w:tr w:rsidR="00402DCC" w:rsidRPr="00487CAB" w14:paraId="5722E307" w14:textId="77777777" w:rsidTr="00D92B09">
        <w:tc>
          <w:tcPr>
            <w:tcW w:w="4410" w:type="dxa"/>
          </w:tcPr>
          <w:p w14:paraId="0730FA24"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260" w:type="dxa"/>
          </w:tcPr>
          <w:p w14:paraId="7CF8FD5C" w14:textId="77777777" w:rsidR="00402DCC" w:rsidRPr="00487CAB" w:rsidRDefault="00402DCC" w:rsidP="00D92B09">
            <w:pPr>
              <w:tabs>
                <w:tab w:val="decimal" w:pos="917"/>
                <w:tab w:val="left" w:pos="2340"/>
                <w:tab w:val="right" w:pos="9180"/>
              </w:tabs>
              <w:rPr>
                <w:snapToGrid w:val="0"/>
                <w:color w:val="000000"/>
                <w:sz w:val="19"/>
                <w:szCs w:val="19"/>
              </w:rPr>
            </w:pPr>
            <w:r>
              <w:rPr>
                <w:snapToGrid w:val="0"/>
                <w:color w:val="000000"/>
                <w:sz w:val="19"/>
                <w:szCs w:val="19"/>
              </w:rPr>
              <w:tab/>
              <w:t>-</w:t>
            </w:r>
          </w:p>
        </w:tc>
        <w:tc>
          <w:tcPr>
            <w:tcW w:w="1080" w:type="dxa"/>
          </w:tcPr>
          <w:p w14:paraId="771C9ACB" w14:textId="77777777" w:rsidR="00402DCC" w:rsidRPr="00487CAB" w:rsidRDefault="00402DCC" w:rsidP="00D92B0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6B5F00" w14:textId="5E52F864"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1</w:t>
            </w:r>
          </w:p>
        </w:tc>
        <w:tc>
          <w:tcPr>
            <w:tcW w:w="1170" w:type="dxa"/>
          </w:tcPr>
          <w:p w14:paraId="75284336" w14:textId="3EBB04A7"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w:t>
            </w:r>
          </w:p>
        </w:tc>
        <w:tc>
          <w:tcPr>
            <w:tcW w:w="1440" w:type="dxa"/>
          </w:tcPr>
          <w:p w14:paraId="24A76202" w14:textId="22A4FBCB" w:rsidR="00402DCC" w:rsidRPr="00487CAB" w:rsidRDefault="00402DCC" w:rsidP="00D92B0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4B4D49">
              <w:rPr>
                <w:snapToGrid w:val="0"/>
                <w:color w:val="000000"/>
                <w:sz w:val="19"/>
                <w:szCs w:val="19"/>
              </w:rPr>
              <w:t>6,000</w:t>
            </w:r>
          </w:p>
        </w:tc>
        <w:tc>
          <w:tcPr>
            <w:tcW w:w="1350" w:type="dxa"/>
          </w:tcPr>
          <w:p w14:paraId="4467B613" w14:textId="77777777" w:rsidR="00402DCC" w:rsidRPr="00487CAB" w:rsidRDefault="00402DCC" w:rsidP="00D92B0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9C0DE74" w14:textId="77777777" w:rsidR="00402DCC" w:rsidRPr="00487CAB" w:rsidRDefault="00402DCC" w:rsidP="00D92B09">
            <w:pPr>
              <w:tabs>
                <w:tab w:val="decimal" w:pos="1418"/>
                <w:tab w:val="right" w:pos="9180"/>
              </w:tabs>
              <w:rPr>
                <w:snapToGrid w:val="0"/>
                <w:color w:val="000000"/>
                <w:sz w:val="19"/>
                <w:szCs w:val="19"/>
              </w:rPr>
            </w:pPr>
            <w:r>
              <w:rPr>
                <w:snapToGrid w:val="0"/>
                <w:color w:val="000000"/>
                <w:sz w:val="19"/>
                <w:szCs w:val="19"/>
              </w:rPr>
              <w:tab/>
              <w:t>6,000</w:t>
            </w:r>
          </w:p>
        </w:tc>
      </w:tr>
      <w:tr w:rsidR="00402DCC" w:rsidRPr="00487CAB" w14:paraId="0704A210" w14:textId="77777777" w:rsidTr="00D92B09">
        <w:tc>
          <w:tcPr>
            <w:tcW w:w="4410" w:type="dxa"/>
          </w:tcPr>
          <w:p w14:paraId="706C6A0B"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t>Stock</w:t>
            </w:r>
            <w:r>
              <w:rPr>
                <w:snapToGrid w:val="0"/>
                <w:color w:val="000000"/>
                <w:sz w:val="19"/>
                <w:szCs w:val="19"/>
              </w:rPr>
              <w:t xml:space="preserve"> option</w:t>
            </w:r>
            <w:r w:rsidRPr="00487CAB">
              <w:rPr>
                <w:snapToGrid w:val="0"/>
                <w:color w:val="000000"/>
                <w:sz w:val="19"/>
                <w:szCs w:val="19"/>
              </w:rPr>
              <w:t xml:space="preserve"> expense</w:t>
            </w:r>
          </w:p>
        </w:tc>
        <w:tc>
          <w:tcPr>
            <w:tcW w:w="1260" w:type="dxa"/>
          </w:tcPr>
          <w:p w14:paraId="0A2D146C"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7E75206A"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6E6970A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5E13911B"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2FB29BF1"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c>
          <w:tcPr>
            <w:tcW w:w="1350" w:type="dxa"/>
          </w:tcPr>
          <w:p w14:paraId="72152BF0" w14:textId="77777777" w:rsidR="00402DCC" w:rsidRPr="00487CAB" w:rsidRDefault="00402DCC" w:rsidP="00D92B09">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14389A7" w14:textId="77777777" w:rsidR="00402DCC" w:rsidRPr="00487CAB" w:rsidRDefault="00402DCC" w:rsidP="00D92B09">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26,348</w:t>
            </w:r>
          </w:p>
        </w:tc>
      </w:tr>
      <w:tr w:rsidR="00402DCC" w:rsidRPr="00487CAB" w14:paraId="2D0C1D2C" w14:textId="77777777" w:rsidTr="00D92B09">
        <w:tc>
          <w:tcPr>
            <w:tcW w:w="4410" w:type="dxa"/>
          </w:tcPr>
          <w:p w14:paraId="57CA03D9" w14:textId="77777777" w:rsidR="00402DCC" w:rsidRPr="00487CAB" w:rsidRDefault="00402DCC" w:rsidP="00D92B09">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7C0272F8"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05019DD1"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2A100902"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44366067"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751D1E9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792C6D02"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385EEF39" w14:textId="77777777" w:rsidR="00402DCC" w:rsidRPr="00487CAB" w:rsidRDefault="00402DCC" w:rsidP="00D92B09">
            <w:pPr>
              <w:tabs>
                <w:tab w:val="decimal" w:pos="1418"/>
                <w:tab w:val="right" w:pos="9180"/>
              </w:tabs>
              <w:rPr>
                <w:snapToGrid w:val="0"/>
                <w:color w:val="000000"/>
                <w:sz w:val="19"/>
                <w:szCs w:val="19"/>
              </w:rPr>
            </w:pPr>
          </w:p>
        </w:tc>
      </w:tr>
      <w:tr w:rsidR="00402DCC" w:rsidRPr="00487CAB" w14:paraId="57DB6CB1" w14:textId="77777777" w:rsidTr="00D92B09">
        <w:tc>
          <w:tcPr>
            <w:tcW w:w="4410" w:type="dxa"/>
          </w:tcPr>
          <w:p w14:paraId="44C7F50E"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bottom w:val="single" w:sz="4" w:space="0" w:color="auto"/>
            </w:tcBorders>
          </w:tcPr>
          <w:p w14:paraId="4610EC48"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24569F7"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BFEDA1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B02328C"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E59FE8D"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D872AF5"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c>
          <w:tcPr>
            <w:tcW w:w="1800" w:type="dxa"/>
            <w:tcBorders>
              <w:bottom w:val="single" w:sz="4" w:space="0" w:color="auto"/>
            </w:tcBorders>
          </w:tcPr>
          <w:p w14:paraId="5587DAA2"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ab/>
              <w:t>(</w:t>
            </w:r>
            <w:r>
              <w:rPr>
                <w:snapToGrid w:val="0"/>
                <w:color w:val="000000"/>
                <w:sz w:val="19"/>
                <w:szCs w:val="19"/>
              </w:rPr>
              <w:t>424,434</w:t>
            </w:r>
            <w:r w:rsidRPr="00176E63">
              <w:rPr>
                <w:snapToGrid w:val="0"/>
                <w:color w:val="000000"/>
                <w:sz w:val="19"/>
                <w:szCs w:val="19"/>
              </w:rPr>
              <w:t>)</w:t>
            </w:r>
          </w:p>
        </w:tc>
      </w:tr>
      <w:tr w:rsidR="00402DCC" w:rsidRPr="00487CAB" w14:paraId="6397F611" w14:textId="77777777" w:rsidTr="00D92B09">
        <w:tc>
          <w:tcPr>
            <w:tcW w:w="4410" w:type="dxa"/>
          </w:tcPr>
          <w:p w14:paraId="17E59519" w14:textId="77777777" w:rsidR="00402DCC" w:rsidRPr="00487CAB" w:rsidRDefault="00402DCC" w:rsidP="00D92B09">
            <w:pPr>
              <w:tabs>
                <w:tab w:val="left" w:pos="144"/>
                <w:tab w:val="left" w:pos="324"/>
                <w:tab w:val="right" w:pos="9180"/>
              </w:tabs>
              <w:rPr>
                <w:snapToGrid w:val="0"/>
                <w:color w:val="000000"/>
                <w:sz w:val="19"/>
                <w:szCs w:val="19"/>
              </w:rPr>
            </w:pPr>
            <w:r w:rsidRPr="00487CAB">
              <w:rPr>
                <w:snapToGrid w:val="0"/>
                <w:color w:val="000000"/>
                <w:sz w:val="19"/>
                <w:szCs w:val="19"/>
              </w:rPr>
              <w:t xml:space="preserve">Balance at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2019</w:t>
            </w:r>
          </w:p>
        </w:tc>
        <w:tc>
          <w:tcPr>
            <w:tcW w:w="1260" w:type="dxa"/>
            <w:tcBorders>
              <w:top w:val="single" w:sz="4" w:space="0" w:color="auto"/>
              <w:bottom w:val="double" w:sz="4" w:space="0" w:color="auto"/>
            </w:tcBorders>
          </w:tcPr>
          <w:p w14:paraId="5D95AEE8" w14:textId="77777777" w:rsidR="00402DCC" w:rsidRPr="00487CAB" w:rsidRDefault="00402DCC" w:rsidP="00D92B09">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3,054</w:t>
            </w:r>
          </w:p>
        </w:tc>
        <w:tc>
          <w:tcPr>
            <w:tcW w:w="1080" w:type="dxa"/>
            <w:tcBorders>
              <w:top w:val="single" w:sz="4" w:space="0" w:color="auto"/>
              <w:bottom w:val="double" w:sz="4" w:space="0" w:color="auto"/>
            </w:tcBorders>
          </w:tcPr>
          <w:p w14:paraId="5263D76B" w14:textId="77777777" w:rsidR="00402DCC" w:rsidRPr="00487CAB" w:rsidRDefault="00402DCC" w:rsidP="00D92B09">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2,321,823</w:t>
            </w:r>
          </w:p>
        </w:tc>
        <w:tc>
          <w:tcPr>
            <w:tcW w:w="1080" w:type="dxa"/>
            <w:tcBorders>
              <w:top w:val="single" w:sz="4" w:space="0" w:color="auto"/>
              <w:bottom w:val="double" w:sz="4" w:space="0" w:color="auto"/>
            </w:tcBorders>
          </w:tcPr>
          <w:p w14:paraId="5B4BF53E" w14:textId="25B7B6AB" w:rsidR="00402DCC" w:rsidRPr="00487CAB" w:rsidRDefault="00402DCC" w:rsidP="00D92B0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B4D49">
              <w:rPr>
                <w:snapToGrid w:val="0"/>
                <w:color w:val="000000"/>
                <w:sz w:val="19"/>
                <w:szCs w:val="19"/>
              </w:rPr>
              <w:t>2,390</w:t>
            </w:r>
          </w:p>
        </w:tc>
        <w:tc>
          <w:tcPr>
            <w:tcW w:w="1170" w:type="dxa"/>
            <w:tcBorders>
              <w:top w:val="single" w:sz="4" w:space="0" w:color="auto"/>
              <w:bottom w:val="double" w:sz="4" w:space="0" w:color="auto"/>
            </w:tcBorders>
          </w:tcPr>
          <w:p w14:paraId="0C0C2F68" w14:textId="5F3251E9"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sidR="004B4D49">
              <w:rPr>
                <w:snapToGrid w:val="0"/>
                <w:color w:val="000000"/>
                <w:sz w:val="19"/>
                <w:szCs w:val="19"/>
              </w:rPr>
              <w:t>3</w:t>
            </w:r>
          </w:p>
        </w:tc>
        <w:tc>
          <w:tcPr>
            <w:tcW w:w="1440" w:type="dxa"/>
            <w:tcBorders>
              <w:top w:val="single" w:sz="4" w:space="0" w:color="auto"/>
              <w:bottom w:val="double" w:sz="4" w:space="0" w:color="auto"/>
            </w:tcBorders>
          </w:tcPr>
          <w:p w14:paraId="4A836121" w14:textId="2D124684" w:rsidR="00402DCC" w:rsidRPr="00176E63" w:rsidRDefault="00402DCC" w:rsidP="00D92B09">
            <w:pPr>
              <w:tabs>
                <w:tab w:val="decimal" w:pos="1148"/>
                <w:tab w:val="decimal" w:pos="1422"/>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r>
            <w:r>
              <w:rPr>
                <w:snapToGrid w:val="0"/>
                <w:color w:val="000000"/>
                <w:sz w:val="19"/>
                <w:szCs w:val="19"/>
              </w:rPr>
              <w:t>38,</w:t>
            </w:r>
            <w:r w:rsidR="004B4D49">
              <w:rPr>
                <w:snapToGrid w:val="0"/>
                <w:color w:val="000000"/>
                <w:sz w:val="19"/>
                <w:szCs w:val="19"/>
              </w:rPr>
              <w:t>914,375</w:t>
            </w:r>
          </w:p>
        </w:tc>
        <w:tc>
          <w:tcPr>
            <w:tcW w:w="1350" w:type="dxa"/>
            <w:tcBorders>
              <w:top w:val="single" w:sz="4" w:space="0" w:color="auto"/>
              <w:bottom w:val="double" w:sz="4" w:space="0" w:color="auto"/>
            </w:tcBorders>
          </w:tcPr>
          <w:p w14:paraId="2D31F93E" w14:textId="77777777" w:rsidR="00402DCC" w:rsidRPr="00176E63" w:rsidRDefault="00402DCC" w:rsidP="00D92B09">
            <w:pPr>
              <w:tabs>
                <w:tab w:val="decimal" w:pos="1150"/>
                <w:tab w:val="left" w:pos="2340"/>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w:t>
            </w:r>
            <w:r>
              <w:rPr>
                <w:snapToGrid w:val="0"/>
                <w:color w:val="000000"/>
                <w:sz w:val="19"/>
                <w:szCs w:val="19"/>
              </w:rPr>
              <w:t>42,256,920</w:t>
            </w:r>
            <w:r w:rsidRPr="00176E63">
              <w:rPr>
                <w:snapToGrid w:val="0"/>
                <w:color w:val="000000"/>
                <w:sz w:val="19"/>
                <w:szCs w:val="19"/>
              </w:rPr>
              <w:t>)</w:t>
            </w:r>
          </w:p>
        </w:tc>
        <w:tc>
          <w:tcPr>
            <w:tcW w:w="1800" w:type="dxa"/>
            <w:tcBorders>
              <w:top w:val="single" w:sz="4" w:space="0" w:color="auto"/>
              <w:bottom w:val="double" w:sz="4" w:space="0" w:color="auto"/>
            </w:tcBorders>
          </w:tcPr>
          <w:p w14:paraId="71339996" w14:textId="77777777" w:rsidR="00402DCC" w:rsidRPr="00176E63" w:rsidRDefault="00402DCC" w:rsidP="00D92B09">
            <w:pPr>
              <w:tabs>
                <w:tab w:val="decimal" w:pos="1418"/>
                <w:tab w:val="right" w:pos="9180"/>
              </w:tabs>
              <w:rPr>
                <w:snapToGrid w:val="0"/>
                <w:color w:val="000000"/>
                <w:sz w:val="19"/>
                <w:szCs w:val="19"/>
              </w:rPr>
            </w:pPr>
            <w:r w:rsidRPr="00176E63">
              <w:rPr>
                <w:snapToGrid w:val="0"/>
                <w:color w:val="000000"/>
                <w:sz w:val="19"/>
                <w:szCs w:val="19"/>
              </w:rPr>
              <w:t>$</w:t>
            </w:r>
            <w:r w:rsidRPr="00176E63">
              <w:rPr>
                <w:snapToGrid w:val="0"/>
                <w:color w:val="000000"/>
                <w:sz w:val="19"/>
                <w:szCs w:val="19"/>
              </w:rPr>
              <w:tab/>
              <w:t>(1,</w:t>
            </w:r>
            <w:r>
              <w:rPr>
                <w:snapToGrid w:val="0"/>
                <w:color w:val="000000"/>
                <w:sz w:val="19"/>
                <w:szCs w:val="19"/>
              </w:rPr>
              <w:t>020,719</w:t>
            </w:r>
            <w:r w:rsidRPr="00176E63">
              <w:rPr>
                <w:snapToGrid w:val="0"/>
                <w:color w:val="000000"/>
                <w:sz w:val="19"/>
                <w:szCs w:val="19"/>
              </w:rPr>
              <w:t>)</w:t>
            </w:r>
          </w:p>
        </w:tc>
      </w:tr>
      <w:tr w:rsidR="00402DCC" w:rsidRPr="00487CAB" w14:paraId="5D8F69CC" w14:textId="77777777" w:rsidTr="00D92B09">
        <w:tc>
          <w:tcPr>
            <w:tcW w:w="4410" w:type="dxa"/>
          </w:tcPr>
          <w:p w14:paraId="57C7DDA4"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Pr>
          <w:p w14:paraId="298EB2E6"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6271DE9F"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4576550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67A8AA2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4C94BEB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01652177"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1FC18170" w14:textId="77777777" w:rsidR="00402DCC" w:rsidRPr="00487CAB" w:rsidRDefault="00402DCC" w:rsidP="00D92B09">
            <w:pPr>
              <w:tabs>
                <w:tab w:val="decimal" w:pos="1418"/>
                <w:tab w:val="right" w:pos="9180"/>
              </w:tabs>
              <w:rPr>
                <w:snapToGrid w:val="0"/>
                <w:color w:val="000000"/>
                <w:sz w:val="19"/>
                <w:szCs w:val="19"/>
              </w:rPr>
            </w:pPr>
          </w:p>
        </w:tc>
      </w:tr>
      <w:tr w:rsidR="00402DCC" w:rsidRPr="00487CAB" w14:paraId="5723133B" w14:textId="77777777" w:rsidTr="00D92B09">
        <w:tc>
          <w:tcPr>
            <w:tcW w:w="4410" w:type="dxa"/>
          </w:tcPr>
          <w:p w14:paraId="61DAA0B8" w14:textId="77777777" w:rsidR="00402DCC" w:rsidRPr="00487CAB" w:rsidRDefault="00402DCC" w:rsidP="00D92B09">
            <w:pPr>
              <w:tabs>
                <w:tab w:val="left" w:pos="144"/>
                <w:tab w:val="left" w:pos="324"/>
                <w:tab w:val="right" w:pos="9180"/>
              </w:tabs>
              <w:rPr>
                <w:snapToGrid w:val="0"/>
                <w:color w:val="000000"/>
                <w:sz w:val="19"/>
                <w:szCs w:val="19"/>
              </w:rPr>
            </w:pPr>
          </w:p>
        </w:tc>
        <w:tc>
          <w:tcPr>
            <w:tcW w:w="1260" w:type="dxa"/>
          </w:tcPr>
          <w:p w14:paraId="1B54A0B1" w14:textId="77777777" w:rsidR="00402DCC" w:rsidRPr="00487CAB" w:rsidRDefault="00402DCC" w:rsidP="00D92B09">
            <w:pPr>
              <w:tabs>
                <w:tab w:val="decimal" w:pos="917"/>
                <w:tab w:val="left" w:pos="2340"/>
                <w:tab w:val="right" w:pos="9180"/>
              </w:tabs>
              <w:rPr>
                <w:snapToGrid w:val="0"/>
                <w:color w:val="000000"/>
                <w:sz w:val="19"/>
                <w:szCs w:val="19"/>
              </w:rPr>
            </w:pPr>
          </w:p>
        </w:tc>
        <w:tc>
          <w:tcPr>
            <w:tcW w:w="1080" w:type="dxa"/>
          </w:tcPr>
          <w:p w14:paraId="18A564B8" w14:textId="77777777" w:rsidR="00402DCC" w:rsidRPr="00487CAB" w:rsidRDefault="00402DCC" w:rsidP="00D92B09">
            <w:pPr>
              <w:tabs>
                <w:tab w:val="decimal" w:pos="798"/>
                <w:tab w:val="left" w:pos="2340"/>
                <w:tab w:val="right" w:pos="9180"/>
              </w:tabs>
              <w:rPr>
                <w:snapToGrid w:val="0"/>
                <w:color w:val="000000"/>
                <w:sz w:val="19"/>
                <w:szCs w:val="19"/>
              </w:rPr>
            </w:pPr>
          </w:p>
        </w:tc>
        <w:tc>
          <w:tcPr>
            <w:tcW w:w="1080" w:type="dxa"/>
          </w:tcPr>
          <w:p w14:paraId="1C15A616"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170" w:type="dxa"/>
          </w:tcPr>
          <w:p w14:paraId="05915929"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440" w:type="dxa"/>
          </w:tcPr>
          <w:p w14:paraId="34163218" w14:textId="77777777" w:rsidR="00402DCC" w:rsidRPr="00487CAB" w:rsidRDefault="00402DCC" w:rsidP="00D92B09">
            <w:pPr>
              <w:tabs>
                <w:tab w:val="decimal" w:pos="1148"/>
                <w:tab w:val="decimal" w:pos="1422"/>
                <w:tab w:val="left" w:pos="2340"/>
                <w:tab w:val="right" w:pos="9180"/>
              </w:tabs>
              <w:rPr>
                <w:snapToGrid w:val="0"/>
                <w:color w:val="000000"/>
                <w:sz w:val="19"/>
                <w:szCs w:val="19"/>
              </w:rPr>
            </w:pPr>
          </w:p>
        </w:tc>
        <w:tc>
          <w:tcPr>
            <w:tcW w:w="1350" w:type="dxa"/>
          </w:tcPr>
          <w:p w14:paraId="528C7F09" w14:textId="77777777" w:rsidR="00402DCC" w:rsidRPr="00487CAB" w:rsidRDefault="00402DCC" w:rsidP="00D92B09">
            <w:pPr>
              <w:tabs>
                <w:tab w:val="decimal" w:pos="1150"/>
                <w:tab w:val="left" w:pos="2340"/>
                <w:tab w:val="right" w:pos="9180"/>
              </w:tabs>
              <w:rPr>
                <w:snapToGrid w:val="0"/>
                <w:color w:val="000000"/>
                <w:sz w:val="19"/>
                <w:szCs w:val="19"/>
              </w:rPr>
            </w:pPr>
          </w:p>
        </w:tc>
        <w:tc>
          <w:tcPr>
            <w:tcW w:w="1800" w:type="dxa"/>
          </w:tcPr>
          <w:p w14:paraId="72F25E93" w14:textId="77777777" w:rsidR="00402DCC" w:rsidRPr="00487CAB" w:rsidRDefault="00402DCC" w:rsidP="00D92B09">
            <w:pPr>
              <w:tabs>
                <w:tab w:val="decimal" w:pos="1418"/>
                <w:tab w:val="right" w:pos="9180"/>
              </w:tabs>
              <w:rPr>
                <w:snapToGrid w:val="0"/>
                <w:color w:val="000000"/>
                <w:sz w:val="19"/>
                <w:szCs w:val="19"/>
              </w:rPr>
            </w:pPr>
          </w:p>
        </w:tc>
      </w:tr>
    </w:tbl>
    <w:p w14:paraId="3A58BA4B" w14:textId="78EF92E7" w:rsidR="00402DCC" w:rsidRDefault="00402DCC" w:rsidP="00487CAB">
      <w:pPr>
        <w:tabs>
          <w:tab w:val="decimal" w:pos="1152"/>
          <w:tab w:val="left" w:pos="2340"/>
          <w:tab w:val="right" w:pos="9180"/>
        </w:tabs>
        <w:rPr>
          <w:snapToGrid w:val="0"/>
          <w:color w:val="000000"/>
        </w:rPr>
      </w:pPr>
    </w:p>
    <w:p w14:paraId="19E3A8F2" w14:textId="4DD51DA9" w:rsidR="00402DCC" w:rsidRDefault="00402DCC" w:rsidP="00487CAB">
      <w:pPr>
        <w:tabs>
          <w:tab w:val="decimal" w:pos="1152"/>
          <w:tab w:val="left" w:pos="2340"/>
          <w:tab w:val="right" w:pos="9180"/>
        </w:tabs>
        <w:rPr>
          <w:snapToGrid w:val="0"/>
          <w:color w:val="000000"/>
        </w:rPr>
      </w:pPr>
    </w:p>
    <w:p w14:paraId="03DFBCC2" w14:textId="39590238" w:rsidR="00402DCC" w:rsidRDefault="00402DCC" w:rsidP="00487CAB">
      <w:pPr>
        <w:tabs>
          <w:tab w:val="decimal" w:pos="1152"/>
          <w:tab w:val="left" w:pos="2340"/>
          <w:tab w:val="right" w:pos="9180"/>
        </w:tabs>
        <w:rPr>
          <w:snapToGrid w:val="0"/>
          <w:color w:val="000000"/>
        </w:rPr>
      </w:pPr>
    </w:p>
    <w:p w14:paraId="26B6EA79" w14:textId="524DEC69" w:rsidR="00402DCC" w:rsidRDefault="00402DCC" w:rsidP="00487CAB">
      <w:pPr>
        <w:tabs>
          <w:tab w:val="decimal" w:pos="1152"/>
          <w:tab w:val="left" w:pos="2340"/>
          <w:tab w:val="right" w:pos="9180"/>
        </w:tabs>
        <w:rPr>
          <w:snapToGrid w:val="0"/>
          <w:color w:val="000000"/>
        </w:rPr>
      </w:pPr>
    </w:p>
    <w:p w14:paraId="12736ACA" w14:textId="70D47769" w:rsidR="00402DCC" w:rsidRDefault="00402DCC" w:rsidP="00487CAB">
      <w:pPr>
        <w:tabs>
          <w:tab w:val="decimal" w:pos="1152"/>
          <w:tab w:val="left" w:pos="2340"/>
          <w:tab w:val="right" w:pos="9180"/>
        </w:tabs>
        <w:rPr>
          <w:snapToGrid w:val="0"/>
          <w:color w:val="000000"/>
        </w:rPr>
      </w:pPr>
    </w:p>
    <w:p w14:paraId="21F5E18B" w14:textId="77777777" w:rsidR="00402DCC" w:rsidRDefault="00402DCC"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9"/>
          <w:headerReference w:type="default" r:id="rId20"/>
          <w:footerReference w:type="default" r:id="rId21"/>
          <w:headerReference w:type="first" r:id="rId22"/>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828"/>
        <w:gridCol w:w="1368"/>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6CC54E12" w14:textId="77777777" w:rsidR="002D627A" w:rsidRDefault="002D627A" w:rsidP="002D627A">
            <w:pPr>
              <w:ind w:right="-18"/>
              <w:jc w:val="center"/>
              <w:rPr>
                <w:b/>
              </w:rPr>
            </w:pPr>
            <w:r w:rsidRPr="00EF6E26">
              <w:rPr>
                <w:b/>
              </w:rPr>
              <w:t>(Unaudited)</w:t>
            </w:r>
          </w:p>
          <w:p w14:paraId="1056EBAA" w14:textId="29F3104E" w:rsidR="00C861EA" w:rsidRPr="00EF6E26" w:rsidRDefault="00C861EA" w:rsidP="002D627A">
            <w:pPr>
              <w:ind w:right="-18"/>
              <w:jc w:val="center"/>
              <w:rPr>
                <w:b/>
              </w:rPr>
            </w:pPr>
          </w:p>
        </w:tc>
      </w:tr>
      <w:tr w:rsidR="002D627A" w:rsidRPr="000D3DC5" w14:paraId="0A06E5AD" w14:textId="77777777" w:rsidTr="00344B7D">
        <w:tc>
          <w:tcPr>
            <w:tcW w:w="5040" w:type="dxa"/>
            <w:gridSpan w:val="7"/>
          </w:tcPr>
          <w:p w14:paraId="7945759C" w14:textId="77777777" w:rsidR="002D627A" w:rsidRPr="000D3DC5" w:rsidRDefault="002D627A" w:rsidP="002D627A"/>
        </w:tc>
        <w:tc>
          <w:tcPr>
            <w:tcW w:w="1368"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C861EA" w:rsidRPr="000D3DC5" w14:paraId="1105C13E" w14:textId="77777777" w:rsidTr="00344B7D">
        <w:tc>
          <w:tcPr>
            <w:tcW w:w="5040" w:type="dxa"/>
            <w:gridSpan w:val="7"/>
          </w:tcPr>
          <w:p w14:paraId="6576862D" w14:textId="77777777" w:rsidR="00C861EA" w:rsidRPr="000D3DC5" w:rsidRDefault="00C861EA" w:rsidP="00B02073"/>
        </w:tc>
        <w:tc>
          <w:tcPr>
            <w:tcW w:w="1368" w:type="dxa"/>
          </w:tcPr>
          <w:p w14:paraId="0F0654CD" w14:textId="77777777" w:rsidR="00C861EA" w:rsidRPr="000D3DC5" w:rsidRDefault="00C861EA" w:rsidP="00B02073">
            <w:pPr>
              <w:tabs>
                <w:tab w:val="right" w:pos="9180"/>
              </w:tabs>
            </w:pPr>
          </w:p>
        </w:tc>
        <w:tc>
          <w:tcPr>
            <w:tcW w:w="3780" w:type="dxa"/>
            <w:gridSpan w:val="3"/>
            <w:tcBorders>
              <w:bottom w:val="single" w:sz="4" w:space="0" w:color="auto"/>
            </w:tcBorders>
          </w:tcPr>
          <w:p w14:paraId="00EFF7E5" w14:textId="6048B201" w:rsidR="00C861EA" w:rsidRPr="000D3DC5" w:rsidRDefault="00B707CF" w:rsidP="00B02073">
            <w:pPr>
              <w:tabs>
                <w:tab w:val="decimal" w:pos="1044"/>
                <w:tab w:val="right" w:pos="9180"/>
              </w:tabs>
              <w:ind w:right="-18"/>
              <w:jc w:val="center"/>
            </w:pPr>
            <w:r>
              <w:t>Nine</w:t>
            </w:r>
            <w:r w:rsidR="00C861EA">
              <w:t xml:space="preserve"> Months Ended </w:t>
            </w:r>
            <w:r>
              <w:t>September</w:t>
            </w:r>
            <w:r w:rsidR="00C861EA">
              <w:t xml:space="preserve"> 30,</w:t>
            </w:r>
          </w:p>
        </w:tc>
      </w:tr>
      <w:tr w:rsidR="00C861EA" w:rsidRPr="000D3DC5" w14:paraId="22428B05" w14:textId="77777777" w:rsidTr="00344B7D">
        <w:tc>
          <w:tcPr>
            <w:tcW w:w="5040" w:type="dxa"/>
            <w:gridSpan w:val="7"/>
          </w:tcPr>
          <w:p w14:paraId="24D33215" w14:textId="77777777" w:rsidR="00C861EA" w:rsidRPr="000D3DC5" w:rsidRDefault="00C861EA" w:rsidP="00B02073"/>
        </w:tc>
        <w:tc>
          <w:tcPr>
            <w:tcW w:w="1368" w:type="dxa"/>
          </w:tcPr>
          <w:p w14:paraId="55350457"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6DF46258" w14:textId="6E7138E8" w:rsidR="00C861EA" w:rsidRPr="000D3DC5" w:rsidRDefault="00C861EA" w:rsidP="00B02073">
            <w:pPr>
              <w:tabs>
                <w:tab w:val="decimal" w:pos="1044"/>
                <w:tab w:val="decimal" w:pos="1332"/>
                <w:tab w:val="right" w:pos="9180"/>
              </w:tabs>
              <w:jc w:val="center"/>
            </w:pPr>
            <w:r>
              <w:t>2020</w:t>
            </w:r>
          </w:p>
        </w:tc>
        <w:tc>
          <w:tcPr>
            <w:tcW w:w="360" w:type="dxa"/>
            <w:tcBorders>
              <w:top w:val="single" w:sz="4" w:space="0" w:color="auto"/>
            </w:tcBorders>
          </w:tcPr>
          <w:p w14:paraId="536DBF4E" w14:textId="77777777" w:rsidR="00C861EA" w:rsidRPr="000D3DC5" w:rsidRDefault="00C861EA" w:rsidP="00B02073">
            <w:pPr>
              <w:tabs>
                <w:tab w:val="right" w:pos="9180"/>
              </w:tabs>
              <w:jc w:val="center"/>
            </w:pPr>
          </w:p>
        </w:tc>
        <w:tc>
          <w:tcPr>
            <w:tcW w:w="1620" w:type="dxa"/>
            <w:tcBorders>
              <w:top w:val="single" w:sz="4" w:space="0" w:color="auto"/>
              <w:bottom w:val="single" w:sz="4" w:space="0" w:color="auto"/>
            </w:tcBorders>
          </w:tcPr>
          <w:p w14:paraId="3450FE8F" w14:textId="0782C5FB" w:rsidR="00C861EA" w:rsidRPr="000D3DC5" w:rsidRDefault="00C861EA" w:rsidP="00B02073">
            <w:pPr>
              <w:tabs>
                <w:tab w:val="decimal" w:pos="1044"/>
                <w:tab w:val="right" w:pos="9180"/>
              </w:tabs>
              <w:ind w:right="-18"/>
              <w:jc w:val="center"/>
            </w:pPr>
            <w:r>
              <w:t>2019</w:t>
            </w:r>
          </w:p>
        </w:tc>
      </w:tr>
      <w:tr w:rsidR="00C861EA" w:rsidRPr="000D3DC5" w14:paraId="6F793B54" w14:textId="77777777" w:rsidTr="00344B7D">
        <w:tc>
          <w:tcPr>
            <w:tcW w:w="5040" w:type="dxa"/>
            <w:gridSpan w:val="7"/>
          </w:tcPr>
          <w:p w14:paraId="6DDBF4D6" w14:textId="77777777" w:rsidR="00C861EA" w:rsidRPr="000D3DC5" w:rsidRDefault="00C861EA" w:rsidP="00B02073">
            <w:r w:rsidRPr="000D3DC5">
              <w:t xml:space="preserve">Cash flows from </w:t>
            </w:r>
            <w:r>
              <w:t>operating</w:t>
            </w:r>
            <w:r w:rsidRPr="000D3DC5">
              <w:t xml:space="preserve"> activities:</w:t>
            </w:r>
          </w:p>
        </w:tc>
        <w:tc>
          <w:tcPr>
            <w:tcW w:w="1368" w:type="dxa"/>
          </w:tcPr>
          <w:p w14:paraId="2A4CB486" w14:textId="77777777" w:rsidR="00C861EA" w:rsidRPr="000D3DC5" w:rsidRDefault="00C861EA" w:rsidP="00B02073">
            <w:pPr>
              <w:tabs>
                <w:tab w:val="right" w:pos="9180"/>
              </w:tabs>
            </w:pPr>
          </w:p>
        </w:tc>
        <w:tc>
          <w:tcPr>
            <w:tcW w:w="1800" w:type="dxa"/>
            <w:tcBorders>
              <w:top w:val="single" w:sz="4" w:space="0" w:color="auto"/>
            </w:tcBorders>
          </w:tcPr>
          <w:p w14:paraId="5BB6390B" w14:textId="77777777" w:rsidR="00C861EA" w:rsidRPr="000D3DC5" w:rsidRDefault="00C861EA" w:rsidP="00B02073">
            <w:pPr>
              <w:tabs>
                <w:tab w:val="decimal" w:pos="1044"/>
                <w:tab w:val="decimal" w:pos="1332"/>
                <w:tab w:val="right" w:pos="9180"/>
              </w:tabs>
            </w:pPr>
          </w:p>
        </w:tc>
        <w:tc>
          <w:tcPr>
            <w:tcW w:w="360" w:type="dxa"/>
          </w:tcPr>
          <w:p w14:paraId="78B735F5" w14:textId="77777777" w:rsidR="00C861EA" w:rsidRPr="000D3DC5" w:rsidRDefault="00C861EA" w:rsidP="00B02073">
            <w:pPr>
              <w:tabs>
                <w:tab w:val="right" w:pos="9180"/>
              </w:tabs>
            </w:pPr>
          </w:p>
        </w:tc>
        <w:tc>
          <w:tcPr>
            <w:tcW w:w="1620" w:type="dxa"/>
          </w:tcPr>
          <w:p w14:paraId="279DE57A" w14:textId="77777777" w:rsidR="00C861EA" w:rsidRPr="000D3DC5" w:rsidRDefault="00C861EA" w:rsidP="00B02073">
            <w:pPr>
              <w:tabs>
                <w:tab w:val="decimal" w:pos="1044"/>
                <w:tab w:val="right" w:pos="9180"/>
              </w:tabs>
              <w:ind w:right="-18"/>
            </w:pPr>
          </w:p>
        </w:tc>
      </w:tr>
      <w:tr w:rsidR="00C861EA" w:rsidRPr="000D3DC5" w14:paraId="5794D939" w14:textId="77777777" w:rsidTr="00344B7D">
        <w:tc>
          <w:tcPr>
            <w:tcW w:w="378" w:type="dxa"/>
          </w:tcPr>
          <w:p w14:paraId="18E606B2" w14:textId="77777777" w:rsidR="00C861EA" w:rsidRPr="000D3DC5" w:rsidRDefault="00C861EA" w:rsidP="00B02073"/>
        </w:tc>
        <w:tc>
          <w:tcPr>
            <w:tcW w:w="4662" w:type="dxa"/>
            <w:gridSpan w:val="6"/>
          </w:tcPr>
          <w:p w14:paraId="4B9B93D5" w14:textId="77777777" w:rsidR="00C861EA" w:rsidRPr="000D3DC5" w:rsidRDefault="00C861EA" w:rsidP="00B02073">
            <w:r w:rsidRPr="000D3DC5">
              <w:t>Net loss</w:t>
            </w:r>
          </w:p>
        </w:tc>
        <w:tc>
          <w:tcPr>
            <w:tcW w:w="1368" w:type="dxa"/>
          </w:tcPr>
          <w:p w14:paraId="2A8342EC" w14:textId="77777777" w:rsidR="00C861EA" w:rsidRPr="000D3DC5" w:rsidRDefault="00C861EA" w:rsidP="00B02073">
            <w:pPr>
              <w:tabs>
                <w:tab w:val="right" w:pos="9180"/>
              </w:tabs>
            </w:pPr>
          </w:p>
        </w:tc>
        <w:tc>
          <w:tcPr>
            <w:tcW w:w="1800" w:type="dxa"/>
          </w:tcPr>
          <w:p w14:paraId="08AB2AD5" w14:textId="74B423BB" w:rsidR="00C861EA" w:rsidRPr="000D3DC5" w:rsidRDefault="00C861EA" w:rsidP="00B02073">
            <w:pPr>
              <w:tabs>
                <w:tab w:val="decimal" w:pos="1332"/>
                <w:tab w:val="right" w:pos="9180"/>
              </w:tabs>
            </w:pPr>
            <w:r w:rsidRPr="000D3DC5">
              <w:t>$</w:t>
            </w:r>
            <w:r w:rsidRPr="000D3DC5">
              <w:tab/>
            </w:r>
            <w:r w:rsidR="00344B7D">
              <w:t>(1,621,546)</w:t>
            </w:r>
          </w:p>
        </w:tc>
        <w:tc>
          <w:tcPr>
            <w:tcW w:w="360" w:type="dxa"/>
          </w:tcPr>
          <w:p w14:paraId="2996F1B7" w14:textId="77777777" w:rsidR="00C861EA" w:rsidRPr="000D3DC5" w:rsidRDefault="00C861EA" w:rsidP="00B02073">
            <w:pPr>
              <w:tabs>
                <w:tab w:val="right" w:pos="9180"/>
              </w:tabs>
            </w:pPr>
          </w:p>
        </w:tc>
        <w:tc>
          <w:tcPr>
            <w:tcW w:w="1620" w:type="dxa"/>
          </w:tcPr>
          <w:p w14:paraId="1EC3C622" w14:textId="7013A9E2" w:rsidR="00C861EA" w:rsidRPr="000D3DC5" w:rsidRDefault="00C861EA" w:rsidP="00B02073">
            <w:pPr>
              <w:tabs>
                <w:tab w:val="decimal" w:pos="1152"/>
                <w:tab w:val="right" w:pos="9180"/>
              </w:tabs>
            </w:pPr>
            <w:r>
              <w:t>$</w:t>
            </w:r>
            <w:r>
              <w:tab/>
              <w:t>(1,</w:t>
            </w:r>
            <w:r w:rsidR="00B707CF">
              <w:t>780,036</w:t>
            </w:r>
            <w:r>
              <w:t>)</w:t>
            </w:r>
          </w:p>
        </w:tc>
      </w:tr>
      <w:tr w:rsidR="00C861EA" w:rsidRPr="000D3DC5" w14:paraId="2723DE94" w14:textId="77777777" w:rsidTr="00344B7D">
        <w:tc>
          <w:tcPr>
            <w:tcW w:w="378" w:type="dxa"/>
          </w:tcPr>
          <w:p w14:paraId="045E3581" w14:textId="77777777" w:rsidR="00C861EA" w:rsidRPr="000D3DC5" w:rsidRDefault="00C861EA" w:rsidP="00B02073"/>
        </w:tc>
        <w:tc>
          <w:tcPr>
            <w:tcW w:w="4662" w:type="dxa"/>
            <w:gridSpan w:val="6"/>
          </w:tcPr>
          <w:p w14:paraId="2D374884" w14:textId="77777777" w:rsidR="00C861EA" w:rsidRPr="000D3DC5" w:rsidRDefault="00C861EA" w:rsidP="00B02073">
            <w:r w:rsidRPr="000D3DC5">
              <w:t>Adjustments to reconcile net loss to net cash</w:t>
            </w:r>
          </w:p>
        </w:tc>
        <w:tc>
          <w:tcPr>
            <w:tcW w:w="1368" w:type="dxa"/>
          </w:tcPr>
          <w:p w14:paraId="3CE5C1B3" w14:textId="77777777" w:rsidR="00C861EA" w:rsidRPr="000D3DC5" w:rsidRDefault="00C861EA" w:rsidP="00B02073">
            <w:pPr>
              <w:tabs>
                <w:tab w:val="right" w:pos="9180"/>
              </w:tabs>
            </w:pPr>
          </w:p>
        </w:tc>
        <w:tc>
          <w:tcPr>
            <w:tcW w:w="1800" w:type="dxa"/>
          </w:tcPr>
          <w:p w14:paraId="5544D062" w14:textId="77777777" w:rsidR="00C861EA" w:rsidRPr="000D3DC5" w:rsidRDefault="00C861EA" w:rsidP="00B02073">
            <w:pPr>
              <w:tabs>
                <w:tab w:val="decimal" w:pos="1044"/>
                <w:tab w:val="right" w:pos="9180"/>
              </w:tabs>
            </w:pPr>
          </w:p>
        </w:tc>
        <w:tc>
          <w:tcPr>
            <w:tcW w:w="360" w:type="dxa"/>
          </w:tcPr>
          <w:p w14:paraId="4BFB3012" w14:textId="77777777" w:rsidR="00C861EA" w:rsidRPr="000D3DC5" w:rsidRDefault="00C861EA" w:rsidP="00B02073">
            <w:pPr>
              <w:tabs>
                <w:tab w:val="right" w:pos="9180"/>
              </w:tabs>
            </w:pPr>
          </w:p>
        </w:tc>
        <w:tc>
          <w:tcPr>
            <w:tcW w:w="1620" w:type="dxa"/>
          </w:tcPr>
          <w:p w14:paraId="7E6FEEAA" w14:textId="77777777" w:rsidR="00C861EA" w:rsidRPr="000D3DC5" w:rsidRDefault="00C861EA" w:rsidP="00B02073">
            <w:pPr>
              <w:tabs>
                <w:tab w:val="decimal" w:pos="1044"/>
                <w:tab w:val="right" w:pos="9180"/>
              </w:tabs>
            </w:pPr>
          </w:p>
        </w:tc>
      </w:tr>
      <w:tr w:rsidR="00C861EA" w:rsidRPr="000D3DC5" w14:paraId="6E628AAC" w14:textId="77777777" w:rsidTr="00344B7D">
        <w:tc>
          <w:tcPr>
            <w:tcW w:w="378" w:type="dxa"/>
          </w:tcPr>
          <w:p w14:paraId="261EA01F" w14:textId="77777777" w:rsidR="00C861EA" w:rsidRPr="000D3DC5" w:rsidRDefault="00C861EA" w:rsidP="00B02073"/>
        </w:tc>
        <w:tc>
          <w:tcPr>
            <w:tcW w:w="4662" w:type="dxa"/>
            <w:gridSpan w:val="6"/>
          </w:tcPr>
          <w:p w14:paraId="7FF17C41" w14:textId="77777777" w:rsidR="00C861EA" w:rsidRPr="000D3DC5" w:rsidRDefault="00C861EA" w:rsidP="00B02073">
            <w:r w:rsidRPr="000D3DC5">
              <w:t xml:space="preserve">  used in operating activities:</w:t>
            </w:r>
          </w:p>
        </w:tc>
        <w:tc>
          <w:tcPr>
            <w:tcW w:w="1368" w:type="dxa"/>
          </w:tcPr>
          <w:p w14:paraId="6E38D640" w14:textId="77777777" w:rsidR="00C861EA" w:rsidRPr="000D3DC5" w:rsidRDefault="00C861EA" w:rsidP="00B02073">
            <w:pPr>
              <w:tabs>
                <w:tab w:val="right" w:pos="9180"/>
              </w:tabs>
            </w:pPr>
          </w:p>
        </w:tc>
        <w:tc>
          <w:tcPr>
            <w:tcW w:w="1800" w:type="dxa"/>
          </w:tcPr>
          <w:p w14:paraId="15805335" w14:textId="77777777" w:rsidR="00C861EA" w:rsidRPr="000D3DC5" w:rsidRDefault="00C861EA" w:rsidP="00B02073">
            <w:pPr>
              <w:tabs>
                <w:tab w:val="decimal" w:pos="1044"/>
                <w:tab w:val="right" w:pos="9180"/>
              </w:tabs>
            </w:pPr>
          </w:p>
        </w:tc>
        <w:tc>
          <w:tcPr>
            <w:tcW w:w="360" w:type="dxa"/>
          </w:tcPr>
          <w:p w14:paraId="7704D8C4" w14:textId="77777777" w:rsidR="00C861EA" w:rsidRPr="000D3DC5" w:rsidRDefault="00C861EA" w:rsidP="00B02073">
            <w:pPr>
              <w:tabs>
                <w:tab w:val="right" w:pos="9180"/>
              </w:tabs>
            </w:pPr>
          </w:p>
        </w:tc>
        <w:tc>
          <w:tcPr>
            <w:tcW w:w="1620" w:type="dxa"/>
          </w:tcPr>
          <w:p w14:paraId="0FFCC01B" w14:textId="77777777" w:rsidR="00C861EA" w:rsidRPr="000D3DC5" w:rsidRDefault="00C861EA" w:rsidP="00B02073">
            <w:pPr>
              <w:tabs>
                <w:tab w:val="decimal" w:pos="1044"/>
                <w:tab w:val="right" w:pos="9180"/>
              </w:tabs>
            </w:pPr>
          </w:p>
        </w:tc>
      </w:tr>
      <w:tr w:rsidR="00C861EA" w:rsidRPr="000D3DC5" w14:paraId="7A183AC8" w14:textId="77777777" w:rsidTr="00344B7D">
        <w:tc>
          <w:tcPr>
            <w:tcW w:w="378" w:type="dxa"/>
          </w:tcPr>
          <w:p w14:paraId="556ED188" w14:textId="77777777" w:rsidR="00C861EA" w:rsidRPr="000D3DC5" w:rsidRDefault="00C861EA" w:rsidP="00B02073"/>
        </w:tc>
        <w:tc>
          <w:tcPr>
            <w:tcW w:w="425" w:type="dxa"/>
          </w:tcPr>
          <w:p w14:paraId="176941B9" w14:textId="77777777" w:rsidR="00C861EA" w:rsidRPr="000D3DC5" w:rsidRDefault="00C861EA" w:rsidP="00B02073"/>
        </w:tc>
        <w:tc>
          <w:tcPr>
            <w:tcW w:w="4237" w:type="dxa"/>
            <w:gridSpan w:val="5"/>
          </w:tcPr>
          <w:p w14:paraId="3C0B1E97" w14:textId="77777777" w:rsidR="00C861EA" w:rsidRPr="000D3DC5" w:rsidRDefault="00C861EA" w:rsidP="00B02073">
            <w:r w:rsidRPr="000D3DC5">
              <w:t>Depreciation and amortization</w:t>
            </w:r>
          </w:p>
        </w:tc>
        <w:tc>
          <w:tcPr>
            <w:tcW w:w="1368" w:type="dxa"/>
          </w:tcPr>
          <w:p w14:paraId="11A14C2B" w14:textId="77777777" w:rsidR="00C861EA" w:rsidRPr="000D3DC5" w:rsidRDefault="00C861EA" w:rsidP="00B02073">
            <w:pPr>
              <w:tabs>
                <w:tab w:val="right" w:pos="9180"/>
              </w:tabs>
            </w:pPr>
          </w:p>
        </w:tc>
        <w:tc>
          <w:tcPr>
            <w:tcW w:w="1800" w:type="dxa"/>
          </w:tcPr>
          <w:p w14:paraId="73F3C1C5" w14:textId="429B2304" w:rsidR="00C861EA" w:rsidRPr="000D3DC5" w:rsidRDefault="00C861EA" w:rsidP="00B02073">
            <w:pPr>
              <w:tabs>
                <w:tab w:val="decimal" w:pos="1332"/>
                <w:tab w:val="right" w:pos="9180"/>
              </w:tabs>
            </w:pPr>
            <w:r>
              <w:tab/>
            </w:r>
            <w:r w:rsidR="00344B7D">
              <w:t>2,983</w:t>
            </w:r>
          </w:p>
        </w:tc>
        <w:tc>
          <w:tcPr>
            <w:tcW w:w="360" w:type="dxa"/>
          </w:tcPr>
          <w:p w14:paraId="695D8C96" w14:textId="77777777" w:rsidR="00C861EA" w:rsidRPr="000D3DC5" w:rsidRDefault="00C861EA" w:rsidP="00B02073">
            <w:pPr>
              <w:tabs>
                <w:tab w:val="right" w:pos="9180"/>
              </w:tabs>
            </w:pPr>
          </w:p>
        </w:tc>
        <w:tc>
          <w:tcPr>
            <w:tcW w:w="1620" w:type="dxa"/>
          </w:tcPr>
          <w:p w14:paraId="44E75798" w14:textId="1431B80F" w:rsidR="00C861EA" w:rsidRPr="000D3DC5" w:rsidRDefault="00C861EA" w:rsidP="00B02073">
            <w:pPr>
              <w:tabs>
                <w:tab w:val="decimal" w:pos="1152"/>
                <w:tab w:val="right" w:pos="9180"/>
              </w:tabs>
            </w:pPr>
            <w:r>
              <w:tab/>
            </w:r>
            <w:r w:rsidR="00B707CF">
              <w:t>5,693</w:t>
            </w:r>
          </w:p>
        </w:tc>
      </w:tr>
      <w:tr w:rsidR="00C861EA" w:rsidRPr="000D3DC5" w14:paraId="13574298" w14:textId="77777777" w:rsidTr="00B02073">
        <w:tc>
          <w:tcPr>
            <w:tcW w:w="378" w:type="dxa"/>
          </w:tcPr>
          <w:p w14:paraId="0E93FF53" w14:textId="77777777" w:rsidR="00C861EA" w:rsidRPr="000D3DC5" w:rsidRDefault="00C861EA" w:rsidP="00B02073"/>
        </w:tc>
        <w:tc>
          <w:tcPr>
            <w:tcW w:w="425" w:type="dxa"/>
          </w:tcPr>
          <w:p w14:paraId="5EB6BF95" w14:textId="77777777" w:rsidR="00C861EA" w:rsidRPr="000D3DC5" w:rsidRDefault="00C861EA" w:rsidP="00B02073"/>
        </w:tc>
        <w:tc>
          <w:tcPr>
            <w:tcW w:w="5605" w:type="dxa"/>
            <w:gridSpan w:val="6"/>
          </w:tcPr>
          <w:p w14:paraId="23E0AC52" w14:textId="77777777" w:rsidR="00C861EA" w:rsidRDefault="00C861EA" w:rsidP="00B02073">
            <w:r>
              <w:t>Stock-based compensation expense</w:t>
            </w:r>
          </w:p>
        </w:tc>
        <w:tc>
          <w:tcPr>
            <w:tcW w:w="1800" w:type="dxa"/>
          </w:tcPr>
          <w:p w14:paraId="7D3F7C8F" w14:textId="7F9398D5" w:rsidR="00C861EA" w:rsidRPr="000D3DC5" w:rsidRDefault="00C861EA" w:rsidP="00B02073">
            <w:pPr>
              <w:tabs>
                <w:tab w:val="decimal" w:pos="1332"/>
                <w:tab w:val="right" w:pos="9180"/>
              </w:tabs>
            </w:pPr>
            <w:r>
              <w:tab/>
            </w:r>
            <w:r w:rsidR="00344B7D">
              <w:t>24,000</w:t>
            </w:r>
          </w:p>
        </w:tc>
        <w:tc>
          <w:tcPr>
            <w:tcW w:w="360" w:type="dxa"/>
          </w:tcPr>
          <w:p w14:paraId="079A71B0" w14:textId="77777777" w:rsidR="00C861EA" w:rsidRPr="000D3DC5" w:rsidRDefault="00C861EA" w:rsidP="00B02073">
            <w:pPr>
              <w:tabs>
                <w:tab w:val="right" w:pos="9180"/>
              </w:tabs>
            </w:pPr>
          </w:p>
        </w:tc>
        <w:tc>
          <w:tcPr>
            <w:tcW w:w="1620" w:type="dxa"/>
          </w:tcPr>
          <w:p w14:paraId="4B082A9A" w14:textId="5A091071" w:rsidR="00C861EA" w:rsidRPr="000D3DC5" w:rsidRDefault="00C861EA" w:rsidP="00B02073">
            <w:pPr>
              <w:tabs>
                <w:tab w:val="decimal" w:pos="1152"/>
                <w:tab w:val="right" w:pos="9180"/>
              </w:tabs>
            </w:pPr>
            <w:r>
              <w:tab/>
            </w:r>
            <w:r w:rsidR="00B707CF">
              <w:t>290,744</w:t>
            </w:r>
          </w:p>
        </w:tc>
      </w:tr>
      <w:tr w:rsidR="00C861EA" w:rsidRPr="000D3DC5" w14:paraId="7F27B916" w14:textId="77777777" w:rsidTr="00344B7D">
        <w:tc>
          <w:tcPr>
            <w:tcW w:w="378" w:type="dxa"/>
          </w:tcPr>
          <w:p w14:paraId="15A2833C" w14:textId="77777777" w:rsidR="00C861EA" w:rsidRPr="000D3DC5" w:rsidRDefault="00C861EA" w:rsidP="00B02073"/>
        </w:tc>
        <w:tc>
          <w:tcPr>
            <w:tcW w:w="425" w:type="dxa"/>
          </w:tcPr>
          <w:p w14:paraId="16914940" w14:textId="77777777" w:rsidR="00C861EA" w:rsidRPr="000D3DC5" w:rsidRDefault="00C861EA" w:rsidP="00B02073"/>
        </w:tc>
        <w:tc>
          <w:tcPr>
            <w:tcW w:w="4237" w:type="dxa"/>
            <w:gridSpan w:val="5"/>
          </w:tcPr>
          <w:p w14:paraId="5EB3D56B" w14:textId="77777777" w:rsidR="00C861EA" w:rsidRPr="000D3DC5" w:rsidRDefault="00C861EA" w:rsidP="00B02073">
            <w:r w:rsidRPr="000D3DC5">
              <w:t>Changes in assets and liabilities:</w:t>
            </w:r>
          </w:p>
        </w:tc>
        <w:tc>
          <w:tcPr>
            <w:tcW w:w="1368" w:type="dxa"/>
          </w:tcPr>
          <w:p w14:paraId="340F5A6A" w14:textId="77777777" w:rsidR="00C861EA" w:rsidRPr="000D3DC5" w:rsidRDefault="00C861EA" w:rsidP="00B02073">
            <w:pPr>
              <w:tabs>
                <w:tab w:val="right" w:pos="9180"/>
              </w:tabs>
            </w:pPr>
          </w:p>
        </w:tc>
        <w:tc>
          <w:tcPr>
            <w:tcW w:w="1800" w:type="dxa"/>
          </w:tcPr>
          <w:p w14:paraId="4C0C679A" w14:textId="77777777" w:rsidR="00C861EA" w:rsidRPr="000D3DC5" w:rsidRDefault="00C861EA" w:rsidP="00B02073">
            <w:pPr>
              <w:tabs>
                <w:tab w:val="decimal" w:pos="1332"/>
                <w:tab w:val="right" w:pos="9180"/>
              </w:tabs>
            </w:pPr>
          </w:p>
        </w:tc>
        <w:tc>
          <w:tcPr>
            <w:tcW w:w="360" w:type="dxa"/>
          </w:tcPr>
          <w:p w14:paraId="12EF69A5" w14:textId="77777777" w:rsidR="00C861EA" w:rsidRPr="000D3DC5" w:rsidRDefault="00C861EA" w:rsidP="00B02073">
            <w:pPr>
              <w:tabs>
                <w:tab w:val="right" w:pos="9180"/>
              </w:tabs>
            </w:pPr>
          </w:p>
        </w:tc>
        <w:tc>
          <w:tcPr>
            <w:tcW w:w="1620" w:type="dxa"/>
          </w:tcPr>
          <w:p w14:paraId="05B4AB99" w14:textId="77777777" w:rsidR="00C861EA" w:rsidRPr="000D3DC5" w:rsidRDefault="00C861EA" w:rsidP="00B02073">
            <w:pPr>
              <w:tabs>
                <w:tab w:val="decimal" w:pos="1152"/>
                <w:tab w:val="right" w:pos="9180"/>
              </w:tabs>
            </w:pPr>
          </w:p>
        </w:tc>
      </w:tr>
      <w:tr w:rsidR="00C861EA" w:rsidRPr="000D3DC5" w14:paraId="27A37AD1" w14:textId="77777777" w:rsidTr="00B02073">
        <w:tc>
          <w:tcPr>
            <w:tcW w:w="378" w:type="dxa"/>
          </w:tcPr>
          <w:p w14:paraId="31F47D26" w14:textId="77777777" w:rsidR="00C861EA" w:rsidRPr="000D3DC5" w:rsidRDefault="00C861EA" w:rsidP="00B02073"/>
        </w:tc>
        <w:tc>
          <w:tcPr>
            <w:tcW w:w="425" w:type="dxa"/>
          </w:tcPr>
          <w:p w14:paraId="0B71F3E6" w14:textId="77777777" w:rsidR="00C861EA" w:rsidRPr="000D3DC5" w:rsidRDefault="00C861EA" w:rsidP="00B02073"/>
        </w:tc>
        <w:tc>
          <w:tcPr>
            <w:tcW w:w="385" w:type="dxa"/>
            <w:gridSpan w:val="2"/>
          </w:tcPr>
          <w:p w14:paraId="2DA670E8" w14:textId="77777777" w:rsidR="00C861EA" w:rsidRPr="000D3DC5" w:rsidRDefault="00C861EA" w:rsidP="00B02073"/>
        </w:tc>
        <w:tc>
          <w:tcPr>
            <w:tcW w:w="5220" w:type="dxa"/>
            <w:gridSpan w:val="4"/>
          </w:tcPr>
          <w:p w14:paraId="65465084" w14:textId="77777777" w:rsidR="00C861EA" w:rsidRPr="000D3DC5" w:rsidRDefault="00C861EA" w:rsidP="00B02073">
            <w:pPr>
              <w:tabs>
                <w:tab w:val="right" w:pos="9180"/>
              </w:tabs>
            </w:pPr>
            <w:r>
              <w:t>Grant funds and other receivables</w:t>
            </w:r>
          </w:p>
        </w:tc>
        <w:tc>
          <w:tcPr>
            <w:tcW w:w="1800" w:type="dxa"/>
          </w:tcPr>
          <w:p w14:paraId="558BC8CB" w14:textId="75723C66" w:rsidR="00C861EA" w:rsidRDefault="00C861EA" w:rsidP="00B02073">
            <w:pPr>
              <w:tabs>
                <w:tab w:val="decimal" w:pos="1332"/>
                <w:tab w:val="right" w:pos="9180"/>
              </w:tabs>
            </w:pPr>
            <w:r>
              <w:tab/>
            </w:r>
            <w:r w:rsidR="00344B7D">
              <w:t>(72,551)</w:t>
            </w:r>
          </w:p>
        </w:tc>
        <w:tc>
          <w:tcPr>
            <w:tcW w:w="360" w:type="dxa"/>
          </w:tcPr>
          <w:p w14:paraId="6EA302B6" w14:textId="77777777" w:rsidR="00C861EA" w:rsidRPr="000D3DC5" w:rsidRDefault="00C861EA" w:rsidP="00B02073">
            <w:pPr>
              <w:tabs>
                <w:tab w:val="right" w:pos="9180"/>
              </w:tabs>
            </w:pPr>
          </w:p>
        </w:tc>
        <w:tc>
          <w:tcPr>
            <w:tcW w:w="1620" w:type="dxa"/>
          </w:tcPr>
          <w:p w14:paraId="7EAC00B1" w14:textId="708E1679" w:rsidR="00C861EA" w:rsidRDefault="00C861EA" w:rsidP="00B02073">
            <w:pPr>
              <w:tabs>
                <w:tab w:val="decimal" w:pos="1152"/>
                <w:tab w:val="right" w:pos="9180"/>
              </w:tabs>
            </w:pPr>
            <w:r>
              <w:tab/>
            </w:r>
            <w:r w:rsidR="00B707CF">
              <w:t>18,329</w:t>
            </w:r>
          </w:p>
        </w:tc>
      </w:tr>
      <w:tr w:rsidR="00C861EA" w:rsidRPr="000D3DC5" w14:paraId="29ABD804" w14:textId="77777777" w:rsidTr="00B02073">
        <w:tc>
          <w:tcPr>
            <w:tcW w:w="378" w:type="dxa"/>
          </w:tcPr>
          <w:p w14:paraId="45AB68C9" w14:textId="77777777" w:rsidR="00C861EA" w:rsidRPr="000D3DC5" w:rsidRDefault="00C861EA" w:rsidP="00B02073"/>
        </w:tc>
        <w:tc>
          <w:tcPr>
            <w:tcW w:w="425" w:type="dxa"/>
          </w:tcPr>
          <w:p w14:paraId="5BDFBE16" w14:textId="77777777" w:rsidR="00C861EA" w:rsidRPr="000D3DC5" w:rsidRDefault="00C861EA" w:rsidP="00B02073"/>
        </w:tc>
        <w:tc>
          <w:tcPr>
            <w:tcW w:w="385" w:type="dxa"/>
            <w:gridSpan w:val="2"/>
          </w:tcPr>
          <w:p w14:paraId="318C2E61" w14:textId="77777777" w:rsidR="00C861EA" w:rsidRPr="000D3DC5" w:rsidRDefault="00C861EA" w:rsidP="00B02073"/>
        </w:tc>
        <w:tc>
          <w:tcPr>
            <w:tcW w:w="5220" w:type="dxa"/>
            <w:gridSpan w:val="4"/>
          </w:tcPr>
          <w:p w14:paraId="69DC17A7" w14:textId="77777777" w:rsidR="00C861EA" w:rsidRPr="000D3DC5" w:rsidRDefault="00C861EA" w:rsidP="00B02073">
            <w:pPr>
              <w:tabs>
                <w:tab w:val="right" w:pos="9180"/>
              </w:tabs>
            </w:pPr>
            <w:r w:rsidRPr="000D3DC5">
              <w:t xml:space="preserve">Prepaid expenses </w:t>
            </w:r>
            <w:r>
              <w:t>and other current assets</w:t>
            </w:r>
          </w:p>
        </w:tc>
        <w:tc>
          <w:tcPr>
            <w:tcW w:w="1800" w:type="dxa"/>
          </w:tcPr>
          <w:p w14:paraId="3B844865" w14:textId="75F92C72" w:rsidR="00C861EA" w:rsidRPr="000D3DC5" w:rsidRDefault="00C861EA" w:rsidP="00B02073">
            <w:pPr>
              <w:tabs>
                <w:tab w:val="decimal" w:pos="1332"/>
                <w:tab w:val="right" w:pos="9180"/>
              </w:tabs>
            </w:pPr>
            <w:r>
              <w:tab/>
            </w:r>
            <w:r w:rsidR="00344B7D">
              <w:t>82,274</w:t>
            </w:r>
          </w:p>
        </w:tc>
        <w:tc>
          <w:tcPr>
            <w:tcW w:w="360" w:type="dxa"/>
          </w:tcPr>
          <w:p w14:paraId="5CDA25A7" w14:textId="77777777" w:rsidR="00C861EA" w:rsidRPr="000D3DC5" w:rsidRDefault="00C861EA" w:rsidP="00B02073">
            <w:pPr>
              <w:tabs>
                <w:tab w:val="right" w:pos="9180"/>
              </w:tabs>
            </w:pPr>
          </w:p>
        </w:tc>
        <w:tc>
          <w:tcPr>
            <w:tcW w:w="1620" w:type="dxa"/>
          </w:tcPr>
          <w:p w14:paraId="37E36524" w14:textId="5355F8FA" w:rsidR="00C861EA" w:rsidRPr="000D3DC5" w:rsidRDefault="00C861EA" w:rsidP="00B02073">
            <w:pPr>
              <w:tabs>
                <w:tab w:val="decimal" w:pos="1152"/>
                <w:tab w:val="right" w:pos="9180"/>
              </w:tabs>
            </w:pPr>
            <w:r>
              <w:tab/>
            </w:r>
            <w:r w:rsidR="00B707CF">
              <w:t>(83,637)</w:t>
            </w:r>
          </w:p>
        </w:tc>
      </w:tr>
      <w:tr w:rsidR="00344B7D" w:rsidRPr="000D3DC5" w14:paraId="22AAC715" w14:textId="77777777" w:rsidTr="00B02073">
        <w:tc>
          <w:tcPr>
            <w:tcW w:w="378" w:type="dxa"/>
          </w:tcPr>
          <w:p w14:paraId="475E5133" w14:textId="77777777" w:rsidR="00344B7D" w:rsidRPr="000D3DC5" w:rsidRDefault="00344B7D" w:rsidP="00B02073"/>
        </w:tc>
        <w:tc>
          <w:tcPr>
            <w:tcW w:w="425" w:type="dxa"/>
          </w:tcPr>
          <w:p w14:paraId="085DDD22" w14:textId="77777777" w:rsidR="00344B7D" w:rsidRPr="000D3DC5" w:rsidRDefault="00344B7D" w:rsidP="00B02073"/>
        </w:tc>
        <w:tc>
          <w:tcPr>
            <w:tcW w:w="385" w:type="dxa"/>
            <w:gridSpan w:val="2"/>
          </w:tcPr>
          <w:p w14:paraId="13F91F65" w14:textId="77777777" w:rsidR="00344B7D" w:rsidRPr="000D3DC5" w:rsidRDefault="00344B7D" w:rsidP="00B02073"/>
        </w:tc>
        <w:tc>
          <w:tcPr>
            <w:tcW w:w="5220" w:type="dxa"/>
            <w:gridSpan w:val="4"/>
          </w:tcPr>
          <w:p w14:paraId="57362874" w14:textId="00005C80" w:rsidR="00344B7D" w:rsidRPr="000D3DC5" w:rsidRDefault="00344B7D" w:rsidP="00B02073">
            <w:pPr>
              <w:tabs>
                <w:tab w:val="right" w:pos="9180"/>
              </w:tabs>
            </w:pPr>
            <w:r>
              <w:t>Amortization of debt discount</w:t>
            </w:r>
          </w:p>
        </w:tc>
        <w:tc>
          <w:tcPr>
            <w:tcW w:w="1800" w:type="dxa"/>
          </w:tcPr>
          <w:p w14:paraId="53BABDE9" w14:textId="7679C7B1" w:rsidR="00344B7D" w:rsidRDefault="00344B7D" w:rsidP="00B02073">
            <w:pPr>
              <w:tabs>
                <w:tab w:val="decimal" w:pos="1332"/>
                <w:tab w:val="right" w:pos="9180"/>
              </w:tabs>
            </w:pPr>
            <w:r>
              <w:tab/>
              <w:t>124,185</w:t>
            </w:r>
          </w:p>
        </w:tc>
        <w:tc>
          <w:tcPr>
            <w:tcW w:w="360" w:type="dxa"/>
          </w:tcPr>
          <w:p w14:paraId="3E147055" w14:textId="77777777" w:rsidR="00344B7D" w:rsidRPr="000D3DC5" w:rsidRDefault="00344B7D" w:rsidP="00B02073">
            <w:pPr>
              <w:tabs>
                <w:tab w:val="right" w:pos="9180"/>
              </w:tabs>
            </w:pPr>
          </w:p>
        </w:tc>
        <w:tc>
          <w:tcPr>
            <w:tcW w:w="1620" w:type="dxa"/>
          </w:tcPr>
          <w:p w14:paraId="31263ACE" w14:textId="3D668DEC" w:rsidR="00344B7D" w:rsidRDefault="00344B7D" w:rsidP="00B02073">
            <w:pPr>
              <w:tabs>
                <w:tab w:val="decimal" w:pos="1152"/>
                <w:tab w:val="right" w:pos="9180"/>
              </w:tabs>
            </w:pPr>
            <w:r>
              <w:tab/>
              <w:t>-</w:t>
            </w:r>
          </w:p>
        </w:tc>
      </w:tr>
      <w:tr w:rsidR="00C861EA" w:rsidRPr="000D3DC5" w14:paraId="378B95C9" w14:textId="77777777" w:rsidTr="00B02073">
        <w:tc>
          <w:tcPr>
            <w:tcW w:w="378" w:type="dxa"/>
          </w:tcPr>
          <w:p w14:paraId="408AE54C" w14:textId="77777777" w:rsidR="00C861EA" w:rsidRPr="000D3DC5" w:rsidRDefault="00C861EA" w:rsidP="00B02073"/>
        </w:tc>
        <w:tc>
          <w:tcPr>
            <w:tcW w:w="425" w:type="dxa"/>
          </w:tcPr>
          <w:p w14:paraId="2B8B7844" w14:textId="77777777" w:rsidR="00C861EA" w:rsidRPr="000D3DC5" w:rsidRDefault="00C861EA" w:rsidP="00B02073"/>
        </w:tc>
        <w:tc>
          <w:tcPr>
            <w:tcW w:w="385" w:type="dxa"/>
            <w:gridSpan w:val="2"/>
          </w:tcPr>
          <w:p w14:paraId="20919282" w14:textId="77777777" w:rsidR="00C861EA" w:rsidRPr="000D3DC5" w:rsidRDefault="00C861EA" w:rsidP="00B02073"/>
        </w:tc>
        <w:tc>
          <w:tcPr>
            <w:tcW w:w="5220" w:type="dxa"/>
            <w:gridSpan w:val="4"/>
          </w:tcPr>
          <w:p w14:paraId="0BAE5BD9" w14:textId="77777777" w:rsidR="00C861EA" w:rsidRPr="000D3DC5" w:rsidRDefault="00C861EA" w:rsidP="00B02073">
            <w:pPr>
              <w:tabs>
                <w:tab w:val="right" w:pos="9180"/>
              </w:tabs>
            </w:pPr>
            <w:r w:rsidRPr="000D3DC5">
              <w:t>Accounts payable and accrued expenses</w:t>
            </w:r>
          </w:p>
        </w:tc>
        <w:tc>
          <w:tcPr>
            <w:tcW w:w="1800" w:type="dxa"/>
          </w:tcPr>
          <w:p w14:paraId="3B064669" w14:textId="2CE18A95" w:rsidR="00C861EA" w:rsidRPr="000D3DC5" w:rsidRDefault="00C861EA" w:rsidP="00B02073">
            <w:pPr>
              <w:tabs>
                <w:tab w:val="decimal" w:pos="1332"/>
                <w:tab w:val="right" w:pos="9180"/>
              </w:tabs>
            </w:pPr>
            <w:r>
              <w:tab/>
            </w:r>
            <w:r w:rsidR="00344B7D">
              <w:t>252,036</w:t>
            </w:r>
          </w:p>
        </w:tc>
        <w:tc>
          <w:tcPr>
            <w:tcW w:w="360" w:type="dxa"/>
          </w:tcPr>
          <w:p w14:paraId="7AC7F4EB" w14:textId="77777777" w:rsidR="00C861EA" w:rsidRPr="000D3DC5" w:rsidRDefault="00C861EA" w:rsidP="00B02073">
            <w:pPr>
              <w:tabs>
                <w:tab w:val="right" w:pos="9180"/>
              </w:tabs>
            </w:pPr>
          </w:p>
        </w:tc>
        <w:tc>
          <w:tcPr>
            <w:tcW w:w="1620" w:type="dxa"/>
          </w:tcPr>
          <w:p w14:paraId="640BE636" w14:textId="327DDB1B" w:rsidR="00C861EA" w:rsidRPr="000D3DC5" w:rsidRDefault="00C861EA" w:rsidP="00B02073">
            <w:pPr>
              <w:tabs>
                <w:tab w:val="decimal" w:pos="1152"/>
                <w:tab w:val="right" w:pos="9180"/>
              </w:tabs>
            </w:pPr>
            <w:r>
              <w:tab/>
            </w:r>
            <w:r w:rsidR="00B707CF">
              <w:t>431,170</w:t>
            </w:r>
          </w:p>
        </w:tc>
      </w:tr>
      <w:tr w:rsidR="00C861EA" w:rsidRPr="000D3DC5" w14:paraId="6A2D984C" w14:textId="77777777" w:rsidTr="00344B7D">
        <w:tc>
          <w:tcPr>
            <w:tcW w:w="378" w:type="dxa"/>
          </w:tcPr>
          <w:p w14:paraId="00FE16A4" w14:textId="77777777" w:rsidR="00C861EA" w:rsidRPr="000D3DC5" w:rsidRDefault="00C861EA" w:rsidP="00B02073"/>
        </w:tc>
        <w:tc>
          <w:tcPr>
            <w:tcW w:w="425" w:type="dxa"/>
          </w:tcPr>
          <w:p w14:paraId="2EB74428" w14:textId="77777777" w:rsidR="00C861EA" w:rsidRPr="000D3DC5" w:rsidRDefault="00C861EA" w:rsidP="00B02073"/>
        </w:tc>
        <w:tc>
          <w:tcPr>
            <w:tcW w:w="385" w:type="dxa"/>
            <w:gridSpan w:val="2"/>
          </w:tcPr>
          <w:p w14:paraId="47BE7D50" w14:textId="77777777" w:rsidR="00C861EA" w:rsidRPr="000D3DC5" w:rsidRDefault="00C861EA" w:rsidP="00B02073"/>
        </w:tc>
        <w:tc>
          <w:tcPr>
            <w:tcW w:w="3852" w:type="dxa"/>
            <w:gridSpan w:val="3"/>
          </w:tcPr>
          <w:p w14:paraId="71DA2FAD" w14:textId="77777777" w:rsidR="00C861EA" w:rsidRPr="000D3DC5" w:rsidRDefault="00C861EA" w:rsidP="00B02073">
            <w:r w:rsidRPr="000D3DC5">
              <w:t>Total adjustments</w:t>
            </w:r>
          </w:p>
        </w:tc>
        <w:tc>
          <w:tcPr>
            <w:tcW w:w="1368" w:type="dxa"/>
          </w:tcPr>
          <w:p w14:paraId="5A63FEA0"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492C26DA" w14:textId="6BEC3D83" w:rsidR="00C861EA" w:rsidRPr="000D3DC5" w:rsidRDefault="00C861EA" w:rsidP="00B02073">
            <w:pPr>
              <w:tabs>
                <w:tab w:val="decimal" w:pos="1332"/>
                <w:tab w:val="right" w:pos="9180"/>
              </w:tabs>
            </w:pPr>
            <w:r>
              <w:tab/>
            </w:r>
            <w:r w:rsidR="00344B7D">
              <w:t>412,927</w:t>
            </w:r>
          </w:p>
        </w:tc>
        <w:tc>
          <w:tcPr>
            <w:tcW w:w="360" w:type="dxa"/>
          </w:tcPr>
          <w:p w14:paraId="3DDB5429" w14:textId="77777777" w:rsidR="00C861EA" w:rsidRPr="000D3DC5" w:rsidRDefault="00C861EA" w:rsidP="00B02073">
            <w:pPr>
              <w:tabs>
                <w:tab w:val="right" w:pos="9180"/>
              </w:tabs>
            </w:pPr>
          </w:p>
        </w:tc>
        <w:tc>
          <w:tcPr>
            <w:tcW w:w="1620" w:type="dxa"/>
            <w:tcBorders>
              <w:top w:val="single" w:sz="4" w:space="0" w:color="auto"/>
              <w:bottom w:val="single" w:sz="4" w:space="0" w:color="auto"/>
            </w:tcBorders>
          </w:tcPr>
          <w:p w14:paraId="22387001" w14:textId="486B04AA" w:rsidR="00C861EA" w:rsidRPr="000D3DC5" w:rsidRDefault="00C861EA" w:rsidP="00B02073">
            <w:pPr>
              <w:tabs>
                <w:tab w:val="decimal" w:pos="1152"/>
                <w:tab w:val="right" w:pos="9180"/>
              </w:tabs>
            </w:pPr>
            <w:r>
              <w:tab/>
            </w:r>
            <w:r w:rsidR="00B707CF">
              <w:t>662,299</w:t>
            </w:r>
          </w:p>
        </w:tc>
      </w:tr>
      <w:tr w:rsidR="00C861EA" w:rsidRPr="000D3DC5" w14:paraId="1F1AF1E3" w14:textId="77777777" w:rsidTr="00344B7D">
        <w:tc>
          <w:tcPr>
            <w:tcW w:w="378" w:type="dxa"/>
          </w:tcPr>
          <w:p w14:paraId="723895D1" w14:textId="77777777" w:rsidR="00C861EA" w:rsidRPr="000D3DC5" w:rsidRDefault="00C861EA" w:rsidP="00B02073"/>
        </w:tc>
        <w:tc>
          <w:tcPr>
            <w:tcW w:w="4662" w:type="dxa"/>
            <w:gridSpan w:val="6"/>
          </w:tcPr>
          <w:p w14:paraId="7FD85694" w14:textId="77777777" w:rsidR="00C861EA" w:rsidRPr="000D3DC5" w:rsidRDefault="00C861EA" w:rsidP="00B02073">
            <w:r>
              <w:t>Net cash used in operating activities</w:t>
            </w:r>
          </w:p>
        </w:tc>
        <w:tc>
          <w:tcPr>
            <w:tcW w:w="1368" w:type="dxa"/>
          </w:tcPr>
          <w:p w14:paraId="297E5C16" w14:textId="77777777" w:rsidR="00C861EA" w:rsidRPr="000D3DC5" w:rsidRDefault="00C861EA" w:rsidP="00B02073">
            <w:pPr>
              <w:tabs>
                <w:tab w:val="right" w:pos="9180"/>
              </w:tabs>
            </w:pPr>
          </w:p>
        </w:tc>
        <w:tc>
          <w:tcPr>
            <w:tcW w:w="1800" w:type="dxa"/>
            <w:tcBorders>
              <w:top w:val="single" w:sz="4" w:space="0" w:color="auto"/>
            </w:tcBorders>
          </w:tcPr>
          <w:p w14:paraId="6F9F7641" w14:textId="361A4BDA" w:rsidR="00C861EA" w:rsidRDefault="00C861EA" w:rsidP="00B02073">
            <w:pPr>
              <w:tabs>
                <w:tab w:val="decimal" w:pos="1332"/>
                <w:tab w:val="right" w:pos="9180"/>
              </w:tabs>
            </w:pPr>
            <w:r>
              <w:tab/>
            </w:r>
            <w:r w:rsidR="00344B7D">
              <w:t>(1,208,619)</w:t>
            </w:r>
          </w:p>
        </w:tc>
        <w:tc>
          <w:tcPr>
            <w:tcW w:w="360" w:type="dxa"/>
          </w:tcPr>
          <w:p w14:paraId="538899A4" w14:textId="77777777" w:rsidR="00C861EA" w:rsidRPr="000D3DC5" w:rsidRDefault="00C861EA" w:rsidP="00B02073">
            <w:pPr>
              <w:tabs>
                <w:tab w:val="right" w:pos="9180"/>
              </w:tabs>
            </w:pPr>
          </w:p>
        </w:tc>
        <w:tc>
          <w:tcPr>
            <w:tcW w:w="1620" w:type="dxa"/>
            <w:tcBorders>
              <w:top w:val="single" w:sz="4" w:space="0" w:color="auto"/>
            </w:tcBorders>
          </w:tcPr>
          <w:p w14:paraId="3A7B1680" w14:textId="3D0C1BAC" w:rsidR="00C861EA" w:rsidRDefault="00C861EA" w:rsidP="00B02073">
            <w:pPr>
              <w:tabs>
                <w:tab w:val="decimal" w:pos="1152"/>
                <w:tab w:val="right" w:pos="9180"/>
              </w:tabs>
            </w:pPr>
            <w:r>
              <w:tab/>
              <w:t>(</w:t>
            </w:r>
            <w:r w:rsidR="00B707CF">
              <w:t>1,117,737</w:t>
            </w:r>
            <w:r>
              <w:t>)</w:t>
            </w:r>
          </w:p>
        </w:tc>
      </w:tr>
      <w:tr w:rsidR="00C861EA" w:rsidRPr="000D3DC5" w14:paraId="7344665C" w14:textId="77777777" w:rsidTr="00344B7D">
        <w:tc>
          <w:tcPr>
            <w:tcW w:w="378" w:type="dxa"/>
          </w:tcPr>
          <w:p w14:paraId="67BE4C95" w14:textId="77777777" w:rsidR="00C861EA" w:rsidRPr="000D3DC5" w:rsidRDefault="00C861EA" w:rsidP="00B02073"/>
        </w:tc>
        <w:tc>
          <w:tcPr>
            <w:tcW w:w="425" w:type="dxa"/>
          </w:tcPr>
          <w:p w14:paraId="0A8CD609" w14:textId="77777777" w:rsidR="00C861EA" w:rsidRPr="000D3DC5" w:rsidRDefault="00C861EA" w:rsidP="00B02073"/>
        </w:tc>
        <w:tc>
          <w:tcPr>
            <w:tcW w:w="789" w:type="dxa"/>
            <w:gridSpan w:val="3"/>
          </w:tcPr>
          <w:p w14:paraId="57FBCBF1" w14:textId="77777777" w:rsidR="00C861EA" w:rsidRPr="000D3DC5" w:rsidRDefault="00C861EA" w:rsidP="00B02073"/>
        </w:tc>
        <w:tc>
          <w:tcPr>
            <w:tcW w:w="620" w:type="dxa"/>
          </w:tcPr>
          <w:p w14:paraId="71CBD0FD" w14:textId="77777777" w:rsidR="00C861EA" w:rsidRPr="000D3DC5" w:rsidRDefault="00C861EA" w:rsidP="00B02073"/>
        </w:tc>
        <w:tc>
          <w:tcPr>
            <w:tcW w:w="2828" w:type="dxa"/>
          </w:tcPr>
          <w:p w14:paraId="331D5E17" w14:textId="77777777" w:rsidR="00C861EA" w:rsidRPr="000D3DC5" w:rsidRDefault="00C861EA" w:rsidP="00B02073"/>
        </w:tc>
        <w:tc>
          <w:tcPr>
            <w:tcW w:w="1368" w:type="dxa"/>
          </w:tcPr>
          <w:p w14:paraId="08AF6CA7" w14:textId="77777777" w:rsidR="00C861EA" w:rsidRPr="000D3DC5" w:rsidRDefault="00C861EA" w:rsidP="00B02073">
            <w:pPr>
              <w:tabs>
                <w:tab w:val="right" w:pos="9180"/>
              </w:tabs>
            </w:pPr>
          </w:p>
        </w:tc>
        <w:tc>
          <w:tcPr>
            <w:tcW w:w="1800" w:type="dxa"/>
          </w:tcPr>
          <w:p w14:paraId="4CE80368" w14:textId="77777777" w:rsidR="00C861EA" w:rsidRPr="000D3DC5" w:rsidRDefault="00C861EA" w:rsidP="00B02073">
            <w:pPr>
              <w:tabs>
                <w:tab w:val="decimal" w:pos="1044"/>
                <w:tab w:val="decimal" w:pos="1332"/>
                <w:tab w:val="right" w:pos="9180"/>
              </w:tabs>
            </w:pPr>
          </w:p>
        </w:tc>
        <w:tc>
          <w:tcPr>
            <w:tcW w:w="360" w:type="dxa"/>
          </w:tcPr>
          <w:p w14:paraId="7BD78438" w14:textId="77777777" w:rsidR="00C861EA" w:rsidRPr="000D3DC5" w:rsidRDefault="00C861EA" w:rsidP="00B02073">
            <w:pPr>
              <w:tabs>
                <w:tab w:val="right" w:pos="9180"/>
              </w:tabs>
            </w:pPr>
          </w:p>
        </w:tc>
        <w:tc>
          <w:tcPr>
            <w:tcW w:w="1620" w:type="dxa"/>
          </w:tcPr>
          <w:p w14:paraId="15F85793" w14:textId="77777777" w:rsidR="00C861EA" w:rsidRPr="000D3DC5" w:rsidRDefault="00C861EA" w:rsidP="00B02073">
            <w:pPr>
              <w:tabs>
                <w:tab w:val="decimal" w:pos="1044"/>
                <w:tab w:val="right" w:pos="9180"/>
              </w:tabs>
            </w:pPr>
          </w:p>
        </w:tc>
      </w:tr>
      <w:tr w:rsidR="00C861EA" w:rsidRPr="000D3DC5" w14:paraId="30420BF0" w14:textId="77777777" w:rsidTr="00344B7D">
        <w:tc>
          <w:tcPr>
            <w:tcW w:w="5040" w:type="dxa"/>
            <w:gridSpan w:val="7"/>
          </w:tcPr>
          <w:p w14:paraId="2217CDF6" w14:textId="77777777" w:rsidR="00C861EA" w:rsidRPr="000D3DC5" w:rsidRDefault="00C861EA" w:rsidP="00B02073">
            <w:r w:rsidRPr="000D3DC5">
              <w:t>Cash flows from investing activities:</w:t>
            </w:r>
          </w:p>
        </w:tc>
        <w:tc>
          <w:tcPr>
            <w:tcW w:w="1368" w:type="dxa"/>
          </w:tcPr>
          <w:p w14:paraId="064517A2" w14:textId="77777777" w:rsidR="00C861EA" w:rsidRPr="000D3DC5" w:rsidRDefault="00C861EA" w:rsidP="00B02073">
            <w:pPr>
              <w:tabs>
                <w:tab w:val="right" w:pos="9180"/>
              </w:tabs>
            </w:pPr>
          </w:p>
        </w:tc>
        <w:tc>
          <w:tcPr>
            <w:tcW w:w="1800" w:type="dxa"/>
          </w:tcPr>
          <w:p w14:paraId="23A85D59" w14:textId="77777777" w:rsidR="00C861EA" w:rsidRPr="000D3DC5" w:rsidRDefault="00C861EA" w:rsidP="00B02073">
            <w:pPr>
              <w:tabs>
                <w:tab w:val="decimal" w:pos="1044"/>
                <w:tab w:val="decimal" w:pos="1332"/>
                <w:tab w:val="right" w:pos="9180"/>
              </w:tabs>
            </w:pPr>
          </w:p>
        </w:tc>
        <w:tc>
          <w:tcPr>
            <w:tcW w:w="360" w:type="dxa"/>
          </w:tcPr>
          <w:p w14:paraId="0D11DB5A" w14:textId="77777777" w:rsidR="00C861EA" w:rsidRPr="000D3DC5" w:rsidRDefault="00C861EA" w:rsidP="00B02073">
            <w:pPr>
              <w:tabs>
                <w:tab w:val="right" w:pos="9180"/>
              </w:tabs>
            </w:pPr>
          </w:p>
        </w:tc>
        <w:tc>
          <w:tcPr>
            <w:tcW w:w="1620" w:type="dxa"/>
          </w:tcPr>
          <w:p w14:paraId="0118D222" w14:textId="77777777" w:rsidR="00C861EA" w:rsidRPr="000D3DC5" w:rsidRDefault="00C861EA" w:rsidP="00B02073">
            <w:pPr>
              <w:tabs>
                <w:tab w:val="decimal" w:pos="1044"/>
                <w:tab w:val="right" w:pos="9180"/>
              </w:tabs>
              <w:ind w:right="-18"/>
            </w:pPr>
          </w:p>
        </w:tc>
      </w:tr>
      <w:tr w:rsidR="00C861EA" w:rsidRPr="000D3DC5" w14:paraId="51459B23" w14:textId="77777777" w:rsidTr="00344B7D">
        <w:tc>
          <w:tcPr>
            <w:tcW w:w="378" w:type="dxa"/>
          </w:tcPr>
          <w:p w14:paraId="70D0C8C2" w14:textId="77777777" w:rsidR="00C861EA" w:rsidRPr="000D3DC5" w:rsidRDefault="00C861EA" w:rsidP="00B02073"/>
        </w:tc>
        <w:tc>
          <w:tcPr>
            <w:tcW w:w="4662" w:type="dxa"/>
            <w:gridSpan w:val="6"/>
          </w:tcPr>
          <w:p w14:paraId="14B2A644" w14:textId="77777777" w:rsidR="00C861EA" w:rsidRPr="000D3DC5" w:rsidRDefault="00C861EA" w:rsidP="00B02073">
            <w:r w:rsidRPr="000D3DC5">
              <w:t>Purchase of property and equipment</w:t>
            </w:r>
          </w:p>
        </w:tc>
        <w:tc>
          <w:tcPr>
            <w:tcW w:w="1368" w:type="dxa"/>
          </w:tcPr>
          <w:p w14:paraId="24A12A3D" w14:textId="77777777" w:rsidR="00C861EA" w:rsidRPr="000D3DC5" w:rsidRDefault="00C861EA" w:rsidP="00B02073">
            <w:pPr>
              <w:tabs>
                <w:tab w:val="right" w:pos="9180"/>
              </w:tabs>
            </w:pPr>
          </w:p>
        </w:tc>
        <w:tc>
          <w:tcPr>
            <w:tcW w:w="1800" w:type="dxa"/>
            <w:tcBorders>
              <w:bottom w:val="single" w:sz="4" w:space="0" w:color="auto"/>
            </w:tcBorders>
          </w:tcPr>
          <w:p w14:paraId="55DE2E17" w14:textId="3A718C92" w:rsidR="00C861EA" w:rsidRPr="000D3DC5" w:rsidRDefault="00C861EA" w:rsidP="00B02073">
            <w:pPr>
              <w:tabs>
                <w:tab w:val="decimal" w:pos="1332"/>
                <w:tab w:val="right" w:pos="9180"/>
              </w:tabs>
            </w:pPr>
            <w:r>
              <w:tab/>
            </w:r>
            <w:r w:rsidR="00344B7D">
              <w:t>(2,470)</w:t>
            </w:r>
          </w:p>
        </w:tc>
        <w:tc>
          <w:tcPr>
            <w:tcW w:w="360" w:type="dxa"/>
          </w:tcPr>
          <w:p w14:paraId="479B1095" w14:textId="77777777" w:rsidR="00C861EA" w:rsidRPr="000D3DC5" w:rsidRDefault="00C861EA" w:rsidP="00B02073">
            <w:pPr>
              <w:tabs>
                <w:tab w:val="right" w:pos="9180"/>
              </w:tabs>
            </w:pPr>
          </w:p>
        </w:tc>
        <w:tc>
          <w:tcPr>
            <w:tcW w:w="1620" w:type="dxa"/>
            <w:tcBorders>
              <w:bottom w:val="single" w:sz="4" w:space="0" w:color="auto"/>
            </w:tcBorders>
          </w:tcPr>
          <w:p w14:paraId="22D7F102" w14:textId="59680B80" w:rsidR="00C861EA" w:rsidRPr="000D3DC5" w:rsidRDefault="00C861EA" w:rsidP="00B02073">
            <w:pPr>
              <w:tabs>
                <w:tab w:val="decimal" w:pos="1152"/>
                <w:tab w:val="right" w:pos="9180"/>
              </w:tabs>
            </w:pPr>
            <w:r>
              <w:tab/>
              <w:t>(4,272)</w:t>
            </w:r>
          </w:p>
        </w:tc>
      </w:tr>
      <w:tr w:rsidR="00C861EA" w:rsidRPr="000D3DC5" w14:paraId="6ACF03D4" w14:textId="77777777" w:rsidTr="00344B7D">
        <w:tc>
          <w:tcPr>
            <w:tcW w:w="378" w:type="dxa"/>
          </w:tcPr>
          <w:p w14:paraId="765D7D81" w14:textId="77777777" w:rsidR="00C861EA" w:rsidRPr="000D3DC5" w:rsidRDefault="00C861EA" w:rsidP="00B02073"/>
        </w:tc>
        <w:tc>
          <w:tcPr>
            <w:tcW w:w="4662" w:type="dxa"/>
            <w:gridSpan w:val="6"/>
          </w:tcPr>
          <w:p w14:paraId="7BA4BE5D" w14:textId="77777777" w:rsidR="00C861EA" w:rsidRPr="000D3DC5" w:rsidRDefault="00C861EA" w:rsidP="00B02073">
            <w:r>
              <w:t>Net cash used in investing activities</w:t>
            </w:r>
          </w:p>
        </w:tc>
        <w:tc>
          <w:tcPr>
            <w:tcW w:w="1368" w:type="dxa"/>
          </w:tcPr>
          <w:p w14:paraId="7A27E367" w14:textId="77777777" w:rsidR="00C861EA" w:rsidRPr="000D3DC5" w:rsidRDefault="00C861EA" w:rsidP="00B02073">
            <w:pPr>
              <w:tabs>
                <w:tab w:val="right" w:pos="9180"/>
              </w:tabs>
            </w:pPr>
          </w:p>
        </w:tc>
        <w:tc>
          <w:tcPr>
            <w:tcW w:w="1800" w:type="dxa"/>
          </w:tcPr>
          <w:p w14:paraId="674BDCBA" w14:textId="1FED5149" w:rsidR="00C861EA" w:rsidRDefault="00C861EA" w:rsidP="00B02073">
            <w:pPr>
              <w:tabs>
                <w:tab w:val="decimal" w:pos="1332"/>
                <w:tab w:val="right" w:pos="9180"/>
              </w:tabs>
            </w:pPr>
            <w:r>
              <w:tab/>
            </w:r>
            <w:r w:rsidR="00344B7D">
              <w:t>(2,470)</w:t>
            </w:r>
          </w:p>
        </w:tc>
        <w:tc>
          <w:tcPr>
            <w:tcW w:w="360" w:type="dxa"/>
          </w:tcPr>
          <w:p w14:paraId="645FC494" w14:textId="77777777" w:rsidR="00C861EA" w:rsidRPr="000D3DC5" w:rsidRDefault="00C861EA" w:rsidP="00B02073">
            <w:pPr>
              <w:tabs>
                <w:tab w:val="right" w:pos="9180"/>
              </w:tabs>
            </w:pPr>
          </w:p>
        </w:tc>
        <w:tc>
          <w:tcPr>
            <w:tcW w:w="1620" w:type="dxa"/>
            <w:tcBorders>
              <w:top w:val="single" w:sz="4" w:space="0" w:color="auto"/>
            </w:tcBorders>
          </w:tcPr>
          <w:p w14:paraId="49054904" w14:textId="4CEACD3B" w:rsidR="00C861EA" w:rsidRDefault="00C861EA" w:rsidP="00B02073">
            <w:pPr>
              <w:tabs>
                <w:tab w:val="decimal" w:pos="1152"/>
                <w:tab w:val="right" w:pos="9180"/>
              </w:tabs>
            </w:pPr>
            <w:r>
              <w:tab/>
              <w:t>(4,272)</w:t>
            </w:r>
          </w:p>
        </w:tc>
      </w:tr>
      <w:tr w:rsidR="00C861EA" w:rsidRPr="000D3DC5" w14:paraId="3FA1DD8B" w14:textId="77777777" w:rsidTr="00344B7D">
        <w:tc>
          <w:tcPr>
            <w:tcW w:w="378" w:type="dxa"/>
          </w:tcPr>
          <w:p w14:paraId="22D2D301" w14:textId="77777777" w:rsidR="00C861EA" w:rsidRPr="000D3DC5" w:rsidRDefault="00C861EA" w:rsidP="00B02073"/>
        </w:tc>
        <w:tc>
          <w:tcPr>
            <w:tcW w:w="425" w:type="dxa"/>
          </w:tcPr>
          <w:p w14:paraId="0CF591ED" w14:textId="77777777" w:rsidR="00C861EA" w:rsidRPr="000D3DC5" w:rsidRDefault="00C861EA" w:rsidP="00B02073"/>
        </w:tc>
        <w:tc>
          <w:tcPr>
            <w:tcW w:w="789" w:type="dxa"/>
            <w:gridSpan w:val="3"/>
          </w:tcPr>
          <w:p w14:paraId="43EBEC4B" w14:textId="77777777" w:rsidR="00C861EA" w:rsidRPr="000D3DC5" w:rsidRDefault="00C861EA" w:rsidP="00B02073"/>
        </w:tc>
        <w:tc>
          <w:tcPr>
            <w:tcW w:w="620" w:type="dxa"/>
          </w:tcPr>
          <w:p w14:paraId="4CD4BFC1" w14:textId="77777777" w:rsidR="00C861EA" w:rsidRPr="000D3DC5" w:rsidRDefault="00C861EA" w:rsidP="00B02073"/>
        </w:tc>
        <w:tc>
          <w:tcPr>
            <w:tcW w:w="2828" w:type="dxa"/>
          </w:tcPr>
          <w:p w14:paraId="18CD2608" w14:textId="77777777" w:rsidR="00C861EA" w:rsidRPr="000D3DC5" w:rsidRDefault="00C861EA" w:rsidP="00B02073"/>
        </w:tc>
        <w:tc>
          <w:tcPr>
            <w:tcW w:w="1368" w:type="dxa"/>
          </w:tcPr>
          <w:p w14:paraId="1138CF5C" w14:textId="77777777" w:rsidR="00C861EA" w:rsidRPr="000D3DC5" w:rsidRDefault="00C861EA" w:rsidP="00B02073">
            <w:pPr>
              <w:tabs>
                <w:tab w:val="right" w:pos="9180"/>
              </w:tabs>
            </w:pPr>
          </w:p>
        </w:tc>
        <w:tc>
          <w:tcPr>
            <w:tcW w:w="1800" w:type="dxa"/>
          </w:tcPr>
          <w:p w14:paraId="4B77B6B7" w14:textId="77777777" w:rsidR="00C861EA" w:rsidRPr="000D3DC5" w:rsidRDefault="00C861EA" w:rsidP="00B02073">
            <w:pPr>
              <w:tabs>
                <w:tab w:val="decimal" w:pos="1044"/>
                <w:tab w:val="decimal" w:pos="1332"/>
                <w:tab w:val="right" w:pos="9180"/>
              </w:tabs>
            </w:pPr>
          </w:p>
        </w:tc>
        <w:tc>
          <w:tcPr>
            <w:tcW w:w="360" w:type="dxa"/>
          </w:tcPr>
          <w:p w14:paraId="4AA97075" w14:textId="77777777" w:rsidR="00C861EA" w:rsidRPr="000D3DC5" w:rsidRDefault="00C861EA" w:rsidP="00B02073">
            <w:pPr>
              <w:tabs>
                <w:tab w:val="right" w:pos="9180"/>
              </w:tabs>
            </w:pPr>
          </w:p>
        </w:tc>
        <w:tc>
          <w:tcPr>
            <w:tcW w:w="1620" w:type="dxa"/>
          </w:tcPr>
          <w:p w14:paraId="614C1A82" w14:textId="77777777" w:rsidR="00C861EA" w:rsidRPr="000D3DC5" w:rsidRDefault="00C861EA" w:rsidP="00B02073">
            <w:pPr>
              <w:tabs>
                <w:tab w:val="decimal" w:pos="1044"/>
                <w:tab w:val="right" w:pos="9180"/>
              </w:tabs>
            </w:pPr>
          </w:p>
        </w:tc>
      </w:tr>
      <w:tr w:rsidR="00C861EA" w:rsidRPr="000D3DC5" w14:paraId="08837765" w14:textId="77777777" w:rsidTr="00344B7D">
        <w:tc>
          <w:tcPr>
            <w:tcW w:w="5040" w:type="dxa"/>
            <w:gridSpan w:val="7"/>
          </w:tcPr>
          <w:p w14:paraId="3FBD020D" w14:textId="77777777" w:rsidR="00C861EA" w:rsidRPr="000D3DC5" w:rsidRDefault="00C861EA" w:rsidP="00B02073">
            <w:r w:rsidRPr="000D3DC5">
              <w:t>Cash flows from financing activities:</w:t>
            </w:r>
          </w:p>
        </w:tc>
        <w:tc>
          <w:tcPr>
            <w:tcW w:w="1368" w:type="dxa"/>
          </w:tcPr>
          <w:p w14:paraId="51047D6B" w14:textId="77777777" w:rsidR="00C861EA" w:rsidRPr="000D3DC5" w:rsidRDefault="00C861EA" w:rsidP="00B02073">
            <w:pPr>
              <w:tabs>
                <w:tab w:val="right" w:pos="9180"/>
              </w:tabs>
            </w:pPr>
          </w:p>
        </w:tc>
        <w:tc>
          <w:tcPr>
            <w:tcW w:w="1800" w:type="dxa"/>
          </w:tcPr>
          <w:p w14:paraId="344C63C3" w14:textId="77777777" w:rsidR="00C861EA" w:rsidRPr="000D3DC5" w:rsidRDefault="00C861EA" w:rsidP="00B02073">
            <w:pPr>
              <w:tabs>
                <w:tab w:val="decimal" w:pos="1044"/>
                <w:tab w:val="decimal" w:pos="1332"/>
                <w:tab w:val="right" w:pos="9180"/>
              </w:tabs>
            </w:pPr>
          </w:p>
        </w:tc>
        <w:tc>
          <w:tcPr>
            <w:tcW w:w="360" w:type="dxa"/>
          </w:tcPr>
          <w:p w14:paraId="719C0D46" w14:textId="77777777" w:rsidR="00C861EA" w:rsidRPr="000D3DC5" w:rsidRDefault="00C861EA" w:rsidP="00B02073">
            <w:pPr>
              <w:tabs>
                <w:tab w:val="right" w:pos="9180"/>
              </w:tabs>
            </w:pPr>
          </w:p>
        </w:tc>
        <w:tc>
          <w:tcPr>
            <w:tcW w:w="1620" w:type="dxa"/>
          </w:tcPr>
          <w:p w14:paraId="0AB623AE" w14:textId="77777777" w:rsidR="00C861EA" w:rsidRPr="000D3DC5" w:rsidRDefault="00C861EA" w:rsidP="00B02073">
            <w:pPr>
              <w:tabs>
                <w:tab w:val="decimal" w:pos="1044"/>
                <w:tab w:val="right" w:pos="9180"/>
              </w:tabs>
            </w:pPr>
          </w:p>
        </w:tc>
      </w:tr>
      <w:tr w:rsidR="00C861EA" w:rsidRPr="000D3DC5" w14:paraId="75A47931" w14:textId="77777777" w:rsidTr="00344B7D">
        <w:tc>
          <w:tcPr>
            <w:tcW w:w="378" w:type="dxa"/>
          </w:tcPr>
          <w:p w14:paraId="36882579" w14:textId="77777777" w:rsidR="00C861EA" w:rsidRPr="000D3DC5" w:rsidRDefault="00C861EA" w:rsidP="00B02073">
            <w:bookmarkStart w:id="13" w:name="_Hlk511051769"/>
          </w:p>
        </w:tc>
        <w:tc>
          <w:tcPr>
            <w:tcW w:w="4662" w:type="dxa"/>
            <w:gridSpan w:val="6"/>
          </w:tcPr>
          <w:p w14:paraId="20126D3F" w14:textId="77777777" w:rsidR="00C861EA" w:rsidRPr="000D3DC5" w:rsidRDefault="00C861EA" w:rsidP="00B02073">
            <w:r>
              <w:t>Net proceeds from sale of preferred stock</w:t>
            </w:r>
          </w:p>
        </w:tc>
        <w:tc>
          <w:tcPr>
            <w:tcW w:w="1368" w:type="dxa"/>
          </w:tcPr>
          <w:p w14:paraId="7DF5DF00" w14:textId="77777777" w:rsidR="00C861EA" w:rsidRPr="000D3DC5" w:rsidRDefault="00C861EA" w:rsidP="00B02073">
            <w:pPr>
              <w:tabs>
                <w:tab w:val="right" w:pos="9180"/>
              </w:tabs>
            </w:pPr>
          </w:p>
        </w:tc>
        <w:tc>
          <w:tcPr>
            <w:tcW w:w="1800" w:type="dxa"/>
          </w:tcPr>
          <w:p w14:paraId="5C791063" w14:textId="11E89E19" w:rsidR="00C861EA" w:rsidRDefault="00C861EA" w:rsidP="00B02073">
            <w:pPr>
              <w:tabs>
                <w:tab w:val="decimal" w:pos="1332"/>
                <w:tab w:val="right" w:pos="9180"/>
              </w:tabs>
            </w:pPr>
            <w:r>
              <w:tab/>
            </w:r>
            <w:r w:rsidR="00344B7D">
              <w:t>300,000</w:t>
            </w:r>
          </w:p>
        </w:tc>
        <w:tc>
          <w:tcPr>
            <w:tcW w:w="360" w:type="dxa"/>
          </w:tcPr>
          <w:p w14:paraId="2B769CE1" w14:textId="77777777" w:rsidR="00C861EA" w:rsidRPr="000D3DC5" w:rsidRDefault="00C861EA" w:rsidP="00B02073">
            <w:pPr>
              <w:pStyle w:val="ListParagraph"/>
              <w:numPr>
                <w:ilvl w:val="0"/>
                <w:numId w:val="6"/>
              </w:numPr>
              <w:tabs>
                <w:tab w:val="right" w:pos="9180"/>
              </w:tabs>
            </w:pPr>
          </w:p>
        </w:tc>
        <w:tc>
          <w:tcPr>
            <w:tcW w:w="1620" w:type="dxa"/>
          </w:tcPr>
          <w:p w14:paraId="006D2155" w14:textId="682B3F80" w:rsidR="00C861EA" w:rsidRDefault="00C861EA" w:rsidP="00B02073">
            <w:pPr>
              <w:tabs>
                <w:tab w:val="decimal" w:pos="1152"/>
                <w:tab w:val="right" w:pos="9180"/>
              </w:tabs>
            </w:pPr>
            <w:r>
              <w:tab/>
            </w:r>
            <w:r w:rsidR="00B707CF">
              <w:t>1,440,000</w:t>
            </w:r>
          </w:p>
        </w:tc>
      </w:tr>
      <w:tr w:rsidR="00C861EA" w:rsidRPr="000D3DC5" w14:paraId="5FDD3450" w14:textId="77777777" w:rsidTr="00344B7D">
        <w:tc>
          <w:tcPr>
            <w:tcW w:w="378" w:type="dxa"/>
          </w:tcPr>
          <w:p w14:paraId="41CA394C" w14:textId="77777777" w:rsidR="00C861EA" w:rsidRPr="000D3DC5" w:rsidRDefault="00C861EA" w:rsidP="00B02073"/>
        </w:tc>
        <w:tc>
          <w:tcPr>
            <w:tcW w:w="4662" w:type="dxa"/>
            <w:gridSpan w:val="6"/>
          </w:tcPr>
          <w:p w14:paraId="0604FE97" w14:textId="69FB8CF1" w:rsidR="00C861EA" w:rsidRDefault="006D36EF" w:rsidP="00B02073">
            <w:r>
              <w:t>Net p</w:t>
            </w:r>
            <w:r w:rsidR="00C861EA">
              <w:t>roceeds from issuance of note payable</w:t>
            </w:r>
          </w:p>
        </w:tc>
        <w:tc>
          <w:tcPr>
            <w:tcW w:w="1368" w:type="dxa"/>
          </w:tcPr>
          <w:p w14:paraId="08A7A281" w14:textId="77777777" w:rsidR="00C861EA" w:rsidRPr="000D3DC5" w:rsidRDefault="00C861EA" w:rsidP="00B02073">
            <w:pPr>
              <w:tabs>
                <w:tab w:val="right" w:pos="9180"/>
              </w:tabs>
            </w:pPr>
          </w:p>
        </w:tc>
        <w:tc>
          <w:tcPr>
            <w:tcW w:w="1800" w:type="dxa"/>
          </w:tcPr>
          <w:p w14:paraId="2211D275" w14:textId="21B59134" w:rsidR="00C861EA" w:rsidRDefault="00C861EA" w:rsidP="00B02073">
            <w:pPr>
              <w:tabs>
                <w:tab w:val="decimal" w:pos="1332"/>
                <w:tab w:val="right" w:pos="9180"/>
              </w:tabs>
            </w:pPr>
            <w:r>
              <w:tab/>
            </w:r>
            <w:r w:rsidR="00344B7D">
              <w:t>170,200</w:t>
            </w:r>
          </w:p>
        </w:tc>
        <w:tc>
          <w:tcPr>
            <w:tcW w:w="360" w:type="dxa"/>
          </w:tcPr>
          <w:p w14:paraId="20C390B2" w14:textId="77777777" w:rsidR="00C861EA" w:rsidRPr="000D3DC5" w:rsidRDefault="00C861EA" w:rsidP="00B02073">
            <w:pPr>
              <w:pStyle w:val="ListParagraph"/>
              <w:numPr>
                <w:ilvl w:val="0"/>
                <w:numId w:val="6"/>
              </w:numPr>
              <w:tabs>
                <w:tab w:val="right" w:pos="9180"/>
              </w:tabs>
            </w:pPr>
          </w:p>
        </w:tc>
        <w:tc>
          <w:tcPr>
            <w:tcW w:w="1620" w:type="dxa"/>
          </w:tcPr>
          <w:p w14:paraId="0992CD5E" w14:textId="78DF760E" w:rsidR="00C861EA" w:rsidRDefault="00C861EA" w:rsidP="00B02073">
            <w:pPr>
              <w:tabs>
                <w:tab w:val="decimal" w:pos="1152"/>
                <w:tab w:val="right" w:pos="9180"/>
              </w:tabs>
            </w:pPr>
            <w:r>
              <w:tab/>
              <w:t>-</w:t>
            </w:r>
          </w:p>
        </w:tc>
      </w:tr>
      <w:tr w:rsidR="006D36EF" w:rsidRPr="000D3DC5" w14:paraId="5BE70C3A" w14:textId="77777777" w:rsidTr="00344B7D">
        <w:tc>
          <w:tcPr>
            <w:tcW w:w="378" w:type="dxa"/>
          </w:tcPr>
          <w:p w14:paraId="5AE10638" w14:textId="77777777" w:rsidR="006D36EF" w:rsidRPr="000D3DC5" w:rsidRDefault="006D36EF" w:rsidP="00B02073"/>
        </w:tc>
        <w:tc>
          <w:tcPr>
            <w:tcW w:w="4662" w:type="dxa"/>
            <w:gridSpan w:val="6"/>
          </w:tcPr>
          <w:p w14:paraId="05B86A04" w14:textId="1E897B7C" w:rsidR="006D36EF" w:rsidRPr="008B4164" w:rsidRDefault="006D36EF" w:rsidP="00B02073">
            <w:r w:rsidRPr="008B4164">
              <w:t>Net proceeds from bridge financing</w:t>
            </w:r>
          </w:p>
        </w:tc>
        <w:tc>
          <w:tcPr>
            <w:tcW w:w="1368" w:type="dxa"/>
          </w:tcPr>
          <w:p w14:paraId="0EC7BC80" w14:textId="77777777" w:rsidR="006D36EF" w:rsidRPr="008B4164" w:rsidRDefault="006D36EF" w:rsidP="00B02073">
            <w:pPr>
              <w:tabs>
                <w:tab w:val="right" w:pos="9180"/>
              </w:tabs>
            </w:pPr>
          </w:p>
        </w:tc>
        <w:tc>
          <w:tcPr>
            <w:tcW w:w="1800" w:type="dxa"/>
          </w:tcPr>
          <w:p w14:paraId="1F9731F3" w14:textId="2A9FA5AA" w:rsidR="006D36EF" w:rsidRPr="008B4164" w:rsidRDefault="006D36EF" w:rsidP="00B02073">
            <w:pPr>
              <w:tabs>
                <w:tab w:val="decimal" w:pos="1332"/>
                <w:tab w:val="right" w:pos="9180"/>
              </w:tabs>
            </w:pPr>
            <w:r w:rsidRPr="008B4164">
              <w:tab/>
            </w:r>
            <w:r w:rsidR="00344B7D">
              <w:t>888,500</w:t>
            </w:r>
          </w:p>
        </w:tc>
        <w:tc>
          <w:tcPr>
            <w:tcW w:w="360" w:type="dxa"/>
          </w:tcPr>
          <w:p w14:paraId="0663FAA4" w14:textId="77777777" w:rsidR="006D36EF" w:rsidRPr="008B4164" w:rsidRDefault="006D36EF" w:rsidP="00B02073">
            <w:pPr>
              <w:pStyle w:val="ListParagraph"/>
              <w:numPr>
                <w:ilvl w:val="0"/>
                <w:numId w:val="6"/>
              </w:numPr>
              <w:tabs>
                <w:tab w:val="right" w:pos="9180"/>
              </w:tabs>
            </w:pPr>
          </w:p>
        </w:tc>
        <w:tc>
          <w:tcPr>
            <w:tcW w:w="1620" w:type="dxa"/>
          </w:tcPr>
          <w:p w14:paraId="4493245E" w14:textId="44C13046" w:rsidR="006D36EF" w:rsidRDefault="006D36EF" w:rsidP="00B02073">
            <w:pPr>
              <w:tabs>
                <w:tab w:val="decimal" w:pos="1152"/>
                <w:tab w:val="right" w:pos="9180"/>
              </w:tabs>
            </w:pPr>
            <w:r w:rsidRPr="008B4164">
              <w:tab/>
              <w:t>-</w:t>
            </w:r>
          </w:p>
        </w:tc>
      </w:tr>
      <w:tr w:rsidR="00344B7D" w:rsidRPr="000D3DC5" w14:paraId="5E2673EA" w14:textId="77777777" w:rsidTr="00344B7D">
        <w:tc>
          <w:tcPr>
            <w:tcW w:w="378" w:type="dxa"/>
          </w:tcPr>
          <w:p w14:paraId="0D5A8B17" w14:textId="77777777" w:rsidR="00344B7D" w:rsidRPr="000D3DC5" w:rsidRDefault="00344B7D" w:rsidP="00B02073"/>
        </w:tc>
        <w:tc>
          <w:tcPr>
            <w:tcW w:w="4662" w:type="dxa"/>
            <w:gridSpan w:val="6"/>
          </w:tcPr>
          <w:p w14:paraId="6596B1DE" w14:textId="41AD3523" w:rsidR="00344B7D" w:rsidRPr="008B4164" w:rsidRDefault="00344B7D" w:rsidP="00B02073">
            <w:r>
              <w:t>Net proceeds from sale of common stock and warrants</w:t>
            </w:r>
          </w:p>
        </w:tc>
        <w:tc>
          <w:tcPr>
            <w:tcW w:w="1368" w:type="dxa"/>
          </w:tcPr>
          <w:p w14:paraId="61327A8C" w14:textId="77777777" w:rsidR="00344B7D" w:rsidRPr="008B4164" w:rsidRDefault="00344B7D" w:rsidP="00B02073">
            <w:pPr>
              <w:tabs>
                <w:tab w:val="right" w:pos="9180"/>
              </w:tabs>
            </w:pPr>
          </w:p>
        </w:tc>
        <w:tc>
          <w:tcPr>
            <w:tcW w:w="1800" w:type="dxa"/>
          </w:tcPr>
          <w:p w14:paraId="68943216" w14:textId="6E300D98" w:rsidR="00344B7D" w:rsidRPr="008B4164" w:rsidRDefault="00344B7D" w:rsidP="00B02073">
            <w:pPr>
              <w:tabs>
                <w:tab w:val="decimal" w:pos="1332"/>
                <w:tab w:val="right" w:pos="9180"/>
              </w:tabs>
            </w:pPr>
            <w:r>
              <w:tab/>
            </w:r>
            <w:r w:rsidR="00255214">
              <w:t>11,158,496</w:t>
            </w:r>
          </w:p>
        </w:tc>
        <w:tc>
          <w:tcPr>
            <w:tcW w:w="360" w:type="dxa"/>
          </w:tcPr>
          <w:p w14:paraId="18525F0B" w14:textId="77777777" w:rsidR="00344B7D" w:rsidRPr="008B4164" w:rsidRDefault="00344B7D" w:rsidP="00B02073">
            <w:pPr>
              <w:pStyle w:val="ListParagraph"/>
              <w:numPr>
                <w:ilvl w:val="0"/>
                <w:numId w:val="6"/>
              </w:numPr>
              <w:tabs>
                <w:tab w:val="right" w:pos="9180"/>
              </w:tabs>
            </w:pPr>
          </w:p>
        </w:tc>
        <w:tc>
          <w:tcPr>
            <w:tcW w:w="1620" w:type="dxa"/>
          </w:tcPr>
          <w:p w14:paraId="2B14F5CD" w14:textId="013099DB" w:rsidR="00344B7D" w:rsidRPr="008B4164" w:rsidRDefault="00255214" w:rsidP="00B02073">
            <w:pPr>
              <w:tabs>
                <w:tab w:val="decimal" w:pos="1152"/>
                <w:tab w:val="right" w:pos="9180"/>
              </w:tabs>
            </w:pPr>
            <w:r>
              <w:tab/>
              <w:t>-</w:t>
            </w:r>
          </w:p>
        </w:tc>
      </w:tr>
      <w:bookmarkEnd w:id="13"/>
      <w:tr w:rsidR="00C861EA" w:rsidRPr="000D3DC5" w14:paraId="6DF4005E" w14:textId="77777777" w:rsidTr="00344B7D">
        <w:tc>
          <w:tcPr>
            <w:tcW w:w="378" w:type="dxa"/>
          </w:tcPr>
          <w:p w14:paraId="442CBE80" w14:textId="77777777" w:rsidR="00C861EA" w:rsidRPr="000D3DC5" w:rsidRDefault="00C861EA" w:rsidP="00B02073"/>
        </w:tc>
        <w:tc>
          <w:tcPr>
            <w:tcW w:w="4662" w:type="dxa"/>
            <w:gridSpan w:val="6"/>
          </w:tcPr>
          <w:p w14:paraId="0394FB63" w14:textId="77777777" w:rsidR="00C861EA" w:rsidRPr="00E0298C" w:rsidRDefault="00C861EA" w:rsidP="00B02073">
            <w:r w:rsidRPr="00E0298C">
              <w:t>Principal repayment of note payable</w:t>
            </w:r>
          </w:p>
        </w:tc>
        <w:tc>
          <w:tcPr>
            <w:tcW w:w="1368" w:type="dxa"/>
          </w:tcPr>
          <w:p w14:paraId="057CB200" w14:textId="77777777" w:rsidR="00C861EA" w:rsidRPr="00E0298C" w:rsidRDefault="00C861EA" w:rsidP="00B02073">
            <w:pPr>
              <w:tabs>
                <w:tab w:val="right" w:pos="9180"/>
              </w:tabs>
            </w:pPr>
          </w:p>
        </w:tc>
        <w:tc>
          <w:tcPr>
            <w:tcW w:w="1800" w:type="dxa"/>
            <w:tcBorders>
              <w:bottom w:val="single" w:sz="4" w:space="0" w:color="auto"/>
            </w:tcBorders>
          </w:tcPr>
          <w:p w14:paraId="1BC563D9" w14:textId="0DFE5D21" w:rsidR="00C861EA" w:rsidRPr="00E0298C" w:rsidRDefault="00C861EA" w:rsidP="00B02073">
            <w:pPr>
              <w:tabs>
                <w:tab w:val="decimal" w:pos="1332"/>
                <w:tab w:val="right" w:pos="9180"/>
              </w:tabs>
            </w:pPr>
            <w:r w:rsidRPr="00E0298C">
              <w:tab/>
            </w:r>
            <w:r w:rsidR="00344B7D">
              <w:t>(8,854)</w:t>
            </w:r>
          </w:p>
        </w:tc>
        <w:tc>
          <w:tcPr>
            <w:tcW w:w="360" w:type="dxa"/>
          </w:tcPr>
          <w:p w14:paraId="7E9437FF" w14:textId="77777777" w:rsidR="00C861EA" w:rsidRPr="00E0298C" w:rsidRDefault="00C861EA" w:rsidP="00B02073">
            <w:pPr>
              <w:pStyle w:val="ListParagraph"/>
              <w:numPr>
                <w:ilvl w:val="0"/>
                <w:numId w:val="6"/>
              </w:numPr>
              <w:tabs>
                <w:tab w:val="right" w:pos="9180"/>
              </w:tabs>
            </w:pPr>
          </w:p>
        </w:tc>
        <w:tc>
          <w:tcPr>
            <w:tcW w:w="1620" w:type="dxa"/>
            <w:tcBorders>
              <w:bottom w:val="single" w:sz="4" w:space="0" w:color="auto"/>
            </w:tcBorders>
          </w:tcPr>
          <w:p w14:paraId="17352C5F" w14:textId="68D88AA6" w:rsidR="00C861EA" w:rsidRDefault="00C861EA" w:rsidP="00B02073">
            <w:pPr>
              <w:tabs>
                <w:tab w:val="decimal" w:pos="1152"/>
                <w:tab w:val="right" w:pos="9180"/>
              </w:tabs>
            </w:pPr>
            <w:r w:rsidRPr="00E0298C">
              <w:tab/>
            </w:r>
            <w:r w:rsidR="00B707CF">
              <w:t>(8,333</w:t>
            </w:r>
            <w:r>
              <w:t>)</w:t>
            </w:r>
          </w:p>
        </w:tc>
      </w:tr>
      <w:tr w:rsidR="00C861EA" w:rsidRPr="000D3DC5" w14:paraId="6E98E75A" w14:textId="77777777" w:rsidTr="00344B7D">
        <w:tc>
          <w:tcPr>
            <w:tcW w:w="378" w:type="dxa"/>
          </w:tcPr>
          <w:p w14:paraId="44BEF768" w14:textId="77777777" w:rsidR="00C861EA" w:rsidRPr="000D3DC5" w:rsidRDefault="00C861EA" w:rsidP="00B02073"/>
        </w:tc>
        <w:tc>
          <w:tcPr>
            <w:tcW w:w="4662" w:type="dxa"/>
            <w:gridSpan w:val="6"/>
          </w:tcPr>
          <w:p w14:paraId="6D2621ED" w14:textId="77777777" w:rsidR="00C861EA" w:rsidRDefault="00C861EA" w:rsidP="00B02073">
            <w:r>
              <w:t>Net cash provided by financing activities</w:t>
            </w:r>
          </w:p>
        </w:tc>
        <w:tc>
          <w:tcPr>
            <w:tcW w:w="1368" w:type="dxa"/>
          </w:tcPr>
          <w:p w14:paraId="6AF0766F" w14:textId="77777777" w:rsidR="00C861EA" w:rsidRPr="000D3DC5" w:rsidRDefault="00C861EA" w:rsidP="00B02073">
            <w:pPr>
              <w:tabs>
                <w:tab w:val="right" w:pos="9180"/>
              </w:tabs>
            </w:pPr>
          </w:p>
        </w:tc>
        <w:tc>
          <w:tcPr>
            <w:tcW w:w="1800" w:type="dxa"/>
            <w:tcBorders>
              <w:top w:val="single" w:sz="4" w:space="0" w:color="auto"/>
            </w:tcBorders>
          </w:tcPr>
          <w:p w14:paraId="25FC6B8C" w14:textId="07BB6F45" w:rsidR="00C861EA" w:rsidRDefault="00C861EA" w:rsidP="00B02073">
            <w:pPr>
              <w:tabs>
                <w:tab w:val="decimal" w:pos="1332"/>
                <w:tab w:val="right" w:pos="9180"/>
              </w:tabs>
            </w:pPr>
            <w:r>
              <w:tab/>
            </w:r>
            <w:r w:rsidR="00255214">
              <w:t>12,508,342</w:t>
            </w:r>
          </w:p>
        </w:tc>
        <w:tc>
          <w:tcPr>
            <w:tcW w:w="360" w:type="dxa"/>
          </w:tcPr>
          <w:p w14:paraId="5FB6B100" w14:textId="77777777" w:rsidR="00C861EA" w:rsidRPr="000D3DC5" w:rsidRDefault="00C861EA" w:rsidP="00B02073">
            <w:pPr>
              <w:pStyle w:val="ListParagraph"/>
              <w:numPr>
                <w:ilvl w:val="0"/>
                <w:numId w:val="6"/>
              </w:numPr>
              <w:tabs>
                <w:tab w:val="right" w:pos="9180"/>
              </w:tabs>
            </w:pPr>
          </w:p>
        </w:tc>
        <w:tc>
          <w:tcPr>
            <w:tcW w:w="1620" w:type="dxa"/>
            <w:tcBorders>
              <w:top w:val="single" w:sz="4" w:space="0" w:color="auto"/>
            </w:tcBorders>
          </w:tcPr>
          <w:p w14:paraId="7EB1305A" w14:textId="24795901" w:rsidR="00C861EA" w:rsidRDefault="00C861EA" w:rsidP="00B02073">
            <w:pPr>
              <w:tabs>
                <w:tab w:val="decimal" w:pos="1152"/>
                <w:tab w:val="right" w:pos="9180"/>
              </w:tabs>
            </w:pPr>
            <w:r>
              <w:tab/>
            </w:r>
            <w:r w:rsidR="00B707CF">
              <w:t>1,431,667</w:t>
            </w:r>
          </w:p>
        </w:tc>
      </w:tr>
      <w:tr w:rsidR="00C861EA" w:rsidRPr="000D3DC5" w14:paraId="6ABC2EB7" w14:textId="77777777" w:rsidTr="00344B7D">
        <w:tc>
          <w:tcPr>
            <w:tcW w:w="378" w:type="dxa"/>
          </w:tcPr>
          <w:p w14:paraId="7AF04EDE" w14:textId="77777777" w:rsidR="00C861EA" w:rsidRPr="000D3DC5" w:rsidRDefault="00C861EA" w:rsidP="00B02073"/>
        </w:tc>
        <w:tc>
          <w:tcPr>
            <w:tcW w:w="425" w:type="dxa"/>
          </w:tcPr>
          <w:p w14:paraId="700E9F7E" w14:textId="77777777" w:rsidR="00C861EA" w:rsidRPr="000D3DC5" w:rsidRDefault="00C861EA" w:rsidP="00B02073"/>
        </w:tc>
        <w:tc>
          <w:tcPr>
            <w:tcW w:w="789" w:type="dxa"/>
            <w:gridSpan w:val="3"/>
          </w:tcPr>
          <w:p w14:paraId="7C09A6EC" w14:textId="77777777" w:rsidR="00C861EA" w:rsidRPr="000D3DC5" w:rsidRDefault="00C861EA" w:rsidP="00B02073"/>
        </w:tc>
        <w:tc>
          <w:tcPr>
            <w:tcW w:w="620" w:type="dxa"/>
          </w:tcPr>
          <w:p w14:paraId="19559935" w14:textId="77777777" w:rsidR="00C861EA" w:rsidRPr="000D3DC5" w:rsidRDefault="00C861EA" w:rsidP="00B02073"/>
        </w:tc>
        <w:tc>
          <w:tcPr>
            <w:tcW w:w="2828" w:type="dxa"/>
          </w:tcPr>
          <w:p w14:paraId="03E34845" w14:textId="77777777" w:rsidR="00C861EA" w:rsidRPr="000D3DC5" w:rsidRDefault="00C861EA" w:rsidP="00B02073"/>
        </w:tc>
        <w:tc>
          <w:tcPr>
            <w:tcW w:w="1368" w:type="dxa"/>
          </w:tcPr>
          <w:p w14:paraId="41583384" w14:textId="77777777" w:rsidR="00C861EA" w:rsidRPr="000D3DC5" w:rsidRDefault="00C861EA" w:rsidP="00B02073">
            <w:pPr>
              <w:tabs>
                <w:tab w:val="right" w:pos="9180"/>
              </w:tabs>
            </w:pPr>
          </w:p>
        </w:tc>
        <w:tc>
          <w:tcPr>
            <w:tcW w:w="1800" w:type="dxa"/>
            <w:tcBorders>
              <w:top w:val="single" w:sz="4" w:space="0" w:color="auto"/>
            </w:tcBorders>
          </w:tcPr>
          <w:p w14:paraId="6FBD2E7C" w14:textId="77777777" w:rsidR="00C861EA" w:rsidRPr="000D3DC5" w:rsidRDefault="00C861EA" w:rsidP="00B02073">
            <w:pPr>
              <w:tabs>
                <w:tab w:val="decimal" w:pos="1332"/>
                <w:tab w:val="right" w:pos="9180"/>
              </w:tabs>
            </w:pPr>
          </w:p>
        </w:tc>
        <w:tc>
          <w:tcPr>
            <w:tcW w:w="360" w:type="dxa"/>
          </w:tcPr>
          <w:p w14:paraId="47AD3B97" w14:textId="77777777" w:rsidR="00C861EA" w:rsidRPr="000D3DC5" w:rsidRDefault="00C861EA" w:rsidP="00B02073">
            <w:pPr>
              <w:tabs>
                <w:tab w:val="right" w:pos="9180"/>
              </w:tabs>
            </w:pPr>
          </w:p>
        </w:tc>
        <w:tc>
          <w:tcPr>
            <w:tcW w:w="1620" w:type="dxa"/>
            <w:tcBorders>
              <w:top w:val="single" w:sz="4" w:space="0" w:color="auto"/>
            </w:tcBorders>
          </w:tcPr>
          <w:p w14:paraId="5BD3E319" w14:textId="77777777" w:rsidR="00C861EA" w:rsidRPr="000D3DC5" w:rsidRDefault="00C861EA" w:rsidP="00B02073">
            <w:pPr>
              <w:tabs>
                <w:tab w:val="decimal" w:pos="1044"/>
                <w:tab w:val="right" w:pos="9180"/>
              </w:tabs>
            </w:pPr>
          </w:p>
        </w:tc>
      </w:tr>
      <w:tr w:rsidR="00C861EA" w:rsidRPr="000D3DC5" w14:paraId="43BD6D09" w14:textId="77777777" w:rsidTr="00B02073">
        <w:tc>
          <w:tcPr>
            <w:tcW w:w="6408" w:type="dxa"/>
            <w:gridSpan w:val="8"/>
          </w:tcPr>
          <w:p w14:paraId="50590D41" w14:textId="74FB0771" w:rsidR="00C861EA" w:rsidRPr="000D3DC5" w:rsidRDefault="00C861EA" w:rsidP="00B02073">
            <w:pPr>
              <w:tabs>
                <w:tab w:val="right" w:pos="9180"/>
              </w:tabs>
            </w:pPr>
            <w:r w:rsidRPr="000D3DC5">
              <w:t xml:space="preserve">Net </w:t>
            </w:r>
            <w:r w:rsidR="00747A8C">
              <w:t>increase</w:t>
            </w:r>
            <w:r w:rsidRPr="000D3DC5">
              <w:t xml:space="preserve"> in cash and cash equivalents</w:t>
            </w:r>
          </w:p>
        </w:tc>
        <w:tc>
          <w:tcPr>
            <w:tcW w:w="1800" w:type="dxa"/>
          </w:tcPr>
          <w:p w14:paraId="035E4A3D" w14:textId="2515185A" w:rsidR="00C861EA" w:rsidRPr="000D3DC5" w:rsidRDefault="00C861EA" w:rsidP="00B02073">
            <w:pPr>
              <w:tabs>
                <w:tab w:val="decimal" w:pos="1332"/>
                <w:tab w:val="right" w:pos="9180"/>
              </w:tabs>
            </w:pPr>
            <w:r>
              <w:tab/>
            </w:r>
            <w:r w:rsidR="00255214">
              <w:t>11,297,253</w:t>
            </w:r>
          </w:p>
        </w:tc>
        <w:tc>
          <w:tcPr>
            <w:tcW w:w="360" w:type="dxa"/>
          </w:tcPr>
          <w:p w14:paraId="5352AE8C" w14:textId="77777777" w:rsidR="00C861EA" w:rsidRPr="000D3DC5" w:rsidRDefault="00C861EA" w:rsidP="00B02073">
            <w:pPr>
              <w:tabs>
                <w:tab w:val="right" w:pos="9180"/>
              </w:tabs>
            </w:pPr>
          </w:p>
        </w:tc>
        <w:tc>
          <w:tcPr>
            <w:tcW w:w="1620" w:type="dxa"/>
          </w:tcPr>
          <w:p w14:paraId="25FF0707" w14:textId="1746A596" w:rsidR="00C861EA" w:rsidRPr="000D3DC5" w:rsidRDefault="00C861EA" w:rsidP="00B02073">
            <w:pPr>
              <w:tabs>
                <w:tab w:val="decimal" w:pos="1152"/>
                <w:tab w:val="right" w:pos="9180"/>
              </w:tabs>
            </w:pPr>
            <w:r>
              <w:tab/>
            </w:r>
            <w:r w:rsidR="00B707CF">
              <w:t>309,658</w:t>
            </w:r>
          </w:p>
        </w:tc>
      </w:tr>
      <w:tr w:rsidR="00C861EA" w:rsidRPr="000D3DC5" w14:paraId="3E72BC3C" w14:textId="77777777" w:rsidTr="00B02073">
        <w:tc>
          <w:tcPr>
            <w:tcW w:w="6408" w:type="dxa"/>
            <w:gridSpan w:val="8"/>
          </w:tcPr>
          <w:p w14:paraId="550CD5C6" w14:textId="77777777" w:rsidR="00C861EA" w:rsidRPr="000D3DC5" w:rsidRDefault="00C861EA" w:rsidP="00B02073">
            <w:pPr>
              <w:tabs>
                <w:tab w:val="right" w:pos="9180"/>
              </w:tabs>
            </w:pPr>
            <w:r w:rsidRPr="000D3DC5">
              <w:t>Cash and cash equivalents at beginning of period</w:t>
            </w:r>
          </w:p>
        </w:tc>
        <w:tc>
          <w:tcPr>
            <w:tcW w:w="1800" w:type="dxa"/>
            <w:tcBorders>
              <w:bottom w:val="single" w:sz="4" w:space="0" w:color="auto"/>
            </w:tcBorders>
          </w:tcPr>
          <w:p w14:paraId="6871EF29" w14:textId="34FF1E29" w:rsidR="00C861EA" w:rsidRPr="000D3DC5" w:rsidRDefault="00C861EA" w:rsidP="00B02073">
            <w:pPr>
              <w:tabs>
                <w:tab w:val="decimal" w:pos="1332"/>
                <w:tab w:val="right" w:pos="9180"/>
              </w:tabs>
            </w:pPr>
            <w:r>
              <w:tab/>
            </w:r>
            <w:r w:rsidR="00255214">
              <w:t>283,341</w:t>
            </w:r>
          </w:p>
        </w:tc>
        <w:tc>
          <w:tcPr>
            <w:tcW w:w="360" w:type="dxa"/>
          </w:tcPr>
          <w:p w14:paraId="75F0D6C0" w14:textId="77777777" w:rsidR="00C861EA" w:rsidRPr="000D3DC5" w:rsidRDefault="00C861EA" w:rsidP="00B02073">
            <w:pPr>
              <w:tabs>
                <w:tab w:val="right" w:pos="9180"/>
              </w:tabs>
            </w:pPr>
          </w:p>
        </w:tc>
        <w:tc>
          <w:tcPr>
            <w:tcW w:w="1620" w:type="dxa"/>
            <w:tcBorders>
              <w:bottom w:val="single" w:sz="4" w:space="0" w:color="auto"/>
            </w:tcBorders>
          </w:tcPr>
          <w:p w14:paraId="336B824E" w14:textId="51927917" w:rsidR="00C861EA" w:rsidRPr="000D3DC5" w:rsidRDefault="00C861EA" w:rsidP="00B02073">
            <w:pPr>
              <w:tabs>
                <w:tab w:val="decimal" w:pos="1152"/>
                <w:tab w:val="right" w:pos="9180"/>
              </w:tabs>
            </w:pPr>
            <w:r>
              <w:tab/>
              <w:t>259,701</w:t>
            </w:r>
          </w:p>
        </w:tc>
      </w:tr>
      <w:tr w:rsidR="00C861EA" w:rsidRPr="000D3DC5" w14:paraId="54619DA4" w14:textId="77777777" w:rsidTr="00344B7D">
        <w:tc>
          <w:tcPr>
            <w:tcW w:w="378" w:type="dxa"/>
          </w:tcPr>
          <w:p w14:paraId="52AC11BA" w14:textId="77777777" w:rsidR="00C861EA" w:rsidRPr="000D3DC5" w:rsidRDefault="00C861EA" w:rsidP="00B02073"/>
        </w:tc>
        <w:tc>
          <w:tcPr>
            <w:tcW w:w="620" w:type="dxa"/>
            <w:gridSpan w:val="2"/>
          </w:tcPr>
          <w:p w14:paraId="2E30F4CC" w14:textId="77777777" w:rsidR="00C861EA" w:rsidRPr="000D3DC5" w:rsidRDefault="00C861EA" w:rsidP="00B02073"/>
        </w:tc>
        <w:tc>
          <w:tcPr>
            <w:tcW w:w="594" w:type="dxa"/>
            <w:gridSpan w:val="2"/>
          </w:tcPr>
          <w:p w14:paraId="272C02FD" w14:textId="77777777" w:rsidR="00C861EA" w:rsidRPr="000D3DC5" w:rsidRDefault="00C861EA" w:rsidP="00B02073"/>
        </w:tc>
        <w:tc>
          <w:tcPr>
            <w:tcW w:w="620" w:type="dxa"/>
          </w:tcPr>
          <w:p w14:paraId="5E7B6552" w14:textId="77777777" w:rsidR="00C861EA" w:rsidRPr="000D3DC5" w:rsidRDefault="00C861EA" w:rsidP="00B02073"/>
        </w:tc>
        <w:tc>
          <w:tcPr>
            <w:tcW w:w="2828" w:type="dxa"/>
          </w:tcPr>
          <w:p w14:paraId="3EEAEA95" w14:textId="77777777" w:rsidR="00C861EA" w:rsidRPr="000D3DC5" w:rsidRDefault="00C861EA" w:rsidP="00B02073"/>
        </w:tc>
        <w:tc>
          <w:tcPr>
            <w:tcW w:w="1368" w:type="dxa"/>
          </w:tcPr>
          <w:p w14:paraId="55363044" w14:textId="77777777" w:rsidR="00C861EA" w:rsidRPr="000D3DC5" w:rsidRDefault="00C861EA" w:rsidP="00B02073">
            <w:pPr>
              <w:tabs>
                <w:tab w:val="right" w:pos="9180"/>
              </w:tabs>
            </w:pPr>
          </w:p>
        </w:tc>
        <w:tc>
          <w:tcPr>
            <w:tcW w:w="1800" w:type="dxa"/>
            <w:tcBorders>
              <w:top w:val="single" w:sz="4" w:space="0" w:color="auto"/>
            </w:tcBorders>
          </w:tcPr>
          <w:p w14:paraId="1AE68E40" w14:textId="77777777" w:rsidR="00C861EA" w:rsidRPr="000D3DC5" w:rsidRDefault="00C861EA" w:rsidP="00B02073">
            <w:pPr>
              <w:tabs>
                <w:tab w:val="decimal" w:pos="1044"/>
                <w:tab w:val="right" w:pos="9180"/>
              </w:tabs>
            </w:pPr>
          </w:p>
        </w:tc>
        <w:tc>
          <w:tcPr>
            <w:tcW w:w="360" w:type="dxa"/>
          </w:tcPr>
          <w:p w14:paraId="19EBF628" w14:textId="77777777" w:rsidR="00C861EA" w:rsidRPr="000D3DC5" w:rsidRDefault="00C861EA" w:rsidP="00B02073">
            <w:pPr>
              <w:tabs>
                <w:tab w:val="right" w:pos="9180"/>
              </w:tabs>
            </w:pPr>
          </w:p>
        </w:tc>
        <w:tc>
          <w:tcPr>
            <w:tcW w:w="1620" w:type="dxa"/>
            <w:tcBorders>
              <w:top w:val="single" w:sz="4" w:space="0" w:color="auto"/>
            </w:tcBorders>
          </w:tcPr>
          <w:p w14:paraId="0C4F2C42" w14:textId="77777777" w:rsidR="00C861EA" w:rsidRPr="000D3DC5" w:rsidRDefault="00C861EA" w:rsidP="00B02073">
            <w:pPr>
              <w:tabs>
                <w:tab w:val="decimal" w:pos="1044"/>
                <w:tab w:val="right" w:pos="9180"/>
              </w:tabs>
            </w:pPr>
          </w:p>
        </w:tc>
      </w:tr>
      <w:tr w:rsidR="00C861EA" w:rsidRPr="000D3DC5" w14:paraId="472632BF" w14:textId="77777777" w:rsidTr="00B02073">
        <w:tc>
          <w:tcPr>
            <w:tcW w:w="6408" w:type="dxa"/>
            <w:gridSpan w:val="8"/>
          </w:tcPr>
          <w:p w14:paraId="3FE98939" w14:textId="77777777" w:rsidR="00C861EA" w:rsidRPr="000D3DC5" w:rsidRDefault="00C861EA" w:rsidP="00B02073">
            <w:pPr>
              <w:tabs>
                <w:tab w:val="right" w:pos="9180"/>
              </w:tabs>
            </w:pPr>
            <w:r w:rsidRPr="000D3DC5">
              <w:t>Cash and cash equivalents at end of period</w:t>
            </w:r>
          </w:p>
        </w:tc>
        <w:tc>
          <w:tcPr>
            <w:tcW w:w="1800" w:type="dxa"/>
            <w:tcBorders>
              <w:bottom w:val="double" w:sz="4" w:space="0" w:color="auto"/>
            </w:tcBorders>
          </w:tcPr>
          <w:p w14:paraId="7D423814" w14:textId="52CB4729" w:rsidR="00C861EA" w:rsidRPr="000D3DC5" w:rsidRDefault="00C861EA" w:rsidP="00B02073">
            <w:pPr>
              <w:tabs>
                <w:tab w:val="decimal" w:pos="1332"/>
                <w:tab w:val="right" w:pos="9180"/>
              </w:tabs>
            </w:pPr>
            <w:r>
              <w:t>$</w:t>
            </w:r>
            <w:r>
              <w:tab/>
            </w:r>
            <w:r w:rsidR="00255214">
              <w:t>11,580,594</w:t>
            </w:r>
          </w:p>
        </w:tc>
        <w:tc>
          <w:tcPr>
            <w:tcW w:w="360" w:type="dxa"/>
          </w:tcPr>
          <w:p w14:paraId="706E5870" w14:textId="77777777" w:rsidR="00C861EA" w:rsidRPr="000D3DC5" w:rsidRDefault="00C861EA" w:rsidP="00B02073">
            <w:pPr>
              <w:tabs>
                <w:tab w:val="right" w:pos="9180"/>
              </w:tabs>
            </w:pPr>
          </w:p>
        </w:tc>
        <w:tc>
          <w:tcPr>
            <w:tcW w:w="1620" w:type="dxa"/>
            <w:tcBorders>
              <w:bottom w:val="double" w:sz="4" w:space="0" w:color="auto"/>
            </w:tcBorders>
          </w:tcPr>
          <w:p w14:paraId="5443C695" w14:textId="4178FBFF" w:rsidR="00C861EA" w:rsidRPr="000D3DC5" w:rsidRDefault="00C861EA" w:rsidP="00B02073">
            <w:pPr>
              <w:tabs>
                <w:tab w:val="decimal" w:pos="1152"/>
                <w:tab w:val="right" w:pos="9180"/>
              </w:tabs>
            </w:pPr>
            <w:r>
              <w:t>$</w:t>
            </w:r>
            <w:r>
              <w:tab/>
            </w:r>
            <w:r w:rsidR="00B707CF">
              <w:t>569,359</w:t>
            </w:r>
          </w:p>
        </w:tc>
      </w:tr>
      <w:tr w:rsidR="00C861EA" w:rsidRPr="000D3DC5" w14:paraId="280ADD6D" w14:textId="77777777" w:rsidTr="00344B7D">
        <w:tc>
          <w:tcPr>
            <w:tcW w:w="378" w:type="dxa"/>
          </w:tcPr>
          <w:p w14:paraId="1F75A374" w14:textId="77777777" w:rsidR="00C861EA" w:rsidRPr="000D3DC5" w:rsidRDefault="00C861EA" w:rsidP="00B02073"/>
        </w:tc>
        <w:tc>
          <w:tcPr>
            <w:tcW w:w="620" w:type="dxa"/>
            <w:gridSpan w:val="2"/>
          </w:tcPr>
          <w:p w14:paraId="7F0C595A" w14:textId="77777777" w:rsidR="00C861EA" w:rsidRPr="000D3DC5" w:rsidRDefault="00C861EA" w:rsidP="00B02073"/>
        </w:tc>
        <w:tc>
          <w:tcPr>
            <w:tcW w:w="594" w:type="dxa"/>
            <w:gridSpan w:val="2"/>
          </w:tcPr>
          <w:p w14:paraId="17CCC516" w14:textId="77777777" w:rsidR="00C861EA" w:rsidRPr="000D3DC5" w:rsidRDefault="00C861EA" w:rsidP="00B02073"/>
        </w:tc>
        <w:tc>
          <w:tcPr>
            <w:tcW w:w="620" w:type="dxa"/>
          </w:tcPr>
          <w:p w14:paraId="25B1AC58" w14:textId="77777777" w:rsidR="00C861EA" w:rsidRPr="000D3DC5" w:rsidRDefault="00C861EA" w:rsidP="00B02073"/>
        </w:tc>
        <w:tc>
          <w:tcPr>
            <w:tcW w:w="2828" w:type="dxa"/>
          </w:tcPr>
          <w:p w14:paraId="2C2D6D28" w14:textId="77777777" w:rsidR="00C861EA" w:rsidRPr="000D3DC5" w:rsidRDefault="00C861EA" w:rsidP="00B02073"/>
        </w:tc>
        <w:tc>
          <w:tcPr>
            <w:tcW w:w="1368" w:type="dxa"/>
          </w:tcPr>
          <w:p w14:paraId="65C1726B" w14:textId="77777777" w:rsidR="00C861EA" w:rsidRPr="000D3DC5" w:rsidRDefault="00C861EA" w:rsidP="00B02073">
            <w:pPr>
              <w:tabs>
                <w:tab w:val="right" w:pos="9180"/>
              </w:tabs>
            </w:pPr>
          </w:p>
        </w:tc>
        <w:tc>
          <w:tcPr>
            <w:tcW w:w="1800" w:type="dxa"/>
          </w:tcPr>
          <w:p w14:paraId="494F595F" w14:textId="77777777" w:rsidR="00C861EA" w:rsidRPr="000D3DC5" w:rsidRDefault="00C861EA" w:rsidP="00B02073">
            <w:pPr>
              <w:tabs>
                <w:tab w:val="decimal" w:pos="1044"/>
                <w:tab w:val="right" w:pos="9180"/>
              </w:tabs>
            </w:pPr>
          </w:p>
        </w:tc>
        <w:tc>
          <w:tcPr>
            <w:tcW w:w="360" w:type="dxa"/>
          </w:tcPr>
          <w:p w14:paraId="04247DF0" w14:textId="77777777" w:rsidR="00C861EA" w:rsidRPr="000D3DC5" w:rsidRDefault="00C861EA" w:rsidP="00B02073">
            <w:pPr>
              <w:tabs>
                <w:tab w:val="right" w:pos="9180"/>
              </w:tabs>
            </w:pPr>
          </w:p>
        </w:tc>
        <w:tc>
          <w:tcPr>
            <w:tcW w:w="1620" w:type="dxa"/>
          </w:tcPr>
          <w:p w14:paraId="07000D4C" w14:textId="77777777" w:rsidR="00C861EA" w:rsidRPr="000D3DC5" w:rsidRDefault="00C861EA" w:rsidP="00B02073">
            <w:pPr>
              <w:tabs>
                <w:tab w:val="right" w:pos="9180"/>
              </w:tabs>
            </w:pPr>
          </w:p>
        </w:tc>
      </w:tr>
    </w:tbl>
    <w:p w14:paraId="272DFA96" w14:textId="77777777" w:rsidR="00C861EA" w:rsidRDefault="00C861EA" w:rsidP="00DF2BA6"/>
    <w:p w14:paraId="6CEADA5F" w14:textId="00891D1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14628664" w14:textId="33593EB2" w:rsidR="00223CA5" w:rsidRDefault="00587925" w:rsidP="00223CA5">
      <w:r>
        <w:t xml:space="preserve">During the </w:t>
      </w:r>
      <w:r w:rsidR="00B707CF">
        <w:t>nine</w:t>
      </w:r>
      <w:r>
        <w:t xml:space="preserve"> months ended </w:t>
      </w:r>
      <w:r w:rsidR="00B707CF">
        <w:t>September</w:t>
      </w:r>
      <w:r>
        <w:t xml:space="preserve"> 3</w:t>
      </w:r>
      <w:r w:rsidR="00C861EA">
        <w:t>0</w:t>
      </w:r>
      <w:r>
        <w:t>, 2020</w:t>
      </w:r>
      <w:bookmarkStart w:id="14" w:name="_Hlk36563170"/>
      <w:r w:rsidR="00980FE7">
        <w:t>:</w:t>
      </w:r>
    </w:p>
    <w:p w14:paraId="7A2E4828" w14:textId="6CA999A4" w:rsidR="00223CA5" w:rsidRDefault="00223CA5" w:rsidP="00980FE7">
      <w:pPr>
        <w:pStyle w:val="ListParagraph"/>
        <w:numPr>
          <w:ilvl w:val="0"/>
          <w:numId w:val="14"/>
        </w:numPr>
        <w:ind w:left="540"/>
      </w:pPr>
      <w:r>
        <w:t>716,79</w:t>
      </w:r>
      <w:r w:rsidR="00851459">
        <w:t>0</w:t>
      </w:r>
      <w:r>
        <w:t xml:space="preserve"> shares of our common stock were issued upon conversion of convertible preferred stock</w:t>
      </w:r>
    </w:p>
    <w:bookmarkEnd w:id="14"/>
    <w:p w14:paraId="2E096B6F" w14:textId="6A5C3F2B" w:rsidR="00223CA5" w:rsidRDefault="00C76654" w:rsidP="00980FE7">
      <w:pPr>
        <w:pStyle w:val="ListParagraph"/>
        <w:numPr>
          <w:ilvl w:val="0"/>
          <w:numId w:val="14"/>
        </w:numPr>
        <w:ind w:left="540"/>
      </w:pPr>
      <w:r>
        <w:t>36,902 shares of common stock were issued for a cashless exercise of stock purchase warrants</w:t>
      </w:r>
    </w:p>
    <w:p w14:paraId="4033F2DB" w14:textId="4AE5BB1E" w:rsidR="00223CA5" w:rsidRDefault="00C76654" w:rsidP="00980FE7">
      <w:pPr>
        <w:pStyle w:val="ListParagraph"/>
        <w:numPr>
          <w:ilvl w:val="0"/>
          <w:numId w:val="14"/>
        </w:numPr>
        <w:ind w:left="540"/>
      </w:pPr>
      <w:r>
        <w:t xml:space="preserve">300,001 </w:t>
      </w:r>
      <w:r w:rsidR="00223CA5">
        <w:t>shares</w:t>
      </w:r>
      <w:r w:rsidR="00C93149">
        <w:t xml:space="preserve"> of common stock and </w:t>
      </w:r>
      <w:r w:rsidR="00B934E9">
        <w:t xml:space="preserve">300,001 </w:t>
      </w:r>
      <w:r w:rsidR="00223CA5">
        <w:t>Unit W</w:t>
      </w:r>
      <w:r w:rsidR="00C93149">
        <w:t>arrants</w:t>
      </w:r>
      <w:r>
        <w:t xml:space="preserve"> were issued in exchange for cancellation of $1,500,000 </w:t>
      </w:r>
      <w:r w:rsidR="00C93149">
        <w:t>owed to current and former employees and directors</w:t>
      </w:r>
    </w:p>
    <w:p w14:paraId="010DB6EC" w14:textId="33DFE4C2" w:rsidR="00587925" w:rsidRDefault="00C93149" w:rsidP="00980FE7">
      <w:pPr>
        <w:pStyle w:val="ListParagraph"/>
        <w:numPr>
          <w:ilvl w:val="0"/>
          <w:numId w:val="14"/>
        </w:numPr>
        <w:ind w:left="540"/>
      </w:pPr>
      <w:r>
        <w:t xml:space="preserve">177,626 </w:t>
      </w:r>
      <w:r w:rsidR="00980FE7">
        <w:t>shares</w:t>
      </w:r>
      <w:r>
        <w:t xml:space="preserve"> of common stock</w:t>
      </w:r>
      <w:r w:rsidR="00980FE7">
        <w:t>, 126,042 Pre-Funded Warrants</w:t>
      </w:r>
      <w:r>
        <w:t xml:space="preserve"> and </w:t>
      </w:r>
      <w:r w:rsidR="00980FE7">
        <w:t>303,668 Unit W</w:t>
      </w:r>
      <w:r>
        <w:t>arrants were issued upon conversion of $1,200,000 convertible debentures and $</w:t>
      </w:r>
      <w:r w:rsidR="00980FE7">
        <w:t>14,667</w:t>
      </w:r>
      <w:r>
        <w:t xml:space="preserve"> of related accrued interest</w:t>
      </w:r>
    </w:p>
    <w:p w14:paraId="496A61CB" w14:textId="77777777" w:rsidR="00980FE7" w:rsidRDefault="00B707CF" w:rsidP="00980FE7">
      <w:r>
        <w:t>During the nine months ended September 30, 2019</w:t>
      </w:r>
      <w:r w:rsidR="00980FE7">
        <w:t>:</w:t>
      </w:r>
    </w:p>
    <w:p w14:paraId="763C03A2" w14:textId="1AF686F3" w:rsidR="00980FE7" w:rsidRDefault="00980FE7" w:rsidP="00980FE7">
      <w:pPr>
        <w:pStyle w:val="ListParagraph"/>
        <w:numPr>
          <w:ilvl w:val="0"/>
          <w:numId w:val="15"/>
        </w:numPr>
        <w:ind w:left="540"/>
      </w:pPr>
      <w:r>
        <w:t>2,378 shares of our common stock were issued upon conversion of convertible preferred stock</w:t>
      </w:r>
    </w:p>
    <w:p w14:paraId="3B8363E8" w14:textId="77777777" w:rsidR="00980FE7" w:rsidRDefault="00B707CF" w:rsidP="00980FE7">
      <w:pPr>
        <w:pStyle w:val="ListParagraph"/>
        <w:numPr>
          <w:ilvl w:val="0"/>
          <w:numId w:val="15"/>
        </w:numPr>
        <w:ind w:left="540"/>
      </w:pPr>
      <w:r>
        <w:t>250 shares of Series G Convertible Preferred Stock were issued in exchange for cancellation of $250,000 of term notes payable</w:t>
      </w:r>
    </w:p>
    <w:p w14:paraId="33BC2E10" w14:textId="3DD3242B" w:rsidR="006E7D01" w:rsidRDefault="006E7D01" w:rsidP="00277F5A"/>
    <w:p w14:paraId="681F6C58" w14:textId="188C6D4C" w:rsidR="00980FE7" w:rsidRDefault="00980FE7" w:rsidP="00277F5A"/>
    <w:p w14:paraId="5E49C3B7" w14:textId="4EE62BC8" w:rsidR="00980FE7" w:rsidRDefault="00980FE7" w:rsidP="00277F5A"/>
    <w:p w14:paraId="6F2A6B80" w14:textId="496AF128" w:rsidR="00980FE7" w:rsidRDefault="00980FE7" w:rsidP="00277F5A"/>
    <w:p w14:paraId="56C7FDC7" w14:textId="77777777" w:rsidR="00980FE7" w:rsidRDefault="00980FE7" w:rsidP="00277F5A"/>
    <w:p w14:paraId="16D01D07" w14:textId="75FED061" w:rsidR="00DF2BA6" w:rsidRDefault="006E7D01" w:rsidP="00C93149">
      <w:pPr>
        <w:ind w:right="630"/>
        <w:jc w:val="center"/>
      </w:pPr>
      <w:r>
        <w:t>See accompanying notes to condensed consolidated financial statements.</w:t>
      </w:r>
    </w:p>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76F18513" w:rsidR="00277F5A" w:rsidRDefault="006977D7" w:rsidP="00277F5A">
      <w:pPr>
        <w:jc w:val="center"/>
        <w:rPr>
          <w:b/>
        </w:rPr>
      </w:pPr>
      <w:r>
        <w:rPr>
          <w:b/>
        </w:rPr>
        <w:t>September</w:t>
      </w:r>
      <w:r w:rsidR="00F415DC">
        <w:rPr>
          <w:b/>
        </w:rPr>
        <w:t xml:space="preserve"> 3</w:t>
      </w:r>
      <w:r w:rsidR="00C861EA">
        <w:rPr>
          <w:b/>
        </w:rPr>
        <w:t>0</w:t>
      </w:r>
      <w:r w:rsidR="00277F5A" w:rsidRPr="001C6303">
        <w:rPr>
          <w:b/>
        </w:rPr>
        <w:t>, 20</w:t>
      </w:r>
      <w:r w:rsidR="00CE1FF4">
        <w:rPr>
          <w:b/>
        </w:rPr>
        <w:t>20</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3850FA2E"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601A9027" w14:textId="77777777" w:rsidR="006977D7" w:rsidRDefault="006977D7" w:rsidP="000A55AE"/>
    <w:p w14:paraId="002AFA3C" w14:textId="101F0BE9" w:rsidR="00E576BB" w:rsidRPr="00E576BB" w:rsidRDefault="00E576BB" w:rsidP="00E576BB">
      <w:bookmarkStart w:id="15" w:name="_Hlk53502872"/>
      <w:r w:rsidRPr="00E576BB">
        <w:t xml:space="preserve">GeoVax Labs, Inc. (“GeoVax” or the “Company”), is a clinical-stage biotechnology company developing </w:t>
      </w:r>
      <w:r w:rsidR="002A5063">
        <w:t xml:space="preserve">immunotherapies and </w:t>
      </w:r>
      <w:r w:rsidRPr="00E576BB">
        <w:t xml:space="preserve">vaccines against infectious diseases and cancers using a novel </w:t>
      </w:r>
      <w:r w:rsidR="002A5063">
        <w:t>vector vaccine platform</w:t>
      </w:r>
      <w:r w:rsidRPr="00E576BB">
        <w:t xml:space="preserve"> </w:t>
      </w:r>
      <w:r w:rsidR="002A5063">
        <w:t>(</w:t>
      </w:r>
      <w:r w:rsidRPr="00E576BB">
        <w:t>Modified Vaccinia Ankara</w:t>
      </w:r>
      <w:r w:rsidR="002D1A5A">
        <w:t xml:space="preserve"> (MVA)</w:t>
      </w:r>
      <w:r w:rsidRPr="00E576BB">
        <w:t xml:space="preserve"> Virus-Like Particle</w:t>
      </w:r>
      <w:r w:rsidR="002A5063">
        <w:t>, or “</w:t>
      </w:r>
      <w:r w:rsidR="002D1A5A">
        <w:t>GV-MVA-VLP</w:t>
      </w:r>
      <w:r w:rsidR="002D1A5A" w:rsidRPr="002D1A5A">
        <w:rPr>
          <w:vertAlign w:val="superscript"/>
        </w:rPr>
        <w:t>TM</w:t>
      </w:r>
      <w:r w:rsidR="002A5063">
        <w:t>”)</w:t>
      </w:r>
      <w:r w:rsidRPr="00E576BB">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w:t>
      </w:r>
      <w:r w:rsidR="00A76F92">
        <w:t xml:space="preserve">can </w:t>
      </w:r>
      <w:r w:rsidRPr="00E576BB">
        <w:t>elicit durable immune responses in the host similar to a live attenuated virus, while providing the safety characteristics of a replication-defective vector.</w:t>
      </w:r>
    </w:p>
    <w:p w14:paraId="0BCE7DE2" w14:textId="77777777" w:rsidR="00E576BB" w:rsidRPr="00E576BB" w:rsidRDefault="00E576BB" w:rsidP="00E576BB"/>
    <w:p w14:paraId="0BBFEF6B" w14:textId="12556E98" w:rsidR="00E576BB" w:rsidRPr="00E576BB" w:rsidRDefault="00E576BB" w:rsidP="00E576BB">
      <w:r w:rsidRPr="00E576BB">
        <w:t>Our current development programs are focused on preventive</w:t>
      </w:r>
      <w:r w:rsidR="002A5063">
        <w:t xml:space="preserve"> </w:t>
      </w:r>
      <w:r w:rsidRPr="00E576BB">
        <w:t>vaccines against</w:t>
      </w:r>
      <w:r w:rsidR="002D1A5A">
        <w:t xml:space="preserve"> novel</w:t>
      </w:r>
      <w:r w:rsidRPr="00E576BB">
        <w:t xml:space="preserve"> coronavirus (COVID-19), Human Immunodeficiency Virus (HIV), Zika Virus, hemorrhagic fever viruses (Ebola, Sudan, Marburg, Lassa), and malaria, as well as </w:t>
      </w:r>
      <w:r w:rsidR="002A5063">
        <w:t>immunotherapies</w:t>
      </w:r>
      <w:r w:rsidRPr="00E576BB">
        <w:t xml:space="preserve"> for </w:t>
      </w:r>
      <w:r w:rsidR="002A5063">
        <w:t>HIV</w:t>
      </w:r>
      <w:r w:rsidRPr="00E576BB">
        <w:t xml:space="preserve"> and </w:t>
      </w:r>
      <w:r w:rsidR="002A5063">
        <w:t xml:space="preserve">solid tumor </w:t>
      </w:r>
      <w:r w:rsidRPr="00E576BB">
        <w:t xml:space="preserve">cancers. </w:t>
      </w:r>
    </w:p>
    <w:p w14:paraId="0040C269" w14:textId="77777777" w:rsidR="002A5063" w:rsidRPr="0025217A" w:rsidRDefault="002A5063" w:rsidP="002D1A5A"/>
    <w:p w14:paraId="7968E41A" w14:textId="544DB6EC" w:rsidR="002A5063" w:rsidRPr="002A5063" w:rsidRDefault="002A5063" w:rsidP="002A5063">
      <w:r w:rsidRPr="002A5063">
        <w:t>Our corporate strategy is to advance, protect and exploit our differentiated vaccine</w:t>
      </w:r>
      <w:r>
        <w:t xml:space="preserve"> </w:t>
      </w:r>
      <w:r w:rsidRPr="002A5063">
        <w:t>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15"/>
    <w:p w14:paraId="4623B624" w14:textId="77777777" w:rsidR="002A5063" w:rsidRPr="00E576BB" w:rsidRDefault="002A5063" w:rsidP="00E576BB"/>
    <w:p w14:paraId="3F970C96" w14:textId="4CF3BE0B" w:rsidR="00E576BB" w:rsidRPr="00E576BB" w:rsidRDefault="00E576BB" w:rsidP="00E576BB">
      <w:r w:rsidRPr="00E576BB">
        <w:t xml:space="preserve">Certain of our vaccine development activities have been, and continue to be, financially supported by the U.S. </w:t>
      </w:r>
      <w:r w:rsidR="008219AB">
        <w:t>G</w:t>
      </w:r>
      <w:r w:rsidRPr="00E576BB">
        <w:t>overnment. This support has been both in the form of research grants and contracts awarded directly to us, as well as indirect support for the conduct of preclinical animal studies and human clinical trials.</w:t>
      </w:r>
    </w:p>
    <w:p w14:paraId="20CAA7DE" w14:textId="77777777" w:rsidR="00E576BB" w:rsidRPr="00E576BB" w:rsidRDefault="00E576BB" w:rsidP="00E576BB"/>
    <w:p w14:paraId="1996AD2B" w14:textId="77777777" w:rsidR="00E576BB" w:rsidRPr="00E576BB" w:rsidRDefault="00E576BB" w:rsidP="00E576BB">
      <w:pPr>
        <w:autoSpaceDE w:val="0"/>
        <w:autoSpaceDN w:val="0"/>
        <w:adjustRightInd w:val="0"/>
      </w:pPr>
      <w:r w:rsidRPr="00E576BB">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7883BA35" w14:textId="77777777" w:rsidR="000A55AE" w:rsidRPr="000A55AE" w:rsidRDefault="000A55AE" w:rsidP="000A55AE">
      <w:pPr>
        <w:autoSpaceDE w:val="0"/>
        <w:autoSpaceDN w:val="0"/>
        <w:adjustRightInd w:val="0"/>
      </w:pPr>
    </w:p>
    <w:p w14:paraId="708B6914" w14:textId="42643746" w:rsidR="000A55AE" w:rsidRDefault="000A55AE" w:rsidP="000A55AE">
      <w:r w:rsidRPr="000A55AE">
        <w:t>GeoVax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082ED2DC"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6977D7">
        <w:t>September</w:t>
      </w:r>
      <w:r w:rsidR="00F415DC">
        <w:t xml:space="preserve"> 3</w:t>
      </w:r>
      <w:r w:rsidR="00C861EA">
        <w:t>0</w:t>
      </w:r>
      <w:r w:rsidRPr="001C6303">
        <w:t>,</w:t>
      </w:r>
      <w:r w:rsidR="00F415DC">
        <w:t xml:space="preserve"> 20</w:t>
      </w:r>
      <w:r w:rsidR="00E576BB">
        <w:t>20</w:t>
      </w:r>
      <w:r w:rsidRPr="001C6303">
        <w:t xml:space="preserve"> and for the three</w:t>
      </w:r>
      <w:r w:rsidR="00CC2136">
        <w:t>-</w:t>
      </w:r>
      <w:r>
        <w:t xml:space="preserve">month </w:t>
      </w:r>
      <w:r w:rsidR="002A07F3">
        <w:t xml:space="preserve">and </w:t>
      </w:r>
      <w:r w:rsidR="006977D7">
        <w:t>nine</w:t>
      </w:r>
      <w:r w:rsidR="002A07F3">
        <w:t xml:space="preserve">-month </w:t>
      </w:r>
      <w:r w:rsidRPr="001C6303">
        <w:t xml:space="preserve">periods ended </w:t>
      </w:r>
      <w:r w:rsidR="006977D7">
        <w:t>September</w:t>
      </w:r>
      <w:r w:rsidR="00E74795">
        <w:t xml:space="preserve"> 3</w:t>
      </w:r>
      <w:r w:rsidR="002A07F3">
        <w:t>0</w:t>
      </w:r>
      <w:r w:rsidR="00F415DC">
        <w:t>, 20</w:t>
      </w:r>
      <w:r w:rsidR="00E576BB">
        <w:t>20</w:t>
      </w:r>
      <w:r w:rsidR="00F415DC">
        <w:t xml:space="preserve"> and 201</w:t>
      </w:r>
      <w:r w:rsidR="00E576BB">
        <w:t>9</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201</w:t>
      </w:r>
      <w:r w:rsidR="00E576BB">
        <w:t>9</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44EA382E" w14:textId="77777777" w:rsidR="00E576BB" w:rsidRPr="00C5141A" w:rsidRDefault="00E576BB" w:rsidP="00BE61F2">
      <w:pPr>
        <w:autoSpaceDE w:val="0"/>
        <w:autoSpaceDN w:val="0"/>
        <w:adjustRightInd w:val="0"/>
      </w:pPr>
    </w:p>
    <w:p w14:paraId="1D3EA59B" w14:textId="197C22B1" w:rsidR="00E576BB" w:rsidRPr="00E576BB" w:rsidRDefault="00E92540" w:rsidP="00E576BB">
      <w:pPr>
        <w:autoSpaceDE w:val="0"/>
        <w:autoSpaceDN w:val="0"/>
        <w:adjustRightInd w:val="0"/>
      </w:pPr>
      <w:r>
        <w:t>A</w:t>
      </w:r>
      <w:r w:rsidR="00E576BB" w:rsidRPr="00E576BB">
        <w:t xml:space="preserve">s described </w:t>
      </w:r>
      <w:r w:rsidR="00E576BB" w:rsidRPr="004872E4">
        <w:t xml:space="preserve">in Note </w:t>
      </w:r>
      <w:r w:rsidR="00ED7E6A">
        <w:t>10</w:t>
      </w:r>
      <w:r w:rsidR="00E576BB" w:rsidRPr="004872E4">
        <w:t xml:space="preserve">, </w:t>
      </w:r>
      <w:r w:rsidR="006977D7">
        <w:t xml:space="preserve">we enacted reverse stock splits of our common stock </w:t>
      </w:r>
      <w:r w:rsidR="001C1A41">
        <w:t>on</w:t>
      </w:r>
      <w:r w:rsidR="006977D7">
        <w:t xml:space="preserve"> </w:t>
      </w:r>
      <w:r w:rsidR="00284724">
        <w:t xml:space="preserve">April 30, 2019, </w:t>
      </w:r>
      <w:r w:rsidR="006977D7">
        <w:t>J</w:t>
      </w:r>
      <w:r w:rsidR="00E576BB" w:rsidRPr="004872E4">
        <w:t>anuary</w:t>
      </w:r>
      <w:r w:rsidR="00E576BB" w:rsidRPr="00E576BB">
        <w:t xml:space="preserve"> 21, 2020</w:t>
      </w:r>
      <w:r w:rsidR="001C1A41">
        <w:t xml:space="preserve"> </w:t>
      </w:r>
      <w:r w:rsidR="006977D7">
        <w:t xml:space="preserve">and September 30, 2020. </w:t>
      </w:r>
      <w:r w:rsidR="00F92ECD">
        <w:t>Unless otherwise noted, t</w:t>
      </w:r>
      <w:r w:rsidR="00E576BB" w:rsidRPr="00E576BB">
        <w:t>he accompanying financial statements, and all share and per share information contained herein, have been retroactively restated to reflect the reverse stock splits.</w:t>
      </w:r>
    </w:p>
    <w:p w14:paraId="4EF76CE3" w14:textId="77777777" w:rsidR="000A55AE" w:rsidRDefault="000A55AE" w:rsidP="000A55AE">
      <w:pPr>
        <w:pStyle w:val="BodyText"/>
        <w:spacing w:after="0"/>
      </w:pPr>
    </w:p>
    <w:p w14:paraId="6E48712E" w14:textId="7F5AB2C0" w:rsidR="0052502C" w:rsidRDefault="00297C39" w:rsidP="00C5141A">
      <w:pPr>
        <w:autoSpaceDE w:val="0"/>
        <w:autoSpaceDN w:val="0"/>
        <w:adjustRightInd w:val="0"/>
      </w:pPr>
      <w:r>
        <w:t>Our</w:t>
      </w:r>
      <w:r w:rsidR="001B548C">
        <w:t xml:space="preserve"> </w:t>
      </w:r>
      <w:r w:rsidR="001B548C" w:rsidRPr="001C6303">
        <w:t xml:space="preserve">financial statements </w:t>
      </w:r>
      <w:r w:rsidR="001B548C">
        <w:t>have been prepared assuming that we will continue as a going concern, which contemplates realization of assets and the satisfaction of liabilities in the normal course</w:t>
      </w:r>
      <w:r w:rsidR="001B548C" w:rsidRPr="00645890">
        <w:t xml:space="preserve"> </w:t>
      </w:r>
      <w:r w:rsidR="001B548C">
        <w:t>of business for the twelve-month period following the date th</w:t>
      </w:r>
      <w:r>
        <w:t>e</w:t>
      </w:r>
      <w:r w:rsidR="001B548C">
        <w:t xml:space="preserve"> financial statements</w:t>
      </w:r>
      <w:r w:rsidR="001B5554">
        <w:t xml:space="preserve"> are issued</w:t>
      </w:r>
      <w:r w:rsidR="001B548C">
        <w:t>. W</w:t>
      </w:r>
      <w:r w:rsidR="001B548C" w:rsidRPr="00EB7BF0">
        <w:t>e are devoting substantially all of our present effort</w:t>
      </w:r>
      <w:r>
        <w:t>s to research and development</w:t>
      </w:r>
      <w:r w:rsidR="0030310F">
        <w:t xml:space="preserve"> of our vaccine</w:t>
      </w:r>
      <w:r w:rsidR="008219AB">
        <w:t xml:space="preserve"> and immunotherapy</w:t>
      </w:r>
      <w:r w:rsidR="0030310F">
        <w:t xml:space="preserve"> candidates</w:t>
      </w:r>
      <w:r>
        <w:t xml:space="preserve">. </w:t>
      </w:r>
    </w:p>
    <w:p w14:paraId="45505E09" w14:textId="77777777" w:rsidR="0052502C" w:rsidRDefault="0052502C" w:rsidP="00C5141A">
      <w:pPr>
        <w:autoSpaceDE w:val="0"/>
        <w:autoSpaceDN w:val="0"/>
        <w:adjustRightInd w:val="0"/>
      </w:pPr>
    </w:p>
    <w:p w14:paraId="12047414" w14:textId="55887A5E" w:rsidR="0059257C" w:rsidRDefault="001427D6" w:rsidP="00C5141A">
      <w:pPr>
        <w:autoSpaceDE w:val="0"/>
        <w:autoSpaceDN w:val="0"/>
        <w:adjustRightInd w:val="0"/>
      </w:pPr>
      <w:r>
        <w:t>F</w:t>
      </w:r>
      <w:r w:rsidR="005E15A6">
        <w:t>or the last several years the audit reports to our consolidated financial statements have included a “going concern” qualification</w:t>
      </w:r>
      <w:r>
        <w:t xml:space="preserve">, arising from our limited assets, </w:t>
      </w:r>
      <w:r w:rsidRPr="004872E4">
        <w:t>our history of operating losses</w:t>
      </w:r>
      <w:r>
        <w:t>,</w:t>
      </w:r>
      <w:r w:rsidRPr="004872E4">
        <w:t xml:space="preserve"> and our continuing need for capital to conduct our research and development activities</w:t>
      </w:r>
      <w:r>
        <w:t xml:space="preserve">. These conditions continued through the second quarter of 2020. However, as a result of </w:t>
      </w:r>
      <w:r w:rsidR="0052502C">
        <w:t>our</w:t>
      </w:r>
      <w:r>
        <w:t xml:space="preserve"> financing activities </w:t>
      </w:r>
      <w:r w:rsidR="0052502C">
        <w:t xml:space="preserve">consummated during the third quarter of 2020 (see Note </w:t>
      </w:r>
      <w:r w:rsidR="00356202">
        <w:t>10</w:t>
      </w:r>
      <w:r w:rsidR="0052502C">
        <w:t>),</w:t>
      </w:r>
      <w:r>
        <w:t xml:space="preserve"> management has concluded that</w:t>
      </w:r>
      <w:r w:rsidR="0052502C">
        <w:t xml:space="preserve"> as of September 30, 2020</w:t>
      </w:r>
      <w:r>
        <w:t xml:space="preserve"> there is no longer a substantial doubt over the Company’s ability to operate as a going concern for at least the next twelve-month period.</w:t>
      </w:r>
      <w:r w:rsidR="0059257C">
        <w:t xml:space="preserve">  </w:t>
      </w:r>
      <w:r w:rsidR="00C5141A" w:rsidRPr="00C5141A">
        <w:t>We believe that our existing cash resources</w:t>
      </w:r>
      <w:r w:rsidR="00B53172">
        <w:t xml:space="preserve"> </w:t>
      </w:r>
      <w:r w:rsidR="00B53172" w:rsidRPr="004872E4">
        <w:t xml:space="preserve">together with </w:t>
      </w:r>
      <w:r w:rsidR="0052502C">
        <w:t>current</w:t>
      </w:r>
      <w:r w:rsidR="00C5141A" w:rsidRPr="004872E4">
        <w:t xml:space="preserve"> government funding commitments, will be sufficient to continue our planned operations into </w:t>
      </w:r>
      <w:r w:rsidR="0059257C">
        <w:t xml:space="preserve">early </w:t>
      </w:r>
      <w:r w:rsidR="00B53172" w:rsidRPr="004872E4">
        <w:t>202</w:t>
      </w:r>
      <w:r w:rsidR="006977D7">
        <w:t>2</w:t>
      </w:r>
      <w:r w:rsidR="00C5141A" w:rsidRPr="004872E4">
        <w:t xml:space="preserve">. </w:t>
      </w:r>
    </w:p>
    <w:p w14:paraId="427AB5E3" w14:textId="303BC003" w:rsidR="0059257C" w:rsidRPr="0059257C" w:rsidRDefault="0059257C" w:rsidP="0059257C">
      <w:pPr>
        <w:autoSpaceDE w:val="0"/>
        <w:autoSpaceDN w:val="0"/>
        <w:adjustRightInd w:val="0"/>
      </w:pPr>
    </w:p>
    <w:p w14:paraId="78A0ADFD" w14:textId="6FCB437C" w:rsidR="0059257C" w:rsidRPr="0059257C" w:rsidRDefault="0059257C" w:rsidP="0059257C">
      <w:pPr>
        <w:autoSpaceDE w:val="0"/>
        <w:autoSpaceDN w:val="0"/>
        <w:adjustRightInd w:val="0"/>
      </w:pPr>
      <w:r>
        <w:t>We</w:t>
      </w:r>
      <w:r w:rsidRPr="0059257C">
        <w:t xml:space="preserve"> expect </w:t>
      </w:r>
      <w:r>
        <w:t>to</w:t>
      </w:r>
      <w:r w:rsidRPr="0059257C">
        <w:t xml:space="preserve"> incur future net losses as </w:t>
      </w:r>
      <w:r>
        <w:t>we</w:t>
      </w:r>
      <w:r w:rsidRPr="0059257C">
        <w:t xml:space="preserve"> continue to fund the development of </w:t>
      </w:r>
      <w:r>
        <w:t>our</w:t>
      </w:r>
      <w:r w:rsidRPr="0059257C">
        <w:t xml:space="preserve"> product candidates. To date, </w:t>
      </w:r>
      <w:r>
        <w:t>we have</w:t>
      </w:r>
      <w:r w:rsidRPr="0059257C">
        <w:t xml:space="preserve"> financed </w:t>
      </w:r>
      <w:r>
        <w:t>our</w:t>
      </w:r>
      <w:r w:rsidRPr="0059257C">
        <w:t xml:space="preserve"> operations primarily with proceeds from sales of equity and debt securities</w:t>
      </w:r>
      <w:r>
        <w:t>, government grants and clinical trial assistance, and corporate collaborations</w:t>
      </w:r>
      <w:r w:rsidRPr="0059257C">
        <w:t xml:space="preserve">. </w:t>
      </w:r>
      <w:r>
        <w:t>Our</w:t>
      </w:r>
      <w:r w:rsidRPr="0059257C">
        <w:t xml:space="preserve"> transition to profitability </w:t>
      </w:r>
      <w:r w:rsidR="0052502C">
        <w:t>will be</w:t>
      </w:r>
      <w:r w:rsidRPr="0059257C">
        <w:t xml:space="preserve"> dependent upon, among other things, the successful development and commercialization of </w:t>
      </w:r>
      <w:r>
        <w:t>our</w:t>
      </w:r>
      <w:r w:rsidRPr="0059257C">
        <w:t xml:space="preserve"> product candidates. </w:t>
      </w:r>
      <w:r w:rsidR="00265B93">
        <w:t>We</w:t>
      </w:r>
      <w:r w:rsidRPr="0059257C">
        <w:t xml:space="preserve"> may never achieve profitability or positive cash flows, and unless and until </w:t>
      </w:r>
      <w:r w:rsidR="00265B93">
        <w:t>we</w:t>
      </w:r>
      <w:r w:rsidRPr="0059257C">
        <w:t xml:space="preserve"> do, </w:t>
      </w:r>
      <w:r w:rsidR="00265B93">
        <w:t>we</w:t>
      </w:r>
      <w:r w:rsidRPr="0059257C">
        <w:t xml:space="preserve"> will continue to need to raise additional </w:t>
      </w:r>
      <w:r w:rsidR="0052502C">
        <w:t>funding</w:t>
      </w:r>
      <w:r w:rsidRPr="0059257C">
        <w:t>. Management intends to fund future operations through additional private and/or public offerings of debt or equity securities.</w:t>
      </w:r>
      <w:r w:rsidR="0052502C">
        <w:t xml:space="preserve">  </w:t>
      </w:r>
      <w:r w:rsidRPr="0059257C">
        <w:t xml:space="preserve">In addition, </w:t>
      </w:r>
      <w:r w:rsidR="00265B93">
        <w:t xml:space="preserve">we </w:t>
      </w:r>
      <w:r w:rsidRPr="0059257C">
        <w:t>may seek additional capital through arrangements with strategic partners or from other sources.</w:t>
      </w:r>
      <w:r w:rsidR="00265B93">
        <w:t xml:space="preserve"> T</w:t>
      </w:r>
      <w:r w:rsidRPr="0059257C">
        <w:t xml:space="preserve">here can be no assurance that </w:t>
      </w:r>
      <w:r w:rsidR="00265B93">
        <w:t>we</w:t>
      </w:r>
      <w:r w:rsidRPr="0059257C">
        <w:t xml:space="preserve"> will be able to raise additional funds or achieve or sustain profitability or positive cash flows from operations. </w:t>
      </w:r>
    </w:p>
    <w:p w14:paraId="48BF6569" w14:textId="77777777" w:rsidR="000A55AE" w:rsidRPr="00685606" w:rsidRDefault="000A55AE"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73E4EB1D" w14:textId="28288F90" w:rsidR="001939DD"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201</w:t>
      </w:r>
      <w:r w:rsidR="00E576BB">
        <w:t>9</w:t>
      </w:r>
      <w:r w:rsidRPr="001C6303">
        <w:t xml:space="preserve"> those accounting policies that </w:t>
      </w:r>
      <w:r>
        <w:t>we consider</w:t>
      </w:r>
      <w:r w:rsidRPr="001C6303">
        <w:t xml:space="preserve"> significant in determining </w:t>
      </w:r>
      <w:r>
        <w:t>our</w:t>
      </w:r>
      <w:r w:rsidRPr="001C6303">
        <w:t xml:space="preserve"> results of oper</w:t>
      </w:r>
      <w:r w:rsidR="000251EA">
        <w:t>ations and financial position.</w:t>
      </w:r>
      <w:r w:rsidR="008219AB">
        <w:t xml:space="preserve"> T</w:t>
      </w:r>
      <w:r w:rsidRPr="001C6303">
        <w:t xml:space="preserve">here have been no material changes to, or in the application of, the accounting policies previously identified </w:t>
      </w:r>
      <w:r>
        <w:t>and described in the Form 10-K.</w:t>
      </w:r>
    </w:p>
    <w:p w14:paraId="75D4CCF5" w14:textId="77777777" w:rsidR="007466D8" w:rsidRDefault="007466D8" w:rsidP="000A55AE"/>
    <w:p w14:paraId="587402D3" w14:textId="6DE129FA" w:rsidR="006B69BF" w:rsidRDefault="00BA1860" w:rsidP="000A55AE">
      <w:pPr>
        <w:pStyle w:val="BodyText"/>
        <w:spacing w:after="0"/>
      </w:pPr>
      <w:r>
        <w:t>T</w:t>
      </w:r>
      <w:r w:rsidRPr="005F0851">
        <w:t xml:space="preserve">here have been no </w:t>
      </w:r>
      <w:r w:rsidR="009736ED">
        <w:t xml:space="preserve">other </w:t>
      </w:r>
      <w:r w:rsidRPr="005F0851">
        <w:t>recent accounting pronouncements or changes in accounting pronouncements during</w:t>
      </w:r>
      <w:r>
        <w:t xml:space="preserve"> the </w:t>
      </w:r>
      <w:r w:rsidR="006977D7">
        <w:t>nine</w:t>
      </w:r>
      <w:r>
        <w:t xml:space="preserve"> months ended </w:t>
      </w:r>
      <w:r w:rsidR="006977D7">
        <w:t>September</w:t>
      </w:r>
      <w:r w:rsidR="00F415DC">
        <w:t xml:space="preserve"> 3</w:t>
      </w:r>
      <w:r w:rsidR="002A07F3">
        <w:t>0</w:t>
      </w:r>
      <w:r w:rsidR="006B69BF">
        <w:t>,</w:t>
      </w:r>
      <w:r w:rsidR="00F415DC">
        <w:t xml:space="preserve"> 20</w:t>
      </w:r>
      <w:r w:rsidR="00E576BB">
        <w:t>20</w:t>
      </w:r>
      <w:r w:rsidRPr="005F0851">
        <w:t xml:space="preserve">, as compared to the recent accounting </w:t>
      </w:r>
      <w:r w:rsidR="00BD0DB6">
        <w:t xml:space="preserve">pronouncements described in our </w:t>
      </w:r>
      <w:r w:rsidR="00DC085C">
        <w:t>Annual Report on Form 10</w:t>
      </w:r>
      <w:r w:rsidR="002A3612">
        <w:noBreakHyphen/>
      </w:r>
      <w:r w:rsidRPr="005F0851">
        <w:t>K for t</w:t>
      </w:r>
      <w:r>
        <w:t>he fiscal year ended December 31</w:t>
      </w:r>
      <w:r w:rsidR="00F415DC">
        <w:t>, 201</w:t>
      </w:r>
      <w:r w:rsidR="00E576BB">
        <w:t>9</w:t>
      </w:r>
      <w:r w:rsidRPr="005F0851">
        <w:t xml:space="preserve">,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08761899" w:rsidR="0016206A" w:rsidRPr="001C6303" w:rsidRDefault="009157AA" w:rsidP="000A55AE">
      <w:pPr>
        <w:pStyle w:val="ListNumbering"/>
        <w:spacing w:after="0"/>
      </w:pPr>
      <w:bookmarkStart w:id="16"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4712484E" w:rsidR="00E576BB" w:rsidRPr="00E576BB" w:rsidRDefault="00E576BB" w:rsidP="00E576BB">
      <w:pPr>
        <w:rPr>
          <w:b/>
        </w:rPr>
      </w:pPr>
      <w:bookmarkStart w:id="17" w:name="_Hlk5353616"/>
      <w:r w:rsidRPr="00E576BB">
        <w:t xml:space="preserve">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w:t>
      </w:r>
      <w:r w:rsidR="002A07F3" w:rsidRPr="001C6303">
        <w:t xml:space="preserve">totaled </w:t>
      </w:r>
      <w:r w:rsidR="00A477AD">
        <w:t>204,553</w:t>
      </w:r>
      <w:r w:rsidR="002A07F3">
        <w:t xml:space="preserve"> and </w:t>
      </w:r>
      <w:r w:rsidR="00A477AD">
        <w:t>78,754</w:t>
      </w:r>
      <w:r w:rsidR="002A07F3" w:rsidRPr="001C6303">
        <w:t xml:space="preserve"> shares </w:t>
      </w:r>
      <w:r w:rsidR="002A07F3">
        <w:t xml:space="preserve">for the three-month and </w:t>
      </w:r>
      <w:r w:rsidR="006977D7">
        <w:t>nine</w:t>
      </w:r>
      <w:r w:rsidR="002A07F3">
        <w:t>-month periods ended</w:t>
      </w:r>
      <w:r w:rsidR="002A07F3" w:rsidRPr="001C6303">
        <w:t xml:space="preserve"> </w:t>
      </w:r>
      <w:r w:rsidR="006977D7">
        <w:t>September</w:t>
      </w:r>
      <w:r w:rsidR="002A07F3">
        <w:t xml:space="preserve"> 30, 2020, respectively, as compared to </w:t>
      </w:r>
      <w:r w:rsidR="00A477AD">
        <w:t>273</w:t>
      </w:r>
      <w:r w:rsidR="002A07F3">
        <w:t xml:space="preserve"> and</w:t>
      </w:r>
      <w:r w:rsidR="00A477AD">
        <w:t xml:space="preserve"> 272</w:t>
      </w:r>
      <w:r w:rsidR="002A07F3">
        <w:t xml:space="preserve"> shares for the three-month and </w:t>
      </w:r>
      <w:r w:rsidR="006977D7">
        <w:t>nine</w:t>
      </w:r>
      <w:r w:rsidR="002A07F3">
        <w:t>-month periods ended</w:t>
      </w:r>
      <w:r w:rsidR="002A07F3" w:rsidRPr="001C6303">
        <w:t xml:space="preserve"> </w:t>
      </w:r>
      <w:r w:rsidR="006977D7">
        <w:t>September</w:t>
      </w:r>
      <w:r w:rsidR="002A07F3">
        <w:t xml:space="preserve"> 30, 2019, respectively. </w:t>
      </w:r>
      <w:r w:rsidRPr="002D1A5A">
        <w:t xml:space="preserve"> </w:t>
      </w:r>
      <w:r w:rsidRPr="00780B16">
        <w:t xml:space="preserve">See Note </w:t>
      </w:r>
      <w:r w:rsidR="00ED7E6A">
        <w:t>10</w:t>
      </w:r>
      <w:r w:rsidRPr="00780B16">
        <w:t xml:space="preserve"> for more information concerning our outstanding common share equivalents at </w:t>
      </w:r>
      <w:r w:rsidR="006977D7">
        <w:t>September</w:t>
      </w:r>
      <w:r w:rsidRPr="00780B16">
        <w:t xml:space="preserve"> 3</w:t>
      </w:r>
      <w:r w:rsidR="002A07F3" w:rsidRPr="00780B16">
        <w:t>0</w:t>
      </w:r>
      <w:r w:rsidRPr="00780B16">
        <w:t>, 2020 that could potentially dilute earnings</w:t>
      </w:r>
      <w:r w:rsidRPr="00E576BB">
        <w:t xml:space="preserve"> per share in the future.</w:t>
      </w:r>
    </w:p>
    <w:p w14:paraId="11EADC99" w14:textId="77777777" w:rsidR="00E576BB" w:rsidRDefault="00E576BB" w:rsidP="000A55AE">
      <w:pPr>
        <w:pStyle w:val="BodyText"/>
        <w:spacing w:after="0"/>
      </w:pPr>
    </w:p>
    <w:bookmarkEnd w:id="16"/>
    <w:bookmarkEnd w:id="17"/>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214E687F"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6977D7">
        <w:t>September</w:t>
      </w:r>
      <w:r w:rsidR="00F415DC">
        <w:t xml:space="preserve"> 3</w:t>
      </w:r>
      <w:r w:rsidR="002A07F3">
        <w:t>0</w:t>
      </w:r>
      <w:r w:rsidR="00F415DC">
        <w:t>, 20</w:t>
      </w:r>
      <w:r w:rsidR="00E576BB">
        <w:t>20</w:t>
      </w:r>
      <w:r w:rsidR="00F415DC">
        <w:t xml:space="preserve"> and December 31, 201</w:t>
      </w:r>
      <w:r w:rsidR="00E576BB">
        <w:t>9</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087F147D" w:rsidR="00B06A21" w:rsidRDefault="006977D7" w:rsidP="000A55AE">
            <w:pPr>
              <w:jc w:val="center"/>
            </w:pPr>
            <w:r>
              <w:t>September</w:t>
            </w:r>
            <w:r w:rsidR="00F415DC">
              <w:t xml:space="preserve"> 3</w:t>
            </w:r>
            <w:r w:rsidR="002A07F3">
              <w:t>0</w:t>
            </w:r>
            <w:r w:rsidR="00B06A21">
              <w:t>,</w:t>
            </w:r>
          </w:p>
          <w:p w14:paraId="23AB651E" w14:textId="20101564" w:rsidR="004B5B77" w:rsidRPr="00EB7BF0" w:rsidRDefault="004B5B77" w:rsidP="000A55AE">
            <w:pPr>
              <w:jc w:val="center"/>
            </w:pPr>
            <w:r>
              <w:t>20</w:t>
            </w:r>
            <w:r w:rsidR="00E576BB">
              <w:t>20</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0E66A13B" w:rsidR="004B5B77" w:rsidRPr="00EB7BF0" w:rsidRDefault="00B06A21" w:rsidP="000A55AE">
            <w:pPr>
              <w:jc w:val="center"/>
            </w:pPr>
            <w:r>
              <w:t>201</w:t>
            </w:r>
            <w:r w:rsidR="00E576BB">
              <w:t>9</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643A7B77" w:rsidR="004B5B77" w:rsidRPr="00FA15F9" w:rsidRDefault="004B5B77" w:rsidP="000A55AE">
            <w:pPr>
              <w:tabs>
                <w:tab w:val="decimal" w:pos="1332"/>
              </w:tabs>
            </w:pPr>
            <w:r w:rsidRPr="00FA15F9">
              <w:t>$</w:t>
            </w:r>
            <w:r w:rsidR="00685606" w:rsidRPr="00FA15F9">
              <w:t xml:space="preserve"> </w:t>
            </w:r>
            <w:r w:rsidRPr="00FA15F9">
              <w:t xml:space="preserve"> </w:t>
            </w:r>
            <w:r w:rsidR="00962F17">
              <w:t>537,047</w:t>
            </w:r>
          </w:p>
        </w:tc>
        <w:tc>
          <w:tcPr>
            <w:tcW w:w="1841" w:type="dxa"/>
          </w:tcPr>
          <w:p w14:paraId="34DF51DB" w14:textId="61222214" w:rsidR="004B5B77" w:rsidRPr="00EB7BF0" w:rsidRDefault="00B06A21" w:rsidP="000A55AE">
            <w:pPr>
              <w:tabs>
                <w:tab w:val="decimal" w:pos="1287"/>
              </w:tabs>
            </w:pPr>
            <w:r>
              <w:t xml:space="preserve">$   </w:t>
            </w:r>
            <w:r w:rsidR="00E576BB">
              <w:t>534,577</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6B9B0290" w:rsidR="004B5B77" w:rsidRPr="00FA15F9" w:rsidRDefault="00D127E4" w:rsidP="000A55AE">
            <w:pPr>
              <w:tabs>
                <w:tab w:val="decimal" w:pos="1332"/>
              </w:tabs>
            </w:pPr>
            <w:r>
              <w:t>115,605</w:t>
            </w:r>
          </w:p>
        </w:tc>
        <w:tc>
          <w:tcPr>
            <w:tcW w:w="1841" w:type="dxa"/>
          </w:tcPr>
          <w:p w14:paraId="27EED44E" w14:textId="0C3764FF" w:rsidR="004B5B77" w:rsidRPr="00EB7BF0" w:rsidRDefault="00B06A21" w:rsidP="000A55AE">
            <w:pPr>
              <w:tabs>
                <w:tab w:val="decimal" w:pos="1287"/>
              </w:tabs>
            </w:pPr>
            <w:r>
              <w:t>1</w:t>
            </w:r>
            <w:r w:rsidR="00E576BB">
              <w:t>15,605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462C394F" w:rsidR="004B5B77" w:rsidRPr="00FA15F9" w:rsidRDefault="00D127E4" w:rsidP="000A55AE">
            <w:pPr>
              <w:tabs>
                <w:tab w:val="decimal" w:pos="1332"/>
              </w:tabs>
            </w:pPr>
            <w:r>
              <w:t>11,736</w:t>
            </w:r>
          </w:p>
        </w:tc>
        <w:tc>
          <w:tcPr>
            <w:tcW w:w="1841" w:type="dxa"/>
            <w:tcBorders>
              <w:bottom w:val="single" w:sz="4" w:space="0" w:color="auto"/>
            </w:tcBorders>
          </w:tcPr>
          <w:p w14:paraId="7B05701E" w14:textId="2849C8A1" w:rsidR="004B5B77" w:rsidRPr="00EB7BF0" w:rsidRDefault="00E576BB" w:rsidP="000A55AE">
            <w:pPr>
              <w:tabs>
                <w:tab w:val="decimal" w:pos="1287"/>
              </w:tabs>
            </w:pPr>
            <w:r>
              <w:t>11,736</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046A02A3" w:rsidR="004B5B77" w:rsidRPr="00FA15F9" w:rsidRDefault="00962F17" w:rsidP="000A55AE">
            <w:pPr>
              <w:tabs>
                <w:tab w:val="decimal" w:pos="1332"/>
              </w:tabs>
            </w:pPr>
            <w:r>
              <w:t>664,388</w:t>
            </w:r>
          </w:p>
        </w:tc>
        <w:tc>
          <w:tcPr>
            <w:tcW w:w="1841" w:type="dxa"/>
            <w:tcBorders>
              <w:top w:val="single" w:sz="4" w:space="0" w:color="auto"/>
            </w:tcBorders>
          </w:tcPr>
          <w:p w14:paraId="6309218B" w14:textId="33A7FD5F" w:rsidR="004B5B77" w:rsidRPr="00EB7BF0" w:rsidRDefault="00E576BB" w:rsidP="000A55AE">
            <w:pPr>
              <w:tabs>
                <w:tab w:val="decimal" w:pos="1287"/>
              </w:tabs>
            </w:pPr>
            <w:r>
              <w:t>661,918</w:t>
            </w:r>
          </w:p>
        </w:tc>
      </w:tr>
      <w:tr w:rsidR="004B5B77" w:rsidRPr="00452D3C" w14:paraId="60DF5069" w14:textId="77777777" w:rsidTr="002B05F2">
        <w:tc>
          <w:tcPr>
            <w:tcW w:w="6055" w:type="dxa"/>
          </w:tcPr>
          <w:p w14:paraId="156F8B62" w14:textId="7885FF0B" w:rsidR="004B5B77" w:rsidRPr="00452D3C" w:rsidRDefault="004B5B77" w:rsidP="000A55AE">
            <w:pPr>
              <w:ind w:left="162"/>
            </w:pPr>
            <w:r w:rsidRPr="00452D3C">
              <w:t xml:space="preserve">Accumulated depreciation </w:t>
            </w:r>
            <w:r w:rsidR="006977D7">
              <w:t>an</w:t>
            </w:r>
            <w:r w:rsidRPr="00452D3C">
              <w:t>d amortization</w:t>
            </w:r>
          </w:p>
        </w:tc>
        <w:tc>
          <w:tcPr>
            <w:tcW w:w="1842" w:type="dxa"/>
            <w:tcBorders>
              <w:bottom w:val="single" w:sz="4" w:space="0" w:color="auto"/>
            </w:tcBorders>
          </w:tcPr>
          <w:p w14:paraId="7342DE2E" w14:textId="236A0152" w:rsidR="004B5B77" w:rsidRPr="00780B16" w:rsidRDefault="00962F17" w:rsidP="000A55AE">
            <w:pPr>
              <w:tabs>
                <w:tab w:val="decimal" w:pos="1332"/>
              </w:tabs>
            </w:pPr>
            <w:r>
              <w:t>(654,295)</w:t>
            </w:r>
          </w:p>
        </w:tc>
        <w:tc>
          <w:tcPr>
            <w:tcW w:w="1841" w:type="dxa"/>
            <w:tcBorders>
              <w:bottom w:val="single" w:sz="4" w:space="0" w:color="auto"/>
            </w:tcBorders>
          </w:tcPr>
          <w:p w14:paraId="675271A9" w14:textId="3D91DEEA" w:rsidR="004B5B77" w:rsidRPr="00452D3C" w:rsidRDefault="00F415DC" w:rsidP="000A55AE">
            <w:pPr>
              <w:tabs>
                <w:tab w:val="decimal" w:pos="1287"/>
              </w:tabs>
            </w:pPr>
            <w:r>
              <w:t>(</w:t>
            </w:r>
            <w:r w:rsidR="00E576BB">
              <w:t>651,312</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30A46677" w:rsidR="004B5B77" w:rsidRPr="00780B16" w:rsidRDefault="00B06A21" w:rsidP="000A55AE">
            <w:pPr>
              <w:tabs>
                <w:tab w:val="decimal" w:pos="1332"/>
              </w:tabs>
            </w:pPr>
            <w:r w:rsidRPr="00780B16">
              <w:t xml:space="preserve">$ </w:t>
            </w:r>
            <w:r w:rsidR="005776D5" w:rsidRPr="00780B16">
              <w:t xml:space="preserve"> </w:t>
            </w:r>
            <w:r w:rsidRPr="00780B16">
              <w:t xml:space="preserve"> </w:t>
            </w:r>
            <w:r w:rsidR="00780B16" w:rsidRPr="00780B16">
              <w:t xml:space="preserve"> </w:t>
            </w:r>
            <w:r w:rsidR="00962F17">
              <w:t>10,093</w:t>
            </w:r>
          </w:p>
        </w:tc>
        <w:tc>
          <w:tcPr>
            <w:tcW w:w="1841" w:type="dxa"/>
            <w:tcBorders>
              <w:top w:val="single" w:sz="4" w:space="0" w:color="auto"/>
              <w:bottom w:val="double" w:sz="4" w:space="0" w:color="auto"/>
            </w:tcBorders>
          </w:tcPr>
          <w:p w14:paraId="3FB8FADE" w14:textId="0A7EE76C" w:rsidR="004B5B77" w:rsidRPr="00EB7BF0" w:rsidRDefault="00B06A21" w:rsidP="000A55AE">
            <w:pPr>
              <w:tabs>
                <w:tab w:val="decimal" w:pos="1287"/>
              </w:tabs>
            </w:pPr>
            <w:r w:rsidRPr="00452D3C">
              <w:t xml:space="preserve">$   </w:t>
            </w:r>
            <w:r w:rsidR="009157AA" w:rsidRPr="00452D3C">
              <w:t xml:space="preserve"> </w:t>
            </w:r>
            <w:r w:rsidR="002B05F2">
              <w:t xml:space="preserve"> </w:t>
            </w:r>
            <w:r w:rsidR="00E576BB">
              <w:t>10,606</w:t>
            </w:r>
          </w:p>
        </w:tc>
      </w:tr>
    </w:tbl>
    <w:p w14:paraId="55D101AD" w14:textId="77777777" w:rsidR="000A55AE" w:rsidRDefault="000A55AE" w:rsidP="000A55AE">
      <w:pPr>
        <w:pStyle w:val="BodyText"/>
        <w:spacing w:after="0"/>
      </w:pPr>
    </w:p>
    <w:p w14:paraId="03CEE78D" w14:textId="77777777" w:rsidR="005922F5" w:rsidRDefault="005922F5">
      <w:pPr>
        <w:rPr>
          <w:b/>
        </w:rPr>
      </w:pPr>
      <w:r>
        <w:br w:type="page"/>
      </w:r>
    </w:p>
    <w:p w14:paraId="7014B4BF" w14:textId="1D63415A" w:rsidR="002B05F2" w:rsidRDefault="002B05F2" w:rsidP="000A55AE">
      <w:pPr>
        <w:pStyle w:val="ListNumbering"/>
        <w:spacing w:after="0"/>
      </w:pPr>
      <w:r>
        <w:t>6</w:t>
      </w:r>
      <w:r w:rsidRPr="001C6303">
        <w:t>.</w:t>
      </w:r>
      <w:r w:rsidRPr="001C6303">
        <w:tab/>
      </w:r>
      <w:r>
        <w:t>Accrued Expenses</w:t>
      </w:r>
    </w:p>
    <w:p w14:paraId="275B29E8" w14:textId="77777777" w:rsidR="000A55AE" w:rsidRDefault="000A55AE" w:rsidP="000A55AE">
      <w:pPr>
        <w:pStyle w:val="BodyText"/>
        <w:spacing w:after="0"/>
      </w:pPr>
    </w:p>
    <w:p w14:paraId="6566F606" w14:textId="6D30F383" w:rsidR="000E74A1" w:rsidRPr="000E74A1" w:rsidRDefault="000E74A1" w:rsidP="000A55AE">
      <w:pPr>
        <w:pStyle w:val="BodyText"/>
        <w:spacing w:after="0"/>
      </w:pPr>
      <w:r>
        <w:t xml:space="preserve">Accrued expenses as shown on the accompanying Condensed Consolidated Balance Sheets </w:t>
      </w:r>
      <w:r w:rsidR="001B5554">
        <w:t xml:space="preserve">are </w:t>
      </w:r>
      <w:r>
        <w:t xml:space="preserve">composed of the following as of </w:t>
      </w:r>
      <w:r w:rsidR="006977D7">
        <w:t>September</w:t>
      </w:r>
      <w:r w:rsidR="009941FA">
        <w:t xml:space="preserve"> 3</w:t>
      </w:r>
      <w:r w:rsidR="002A07F3">
        <w:t>0</w:t>
      </w:r>
      <w:r w:rsidR="009941FA">
        <w:t>, 20</w:t>
      </w:r>
      <w:r w:rsidR="00717940">
        <w:t>20</w:t>
      </w:r>
      <w:r w:rsidR="009941FA">
        <w:t xml:space="preserve"> and December 31, 201</w:t>
      </w:r>
      <w:r w:rsidR="00717940">
        <w:t>9</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00A50C05" w:rsidR="002B05F2" w:rsidRDefault="006977D7" w:rsidP="000A55AE">
            <w:pPr>
              <w:jc w:val="center"/>
            </w:pPr>
            <w:r>
              <w:t>September</w:t>
            </w:r>
            <w:r w:rsidR="009941FA">
              <w:t xml:space="preserve"> 3</w:t>
            </w:r>
            <w:r w:rsidR="002A07F3">
              <w:t>0</w:t>
            </w:r>
            <w:r w:rsidR="002B05F2">
              <w:t>,</w:t>
            </w:r>
          </w:p>
          <w:p w14:paraId="5D0B64A1" w14:textId="55256D50" w:rsidR="002B05F2" w:rsidRPr="00EB7BF0" w:rsidRDefault="002B05F2" w:rsidP="000A55AE">
            <w:pPr>
              <w:jc w:val="center"/>
            </w:pPr>
            <w:r>
              <w:t>20</w:t>
            </w:r>
            <w:r w:rsidR="00717940">
              <w:t>20</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74143528" w:rsidR="002B05F2" w:rsidRPr="00EB7BF0" w:rsidRDefault="002B05F2" w:rsidP="000A55AE">
            <w:pPr>
              <w:jc w:val="center"/>
            </w:pPr>
            <w:r>
              <w:t>201</w:t>
            </w:r>
            <w:r w:rsidR="00717940">
              <w:t>9</w:t>
            </w:r>
          </w:p>
        </w:tc>
      </w:tr>
      <w:tr w:rsidR="002B05F2" w:rsidRPr="00EB7BF0" w14:paraId="62D03BE8" w14:textId="77777777" w:rsidTr="002B05F2">
        <w:tc>
          <w:tcPr>
            <w:tcW w:w="6055" w:type="dxa"/>
          </w:tcPr>
          <w:p w14:paraId="54134F05" w14:textId="50A09B5D" w:rsidR="002B05F2" w:rsidRPr="00EB7BF0" w:rsidRDefault="002B05F2" w:rsidP="000A55AE">
            <w:pPr>
              <w:ind w:left="162"/>
            </w:pPr>
            <w:r>
              <w:t xml:space="preserve">Accrued </w:t>
            </w:r>
            <w:r w:rsidR="00780B16">
              <w:t>payroll</w:t>
            </w:r>
            <w:r w:rsidR="00962F17">
              <w:t xml:space="preserve"> and director fees</w:t>
            </w:r>
          </w:p>
        </w:tc>
        <w:tc>
          <w:tcPr>
            <w:tcW w:w="1842" w:type="dxa"/>
          </w:tcPr>
          <w:p w14:paraId="03CB4ED6" w14:textId="5FC40992" w:rsidR="002B05F2" w:rsidRPr="001A4CBD" w:rsidRDefault="009941FA" w:rsidP="000A55AE">
            <w:pPr>
              <w:tabs>
                <w:tab w:val="decimal" w:pos="1199"/>
              </w:tabs>
            </w:pPr>
            <w:r>
              <w:t xml:space="preserve">$ </w:t>
            </w:r>
            <w:r w:rsidR="00962F17">
              <w:t>551,762</w:t>
            </w:r>
          </w:p>
        </w:tc>
        <w:tc>
          <w:tcPr>
            <w:tcW w:w="1841" w:type="dxa"/>
          </w:tcPr>
          <w:p w14:paraId="299C0DF5" w14:textId="12BF4DA8" w:rsidR="002B05F2" w:rsidRPr="00EB7BF0" w:rsidRDefault="002B05F2" w:rsidP="000A55AE">
            <w:pPr>
              <w:tabs>
                <w:tab w:val="decimal" w:pos="1157"/>
              </w:tabs>
            </w:pPr>
            <w:r>
              <w:t>$</w:t>
            </w:r>
            <w:r w:rsidR="00C67C3F">
              <w:t xml:space="preserve"> </w:t>
            </w:r>
            <w:r w:rsidR="00717940">
              <w:t>1,</w:t>
            </w:r>
            <w:r w:rsidR="00962F17">
              <w:t>732,702</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34E492C5" w:rsidR="002B05F2" w:rsidRPr="001A4CBD" w:rsidRDefault="00962F17" w:rsidP="000A55AE">
            <w:pPr>
              <w:tabs>
                <w:tab w:val="decimal" w:pos="1199"/>
              </w:tabs>
            </w:pPr>
            <w:r>
              <w:t>27,823</w:t>
            </w:r>
          </w:p>
        </w:tc>
        <w:tc>
          <w:tcPr>
            <w:tcW w:w="1841" w:type="dxa"/>
            <w:tcBorders>
              <w:bottom w:val="single" w:sz="4" w:space="0" w:color="auto"/>
            </w:tcBorders>
          </w:tcPr>
          <w:p w14:paraId="366C406E" w14:textId="14067B76" w:rsidR="002B05F2" w:rsidRPr="00452D3C" w:rsidRDefault="00717940" w:rsidP="000A55AE">
            <w:pPr>
              <w:tabs>
                <w:tab w:val="decimal" w:pos="1157"/>
              </w:tabs>
            </w:pPr>
            <w:r>
              <w:t>118,338</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076E7241" w:rsidR="002B05F2" w:rsidRPr="001A4CBD" w:rsidRDefault="009941FA" w:rsidP="000A55AE">
            <w:pPr>
              <w:tabs>
                <w:tab w:val="decimal" w:pos="1199"/>
              </w:tabs>
            </w:pPr>
            <w:r>
              <w:t xml:space="preserve">$ </w:t>
            </w:r>
            <w:r w:rsidR="00962F17">
              <w:t>579,585</w:t>
            </w:r>
          </w:p>
        </w:tc>
        <w:tc>
          <w:tcPr>
            <w:tcW w:w="1841" w:type="dxa"/>
            <w:tcBorders>
              <w:top w:val="single" w:sz="4" w:space="0" w:color="auto"/>
              <w:bottom w:val="double" w:sz="4" w:space="0" w:color="auto"/>
            </w:tcBorders>
          </w:tcPr>
          <w:p w14:paraId="27A7728F" w14:textId="48F3260A" w:rsidR="002B05F2" w:rsidRPr="00EB7BF0" w:rsidRDefault="009941FA" w:rsidP="000A55AE">
            <w:pPr>
              <w:tabs>
                <w:tab w:val="decimal" w:pos="1157"/>
              </w:tabs>
            </w:pPr>
            <w:r>
              <w:t xml:space="preserve">$ </w:t>
            </w:r>
            <w:r w:rsidR="00717940">
              <w:t>1,851,040</w:t>
            </w:r>
          </w:p>
        </w:tc>
      </w:tr>
    </w:tbl>
    <w:p w14:paraId="0BB5984E" w14:textId="77777777" w:rsidR="001034BC" w:rsidRDefault="001034BC"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7B8A794D" w14:textId="77777777" w:rsidR="00780B16" w:rsidRDefault="00780B16" w:rsidP="000A55AE">
      <w:pPr>
        <w:suppressAutoHyphens/>
        <w:spacing w:line="240" w:lineRule="exact"/>
        <w:rPr>
          <w:rFonts w:ascii="CG Times (WN)" w:hAnsi="CG Times (WN)"/>
        </w:rPr>
      </w:pPr>
      <w:bookmarkStart w:id="18" w:name="_Hlk511052867"/>
    </w:p>
    <w:p w14:paraId="78272D87" w14:textId="0479ACCE" w:rsidR="00C5141A" w:rsidRPr="008219AB" w:rsidRDefault="002A07F3" w:rsidP="00C5141A">
      <w:pPr>
        <w:suppressAutoHyphens/>
        <w:spacing w:line="240" w:lineRule="exact"/>
        <w:rPr>
          <w:rFonts w:ascii="CG Times (WN)" w:hAnsi="CG Times (WN)"/>
          <w:i/>
          <w:iCs/>
        </w:rPr>
      </w:pPr>
      <w:bookmarkStart w:id="19" w:name="_Hlk536784938"/>
      <w:bookmarkEnd w:id="18"/>
      <w:r w:rsidRPr="002A07F3">
        <w:rPr>
          <w:rFonts w:ascii="CG Times (WN)" w:hAnsi="CG Times (WN)"/>
          <w:i/>
          <w:iCs/>
        </w:rPr>
        <w:t>GRA Note</w:t>
      </w:r>
      <w:r w:rsidR="008219AB">
        <w:rPr>
          <w:rFonts w:ascii="CG Times (WN)" w:hAnsi="CG Times (WN)"/>
          <w:i/>
          <w:iCs/>
        </w:rPr>
        <w:t xml:space="preserve"> – </w:t>
      </w:r>
      <w:r w:rsidR="00C5141A" w:rsidRPr="00C5141A">
        <w:rPr>
          <w:rFonts w:ascii="CG Times (WN)" w:hAnsi="CG Times (WN)"/>
        </w:rPr>
        <w:t xml:space="preserve">On February 28, 2018, we entered into a Senior Note Purchase Agreement with Georgia Research Alliance, Inc. (GRA) pursuant to which we issued a five-year Senior Promissory Note (the “GRA Note”) to GRA in exchange for $50,000. The GRA Note bears an annual interest rate of 5%, payable monthly. </w:t>
      </w:r>
      <w:r w:rsidR="002D1A5A">
        <w:rPr>
          <w:rFonts w:ascii="CG Times (WN)" w:hAnsi="CG Times (WN)"/>
        </w:rPr>
        <w:t>Future p</w:t>
      </w:r>
      <w:r w:rsidR="00C5141A" w:rsidRPr="00C5141A">
        <w:rPr>
          <w:rFonts w:ascii="CG Times (WN)" w:hAnsi="CG Times (WN)"/>
        </w:rPr>
        <w:t xml:space="preserve">rincipal repayments are expected to be </w:t>
      </w:r>
      <w:r>
        <w:rPr>
          <w:rFonts w:ascii="CG Times (WN)" w:hAnsi="CG Times (WN)"/>
        </w:rPr>
        <w:t>$</w:t>
      </w:r>
      <w:r w:rsidR="006977D7">
        <w:rPr>
          <w:rFonts w:ascii="CG Times (WN)" w:hAnsi="CG Times (WN)"/>
        </w:rPr>
        <w:t>3,026</w:t>
      </w:r>
      <w:r w:rsidR="00C5141A" w:rsidRPr="00C5141A">
        <w:rPr>
          <w:rFonts w:ascii="CG Times (WN)" w:hAnsi="CG Times (WN)"/>
        </w:rPr>
        <w:t xml:space="preserve"> </w:t>
      </w:r>
      <w:r w:rsidR="00C5141A">
        <w:rPr>
          <w:rFonts w:ascii="CG Times (WN)" w:hAnsi="CG Times (WN)"/>
        </w:rPr>
        <w:t>for the remainder of</w:t>
      </w:r>
      <w:r w:rsidR="00C5141A" w:rsidRPr="00C5141A">
        <w:rPr>
          <w:rFonts w:ascii="CG Times (WN)" w:hAnsi="CG Times (WN)"/>
        </w:rPr>
        <w:t xml:space="preserve"> 20</w:t>
      </w:r>
      <w:r w:rsidR="00CD2A74">
        <w:rPr>
          <w:rFonts w:ascii="CG Times (WN)" w:hAnsi="CG Times (WN)"/>
        </w:rPr>
        <w:t>20</w:t>
      </w:r>
      <w:r w:rsidR="009F771E">
        <w:rPr>
          <w:rFonts w:ascii="CG Times (WN)" w:hAnsi="CG Times (WN)"/>
        </w:rPr>
        <w:t>,</w:t>
      </w:r>
      <w:r w:rsidR="00C5141A" w:rsidRPr="00C5141A">
        <w:rPr>
          <w:rFonts w:ascii="CG Times (WN)" w:hAnsi="CG Times (WN)"/>
        </w:rPr>
        <w:t xml:space="preserve"> $</w:t>
      </w:r>
      <w:r w:rsidR="00CD2A74">
        <w:rPr>
          <w:rFonts w:ascii="CG Times (WN)" w:hAnsi="CG Times (WN)"/>
        </w:rPr>
        <w:t>12,487</w:t>
      </w:r>
      <w:r w:rsidR="00C5141A" w:rsidRPr="00C5141A">
        <w:rPr>
          <w:rFonts w:ascii="CG Times (WN)" w:hAnsi="CG Times (WN)"/>
        </w:rPr>
        <w:t xml:space="preserve"> in 202</w:t>
      </w:r>
      <w:r w:rsidR="00CD2A74">
        <w:rPr>
          <w:rFonts w:ascii="CG Times (WN)" w:hAnsi="CG Times (WN)"/>
        </w:rPr>
        <w:t>1</w:t>
      </w:r>
      <w:r w:rsidR="00C5141A" w:rsidRPr="00C5141A">
        <w:rPr>
          <w:rFonts w:ascii="CG Times (WN)" w:hAnsi="CG Times (WN)"/>
        </w:rPr>
        <w:t xml:space="preserve">, </w:t>
      </w:r>
      <w:r w:rsidR="00CD2A74">
        <w:rPr>
          <w:rFonts w:ascii="CG Times (WN)" w:hAnsi="CG Times (WN)"/>
        </w:rPr>
        <w:t xml:space="preserve">$13,126 in </w:t>
      </w:r>
      <w:r w:rsidR="00C5141A" w:rsidRPr="00C5141A">
        <w:rPr>
          <w:rFonts w:ascii="CG Times (WN)" w:hAnsi="CG Times (WN)"/>
        </w:rPr>
        <w:t>2022, and $2,</w:t>
      </w:r>
      <w:r w:rsidR="00CD2A74">
        <w:rPr>
          <w:rFonts w:ascii="CG Times (WN)" w:hAnsi="CG Times (WN)"/>
        </w:rPr>
        <w:t>252</w:t>
      </w:r>
      <w:r w:rsidR="00C5141A" w:rsidRPr="00C5141A">
        <w:rPr>
          <w:rFonts w:ascii="CG Times (WN)" w:hAnsi="CG Times (WN)"/>
        </w:rPr>
        <w:t xml:space="preserve"> in 2023. </w:t>
      </w:r>
      <w:r w:rsidRPr="00C5141A">
        <w:rPr>
          <w:rFonts w:ascii="CG Times (WN)" w:hAnsi="CG Times (WN)"/>
        </w:rPr>
        <w:t xml:space="preserve">Interest expense related to the GRA Note </w:t>
      </w:r>
      <w:bookmarkStart w:id="20" w:name="_Hlk5354743"/>
      <w:r w:rsidRPr="00C5141A">
        <w:rPr>
          <w:rFonts w:ascii="CG Times (WN)" w:hAnsi="CG Times (WN)"/>
        </w:rPr>
        <w:t xml:space="preserve">for </w:t>
      </w:r>
      <w:r>
        <w:rPr>
          <w:rFonts w:ascii="CG Times (WN)" w:hAnsi="CG Times (WN)"/>
        </w:rPr>
        <w:t xml:space="preserve">the three-month and </w:t>
      </w:r>
      <w:r w:rsidR="006977D7">
        <w:rPr>
          <w:rFonts w:ascii="CG Times (WN)" w:hAnsi="CG Times (WN)"/>
        </w:rPr>
        <w:t>nine</w:t>
      </w:r>
      <w:r>
        <w:rPr>
          <w:rFonts w:ascii="CG Times (WN)" w:hAnsi="CG Times (WN)"/>
        </w:rPr>
        <w:t xml:space="preserve">-month periods ended </w:t>
      </w:r>
      <w:r w:rsidR="00EF4C97">
        <w:rPr>
          <w:rFonts w:ascii="CG Times (WN)" w:hAnsi="CG Times (WN)"/>
        </w:rPr>
        <w:t>September</w:t>
      </w:r>
      <w:r>
        <w:rPr>
          <w:rFonts w:ascii="CG Times (WN)" w:hAnsi="CG Times (WN)"/>
        </w:rPr>
        <w:t xml:space="preserve"> 30, 2020 </w:t>
      </w:r>
      <w:r w:rsidRPr="00C5141A">
        <w:rPr>
          <w:rFonts w:ascii="CG Times (WN)" w:hAnsi="CG Times (WN)"/>
        </w:rPr>
        <w:t xml:space="preserve">was </w:t>
      </w:r>
      <w:r>
        <w:rPr>
          <w:rFonts w:ascii="CG Times (WN)" w:hAnsi="CG Times (WN)"/>
        </w:rPr>
        <w:t>$</w:t>
      </w:r>
      <w:r w:rsidR="00EF4C97">
        <w:rPr>
          <w:rFonts w:ascii="CG Times (WN)" w:hAnsi="CG Times (WN)"/>
        </w:rPr>
        <w:t>411</w:t>
      </w:r>
      <w:r>
        <w:rPr>
          <w:rFonts w:ascii="CG Times (WN)" w:hAnsi="CG Times (WN)"/>
        </w:rPr>
        <w:t xml:space="preserve"> and </w:t>
      </w:r>
      <w:r w:rsidRPr="00C5141A">
        <w:rPr>
          <w:rFonts w:ascii="CG Times (WN)" w:hAnsi="CG Times (WN)"/>
        </w:rPr>
        <w:t>$</w:t>
      </w:r>
      <w:bookmarkEnd w:id="20"/>
      <w:r w:rsidR="00EF4C97">
        <w:rPr>
          <w:rFonts w:ascii="CG Times (WN)" w:hAnsi="CG Times (WN)"/>
        </w:rPr>
        <w:t>1,344</w:t>
      </w:r>
      <w:r>
        <w:rPr>
          <w:rFonts w:ascii="CG Times (WN)" w:hAnsi="CG Times (WN)"/>
        </w:rPr>
        <w:t xml:space="preserve">, respectively, </w:t>
      </w:r>
      <w:bookmarkStart w:id="21" w:name="_Hlk12612730"/>
      <w:r>
        <w:rPr>
          <w:rFonts w:ascii="CG Times (WN)" w:hAnsi="CG Times (WN)"/>
        </w:rPr>
        <w:t>as compared to $</w:t>
      </w:r>
      <w:r w:rsidR="006977D7">
        <w:rPr>
          <w:rFonts w:ascii="CG Times (WN)" w:hAnsi="CG Times (WN)"/>
        </w:rPr>
        <w:t>547</w:t>
      </w:r>
      <w:r>
        <w:rPr>
          <w:rFonts w:ascii="CG Times (WN)" w:hAnsi="CG Times (WN)"/>
        </w:rPr>
        <w:t xml:space="preserve"> and $</w:t>
      </w:r>
      <w:r w:rsidR="006977D7">
        <w:rPr>
          <w:rFonts w:ascii="CG Times (WN)" w:hAnsi="CG Times (WN)"/>
        </w:rPr>
        <w:t>1,753</w:t>
      </w:r>
      <w:r>
        <w:rPr>
          <w:rFonts w:ascii="CG Times (WN)" w:hAnsi="CG Times (WN)"/>
        </w:rPr>
        <w:t>, respectively, for the same periods of 201</w:t>
      </w:r>
      <w:bookmarkEnd w:id="21"/>
      <w:r>
        <w:rPr>
          <w:rFonts w:ascii="CG Times (WN)" w:hAnsi="CG Times (WN)"/>
        </w:rPr>
        <w:t>9</w:t>
      </w:r>
      <w:r w:rsidR="00C5141A" w:rsidRPr="00C5141A">
        <w:rPr>
          <w:rFonts w:ascii="CG Times (WN)" w:hAnsi="CG Times (WN)"/>
        </w:rPr>
        <w:t>.</w:t>
      </w:r>
    </w:p>
    <w:p w14:paraId="324B24E9" w14:textId="1FB02185" w:rsidR="002A07F3" w:rsidRDefault="002A07F3" w:rsidP="00C5141A">
      <w:pPr>
        <w:suppressAutoHyphens/>
        <w:spacing w:line="240" w:lineRule="exact"/>
        <w:rPr>
          <w:rFonts w:ascii="CG Times (WN)" w:hAnsi="CG Times (WN)"/>
        </w:rPr>
      </w:pPr>
    </w:p>
    <w:p w14:paraId="48BF6BC2" w14:textId="1C542335" w:rsidR="00780B16" w:rsidRPr="008219AB" w:rsidRDefault="001F207F" w:rsidP="001F207F">
      <w:pPr>
        <w:rPr>
          <w:i/>
        </w:rPr>
      </w:pPr>
      <w:r>
        <w:rPr>
          <w:i/>
        </w:rPr>
        <w:t>CARES Act Paycheck Protection Program Loan</w:t>
      </w:r>
      <w:r w:rsidR="008219AB">
        <w:rPr>
          <w:i/>
        </w:rPr>
        <w:t xml:space="preserve"> – </w:t>
      </w:r>
      <w:r>
        <w:rPr>
          <w:iCs/>
        </w:rPr>
        <w:t xml:space="preserve">On April 17, 2020, we received a $170,200 bank loan backed by the United States Small Business Administration pursuant to the Paycheck Protection Program (PPP) provisions of the Coronavirus Aid, Relief, and Economic Security (CARES) Act. </w:t>
      </w:r>
      <w:r>
        <w:t xml:space="preserve">The loan bears an annual interest rate of one percent and is due April 17, 2022. Commencing November 17, 2020, monthly payments of $9,578.16 will be due. Amounts due may be prepaid without penalty. </w:t>
      </w:r>
      <w:r w:rsidR="00B04966">
        <w:t>We accrued interest expense associated with the PPP Loan of $</w:t>
      </w:r>
      <w:r w:rsidR="00EF4C97">
        <w:t>429 and $774</w:t>
      </w:r>
      <w:r w:rsidR="00B04966">
        <w:t xml:space="preserve"> for the three-month</w:t>
      </w:r>
      <w:r w:rsidR="00EF4C97">
        <w:t xml:space="preserve"> and nine-month</w:t>
      </w:r>
      <w:r w:rsidR="00B04966">
        <w:t xml:space="preserve"> period</w:t>
      </w:r>
      <w:r w:rsidR="00EF4C97">
        <w:t>s</w:t>
      </w:r>
      <w:r w:rsidR="00B04966">
        <w:t xml:space="preserve"> ended </w:t>
      </w:r>
      <w:r w:rsidR="00EF4C97">
        <w:t>September</w:t>
      </w:r>
      <w:r w:rsidR="00B04966">
        <w:t xml:space="preserve"> 30, 2020</w:t>
      </w:r>
      <w:r w:rsidR="00EF4C97">
        <w:t>, respectively</w:t>
      </w:r>
      <w:r w:rsidR="00B04966">
        <w:t>.</w:t>
      </w:r>
      <w:r w:rsidR="00BF6206" w:rsidRPr="00BF6206">
        <w:t xml:space="preserve"> </w:t>
      </w:r>
      <w:r w:rsidR="00BF6206">
        <w:t>In October 2020, we applied to the lender to have the loan forgiven, based upon our submission of qualifying information regarding eligible expenses</w:t>
      </w:r>
      <w:r w:rsidR="008219AB">
        <w:t>;</w:t>
      </w:r>
      <w:r w:rsidR="008219AB" w:rsidRPr="008219AB">
        <w:t xml:space="preserve"> </w:t>
      </w:r>
      <w:r w:rsidR="008219AB">
        <w:t>as of the date of this report our application has not been processed.</w:t>
      </w:r>
    </w:p>
    <w:p w14:paraId="28E63DBF" w14:textId="77777777" w:rsidR="002A07F3" w:rsidRDefault="002A07F3" w:rsidP="00C5141A">
      <w:pPr>
        <w:suppressAutoHyphens/>
        <w:spacing w:line="240" w:lineRule="exact"/>
        <w:rPr>
          <w:rFonts w:ascii="CG Times (WN)" w:hAnsi="CG Times (WN)"/>
        </w:rPr>
      </w:pPr>
    </w:p>
    <w:p w14:paraId="0702A7F7" w14:textId="0C9AF501" w:rsidR="002A07F3" w:rsidRPr="005E38F4" w:rsidRDefault="005E38F4" w:rsidP="005E38F4">
      <w:pPr>
        <w:suppressAutoHyphens/>
        <w:spacing w:line="240" w:lineRule="exact"/>
        <w:rPr>
          <w:rFonts w:ascii="CG Times (WN)" w:hAnsi="CG Times (WN)"/>
          <w:b/>
          <w:bCs/>
        </w:rPr>
      </w:pPr>
      <w:r>
        <w:rPr>
          <w:rFonts w:ascii="CG Times (WN)" w:hAnsi="CG Times (WN)"/>
          <w:b/>
          <w:bCs/>
        </w:rPr>
        <w:t>8.</w:t>
      </w:r>
      <w:r>
        <w:rPr>
          <w:rFonts w:ascii="CG Times (WN)" w:hAnsi="CG Times (WN)"/>
          <w:b/>
          <w:bCs/>
        </w:rPr>
        <w:tab/>
      </w:r>
      <w:r w:rsidR="00AC579D" w:rsidRPr="005E38F4">
        <w:rPr>
          <w:rFonts w:ascii="CG Times (WN)" w:hAnsi="CG Times (WN)"/>
          <w:b/>
          <w:bCs/>
        </w:rPr>
        <w:t>Convertible Debentures</w:t>
      </w:r>
    </w:p>
    <w:p w14:paraId="4FFF5BD4" w14:textId="77777777" w:rsidR="002A07F3" w:rsidRDefault="002A07F3" w:rsidP="00C5141A">
      <w:pPr>
        <w:suppressAutoHyphens/>
        <w:spacing w:line="240" w:lineRule="exact"/>
        <w:rPr>
          <w:rFonts w:ascii="CG Times (WN)" w:hAnsi="CG Times (WN)"/>
        </w:rPr>
      </w:pPr>
    </w:p>
    <w:p w14:paraId="5361BF7D" w14:textId="62D77727" w:rsidR="00861C2F" w:rsidRPr="00861C2F" w:rsidRDefault="00B10608" w:rsidP="00861C2F">
      <w:r w:rsidRPr="00210E53">
        <w:t xml:space="preserve">On June </w:t>
      </w:r>
      <w:r>
        <w:t>26</w:t>
      </w:r>
      <w:r w:rsidRPr="00210E53">
        <w:t xml:space="preserve"> 2020, </w:t>
      </w:r>
      <w:r>
        <w:t>we</w:t>
      </w:r>
      <w:r w:rsidRPr="00210E53">
        <w:t xml:space="preserve"> entered into a Securities Purchase Agreement with </w:t>
      </w:r>
      <w:r w:rsidR="00747A8C">
        <w:t xml:space="preserve">two </w:t>
      </w:r>
      <w:r>
        <w:t>institutional investor</w:t>
      </w:r>
      <w:r w:rsidR="00747A8C">
        <w:t>s</w:t>
      </w:r>
      <w:r>
        <w:t>,</w:t>
      </w:r>
      <w:r w:rsidRPr="00210E53">
        <w:t xml:space="preserve"> pursuant to which </w:t>
      </w:r>
      <w:r>
        <w:t>we</w:t>
      </w:r>
      <w:r w:rsidRPr="00210E53">
        <w:t xml:space="preserve"> received </w:t>
      </w:r>
      <w:r>
        <w:t xml:space="preserve">gross proceeds of </w:t>
      </w:r>
      <w:r w:rsidRPr="00210E53">
        <w:t>$1,050,000 in exchange for the issuance of:</w:t>
      </w:r>
      <w:r w:rsidR="008219AB">
        <w:t xml:space="preserve"> </w:t>
      </w:r>
      <w:r>
        <w:t xml:space="preserve">(i) </w:t>
      </w:r>
      <w:r w:rsidRPr="00B10608">
        <w:t>5% Original Issue Discount Senior Secured Convertible Debenture</w:t>
      </w:r>
      <w:r w:rsidR="00EC50DD">
        <w:t>s</w:t>
      </w:r>
      <w:r w:rsidRPr="00B10608">
        <w:t xml:space="preserve"> (the “</w:t>
      </w:r>
      <w:r w:rsidR="00747A8C">
        <w:t xml:space="preserve">Convertible </w:t>
      </w:r>
      <w:r w:rsidRPr="00B10608">
        <w:t>Debenture</w:t>
      </w:r>
      <w:r w:rsidR="00747A8C">
        <w:t>s</w:t>
      </w:r>
      <w:r w:rsidRPr="00B10608">
        <w:t xml:space="preserve">”) in the </w:t>
      </w:r>
      <w:r w:rsidR="00EC50DD">
        <w:t xml:space="preserve">aggregate </w:t>
      </w:r>
      <w:r w:rsidRPr="00B10608">
        <w:t>principal amount of $1,200,000; and</w:t>
      </w:r>
      <w:r>
        <w:t xml:space="preserve"> (ii) </w:t>
      </w:r>
      <w:r w:rsidR="00484CDE">
        <w:t>f</w:t>
      </w:r>
      <w:r w:rsidRPr="00B10608">
        <w:t>ive-year warrant</w:t>
      </w:r>
      <w:r w:rsidR="00EC50DD">
        <w:t>s</w:t>
      </w:r>
      <w:r w:rsidRPr="00B10608">
        <w:t xml:space="preserve"> (the “</w:t>
      </w:r>
      <w:r w:rsidR="00747A8C">
        <w:t xml:space="preserve">June 2020 </w:t>
      </w:r>
      <w:r w:rsidRPr="00B10608">
        <w:t>Warrant</w:t>
      </w:r>
      <w:r w:rsidR="00747A8C">
        <w:t>s</w:t>
      </w:r>
      <w:r w:rsidRPr="00B10608">
        <w:t>”) to purchase</w:t>
      </w:r>
      <w:r w:rsidR="00EC50DD">
        <w:t xml:space="preserve"> an aggregate of</w:t>
      </w:r>
      <w:r w:rsidRPr="00B10608">
        <w:t xml:space="preserve"> </w:t>
      </w:r>
      <w:r w:rsidR="00A3131A">
        <w:t>120</w:t>
      </w:r>
      <w:r w:rsidRPr="00B10608">
        <w:t xml:space="preserve">,000 shares of </w:t>
      </w:r>
      <w:r>
        <w:t>our</w:t>
      </w:r>
      <w:r w:rsidRPr="00B10608">
        <w:t xml:space="preserve"> common stock at an exercise price of $</w:t>
      </w:r>
      <w:r w:rsidR="00A3131A">
        <w:t>10.00</w:t>
      </w:r>
      <w:r w:rsidRPr="00B10608">
        <w:t xml:space="preserve"> per share.</w:t>
      </w:r>
      <w:r>
        <w:t xml:space="preserve"> </w:t>
      </w:r>
      <w:r w:rsidR="008E0FBD">
        <w:t xml:space="preserve">Net proceeds after deducting the original issue discount, finder’s fee and other debt issuance costs was $888,500.  </w:t>
      </w:r>
      <w:r w:rsidR="003A47F2">
        <w:t xml:space="preserve">As a result of the public offering of our securities described in Note 10, on September 29, 2020 the exercise price of the June 2020 Warrants was reduced to $5.00. </w:t>
      </w:r>
      <w:r w:rsidRPr="00210E53">
        <w:t xml:space="preserve">The </w:t>
      </w:r>
      <w:r w:rsidR="00747A8C">
        <w:t xml:space="preserve">Convertible </w:t>
      </w:r>
      <w:r w:rsidRPr="00210E53">
        <w:t>Debenture</w:t>
      </w:r>
      <w:r w:rsidR="00747A8C">
        <w:t>s</w:t>
      </w:r>
      <w:r w:rsidRPr="00210E53">
        <w:t xml:space="preserve"> </w:t>
      </w:r>
      <w:r w:rsidR="00871521">
        <w:t>had an original maturity</w:t>
      </w:r>
      <w:r w:rsidRPr="00210E53">
        <w:t xml:space="preserve"> </w:t>
      </w:r>
      <w:r w:rsidR="00871521">
        <w:t>of</w:t>
      </w:r>
      <w:r w:rsidRPr="00210E53">
        <w:t xml:space="preserve"> </w:t>
      </w:r>
      <w:r>
        <w:t>twelve</w:t>
      </w:r>
      <w:r w:rsidRPr="00210E53">
        <w:t xml:space="preserve"> months</w:t>
      </w:r>
      <w:r w:rsidR="00871521">
        <w:t xml:space="preserve">, bore </w:t>
      </w:r>
      <w:r w:rsidRPr="00210E53">
        <w:t xml:space="preserve">interest </w:t>
      </w:r>
      <w:r>
        <w:t xml:space="preserve">at a </w:t>
      </w:r>
      <w:r w:rsidRPr="00210E53">
        <w:t>rate of 5% per annum</w:t>
      </w:r>
      <w:r w:rsidR="00871521">
        <w:t>, and were secured by substantially all of the Company’s assets until such time as they were paid or converted in full.</w:t>
      </w:r>
    </w:p>
    <w:p w14:paraId="3F5AEE2F" w14:textId="7EC921A7" w:rsidR="00871521" w:rsidRDefault="00871521" w:rsidP="00B10608"/>
    <w:p w14:paraId="564929B7" w14:textId="4AE71D12" w:rsidR="00B10608" w:rsidRPr="00210E53" w:rsidRDefault="008219AB" w:rsidP="00B10608">
      <w:r>
        <w:t>T</w:t>
      </w:r>
      <w:r w:rsidR="00EA4585">
        <w:t xml:space="preserve">he Convertible Debentures were mandatorily convertible </w:t>
      </w:r>
      <w:r w:rsidR="00B10608" w:rsidRPr="00210E53">
        <w:t xml:space="preserve">upon </w:t>
      </w:r>
      <w:r w:rsidR="00B10608">
        <w:t>our</w:t>
      </w:r>
      <w:r w:rsidR="00B10608" w:rsidRPr="00210E53">
        <w:t xml:space="preserve"> consummation of a public offering of common stock with gross proceeds </w:t>
      </w:r>
      <w:r w:rsidR="00B10608">
        <w:t>of</w:t>
      </w:r>
      <w:r w:rsidR="00B10608" w:rsidRPr="00210E53">
        <w:t xml:space="preserve"> $6,000,000 </w:t>
      </w:r>
      <w:r w:rsidR="00B10608">
        <w:t xml:space="preserve">or more, and </w:t>
      </w:r>
      <w:r w:rsidR="00B10608" w:rsidRPr="00210E53">
        <w:t>which result</w:t>
      </w:r>
      <w:r>
        <w:t>ed</w:t>
      </w:r>
      <w:r w:rsidR="00B10608" w:rsidRPr="00210E53">
        <w:t xml:space="preserve"> in the listing of </w:t>
      </w:r>
      <w:r w:rsidR="00B10608">
        <w:t xml:space="preserve">our </w:t>
      </w:r>
      <w:r w:rsidR="00B10608" w:rsidRPr="00210E53">
        <w:t>common stock on a national securities exchange</w:t>
      </w:r>
      <w:r w:rsidR="00FC7840">
        <w:t xml:space="preserve"> (a “Qualified Offering”)</w:t>
      </w:r>
      <w:r w:rsidR="00B10608" w:rsidRPr="00210E53">
        <w:t>. The conversion price</w:t>
      </w:r>
      <w:r w:rsidR="00861C2F">
        <w:t xml:space="preserve"> upon </w:t>
      </w:r>
      <w:r w:rsidR="00FC7840">
        <w:t xml:space="preserve">the occurrence of </w:t>
      </w:r>
      <w:r w:rsidR="00861C2F">
        <w:t xml:space="preserve">a </w:t>
      </w:r>
      <w:r w:rsidR="00FC7840">
        <w:t>Qualified Offering</w:t>
      </w:r>
      <w:r w:rsidR="00B10608" w:rsidRPr="00210E53">
        <w:t xml:space="preserve"> </w:t>
      </w:r>
      <w:r w:rsidR="00861C2F">
        <w:t>was</w:t>
      </w:r>
      <w:r w:rsidR="00B10608" w:rsidRPr="00210E53">
        <w:t xml:space="preserve"> equal to the lower of (i) </w:t>
      </w:r>
      <w:r w:rsidR="00202722">
        <w:t>$</w:t>
      </w:r>
      <w:r w:rsidR="00A3131A">
        <w:t>10.00</w:t>
      </w:r>
      <w:r w:rsidR="00202722">
        <w:t xml:space="preserve"> per share or</w:t>
      </w:r>
      <w:r w:rsidR="00B10608" w:rsidRPr="00210E53">
        <w:t xml:space="preserve"> (ii) 80% of the offering price.</w:t>
      </w:r>
      <w:r w:rsidR="00E9641C" w:rsidRPr="00E9641C">
        <w:t xml:space="preserve"> </w:t>
      </w:r>
      <w:r w:rsidR="00E9641C" w:rsidRPr="00861C2F">
        <w:t xml:space="preserve">The </w:t>
      </w:r>
      <w:r w:rsidR="00E9641C">
        <w:t>conversion provisions of the Convertible</w:t>
      </w:r>
      <w:r w:rsidR="00E9641C" w:rsidRPr="00861C2F">
        <w:t xml:space="preserve"> Debentures were subject to a “conversion blocker” such that each of the </w:t>
      </w:r>
      <w:r w:rsidR="00E9641C">
        <w:t>p</w:t>
      </w:r>
      <w:r w:rsidR="00E9641C" w:rsidRPr="00861C2F">
        <w:t xml:space="preserve">urchasers could not convert the </w:t>
      </w:r>
      <w:r w:rsidR="00E9641C">
        <w:t>Convertible</w:t>
      </w:r>
      <w:r w:rsidR="00E9641C" w:rsidRPr="00861C2F">
        <w:t xml:space="preserve"> Debentures to the extent that the conversion would result in the </w:t>
      </w:r>
      <w:r w:rsidR="00E9641C">
        <w:t>p</w:t>
      </w:r>
      <w:r w:rsidR="00E9641C" w:rsidRPr="00861C2F">
        <w:t xml:space="preserve">urchaser and its affiliates holding more than 4.99% of </w:t>
      </w:r>
      <w:r w:rsidR="00E9641C">
        <w:t>our</w:t>
      </w:r>
      <w:r w:rsidR="00E9641C" w:rsidRPr="00861C2F">
        <w:t xml:space="preserve"> outstanding common</w:t>
      </w:r>
      <w:r w:rsidR="00E9641C">
        <w:t xml:space="preserve"> stock</w:t>
      </w:r>
      <w:r>
        <w:t>.</w:t>
      </w:r>
    </w:p>
    <w:p w14:paraId="4FD22AB8" w14:textId="77777777" w:rsidR="00B10608" w:rsidRPr="00210E53" w:rsidRDefault="00B10608" w:rsidP="00B10608"/>
    <w:p w14:paraId="6B84A643" w14:textId="54AF5625" w:rsidR="00A67D75" w:rsidRDefault="00FC7840" w:rsidP="00A67D75">
      <w:bookmarkStart w:id="22" w:name="_Hlk53599344"/>
      <w:r w:rsidRPr="00FC7840">
        <w:t xml:space="preserve">On </w:t>
      </w:r>
      <w:r>
        <w:t>September</w:t>
      </w:r>
      <w:r w:rsidRPr="00FC7840">
        <w:t xml:space="preserve"> 2</w:t>
      </w:r>
      <w:r>
        <w:t>9</w:t>
      </w:r>
      <w:r w:rsidRPr="00FC7840">
        <w:t xml:space="preserve">, 2020, upon </w:t>
      </w:r>
      <w:r>
        <w:t xml:space="preserve">our </w:t>
      </w:r>
      <w:r w:rsidRPr="00FC7840">
        <w:t xml:space="preserve">consummation of the public offering </w:t>
      </w:r>
      <w:r>
        <w:t xml:space="preserve">discussed in Note </w:t>
      </w:r>
      <w:r w:rsidR="00C6119F">
        <w:t>10</w:t>
      </w:r>
      <w:r w:rsidRPr="00FC7840">
        <w:t xml:space="preserve">, the </w:t>
      </w:r>
      <w:r w:rsidR="003166C1">
        <w:t xml:space="preserve">$1,200,000 maturity value of the </w:t>
      </w:r>
      <w:r>
        <w:t>Convertible</w:t>
      </w:r>
      <w:r w:rsidRPr="00FC7840">
        <w:t xml:space="preserve"> Debentures </w:t>
      </w:r>
      <w:r w:rsidR="003166C1">
        <w:t xml:space="preserve">and $14,667 of accrued interest </w:t>
      </w:r>
      <w:r w:rsidRPr="00FC7840">
        <w:t>were automatically converted at $</w:t>
      </w:r>
      <w:r>
        <w:t>4.00</w:t>
      </w:r>
      <w:r w:rsidRPr="00FC7840">
        <w:t xml:space="preserve">, the </w:t>
      </w:r>
      <w:r>
        <w:t>Qualified Offering</w:t>
      </w:r>
      <w:r w:rsidRPr="00FC7840">
        <w:t xml:space="preserve"> </w:t>
      </w:r>
      <w:r>
        <w:t>discounted price</w:t>
      </w:r>
      <w:r w:rsidR="00FA1BB6">
        <w:t xml:space="preserve">, resulting in the issuance of </w:t>
      </w:r>
      <w:r w:rsidR="00FA1BB6" w:rsidRPr="00FC7840">
        <w:t>303,667 conversion units</w:t>
      </w:r>
      <w:r w:rsidR="003166C1">
        <w:t>.</w:t>
      </w:r>
      <w:r w:rsidR="00FA1BB6" w:rsidRPr="00FC7840">
        <w:t xml:space="preserve"> </w:t>
      </w:r>
      <w:r w:rsidR="003166C1">
        <w:t>Of the 303,66</w:t>
      </w:r>
      <w:r w:rsidR="009F771E">
        <w:t>8</w:t>
      </w:r>
      <w:r w:rsidR="003166C1">
        <w:t xml:space="preserve"> conversion units: (a) 177,62</w:t>
      </w:r>
      <w:r w:rsidR="009F771E">
        <w:t>6</w:t>
      </w:r>
      <w:r w:rsidR="003166C1">
        <w:t xml:space="preserve"> consist of one share of common stock and a warrant to purchase one share of common stoc</w:t>
      </w:r>
      <w:r w:rsidR="00A67D75">
        <w:t>k</w:t>
      </w:r>
      <w:r w:rsidR="00E9641C">
        <w:t xml:space="preserve"> (a “</w:t>
      </w:r>
      <w:r w:rsidR="007463EF">
        <w:t>Conversion</w:t>
      </w:r>
      <w:r w:rsidR="00E9641C">
        <w:t xml:space="preserve"> Warrant”)</w:t>
      </w:r>
      <w:r w:rsidR="003166C1">
        <w:t>, and (b) 126,042 consist of one pre-funded warrant to purchase one share of common stock</w:t>
      </w:r>
      <w:r w:rsidR="00E9641C">
        <w:t xml:space="preserve"> (a “Pre-Funded Warrant”)</w:t>
      </w:r>
      <w:r w:rsidR="003166C1">
        <w:t xml:space="preserve"> and a </w:t>
      </w:r>
      <w:r w:rsidR="007463EF">
        <w:t>Conversion</w:t>
      </w:r>
      <w:r w:rsidR="00E9641C">
        <w:t xml:space="preserve"> Warrant</w:t>
      </w:r>
      <w:r w:rsidR="003166C1">
        <w:t>.</w:t>
      </w:r>
      <w:r w:rsidR="00FA1BB6" w:rsidRPr="00FC7840">
        <w:t xml:space="preserve"> The</w:t>
      </w:r>
      <w:r w:rsidR="00E9641C">
        <w:t xml:space="preserve"> P</w:t>
      </w:r>
      <w:r w:rsidR="00FA1BB6" w:rsidRPr="00FC7840">
        <w:t>re-</w:t>
      </w:r>
      <w:r w:rsidR="00E9641C">
        <w:t>F</w:t>
      </w:r>
      <w:r w:rsidR="00FA1BB6" w:rsidRPr="00FC7840">
        <w:t xml:space="preserve">unded </w:t>
      </w:r>
      <w:r w:rsidR="00E9641C">
        <w:t>W</w:t>
      </w:r>
      <w:r w:rsidR="00FA1BB6" w:rsidRPr="00FC7840">
        <w:t xml:space="preserve">arrants provide the holder the right to purchase one share of Common Stock at an exercise price of $0.01 per share, are immediately exercisable and will not expire until exercised in full. The </w:t>
      </w:r>
      <w:r w:rsidR="00E9641C">
        <w:t>Unit Warrants</w:t>
      </w:r>
      <w:r w:rsidR="00FA1BB6" w:rsidRPr="00FC7840">
        <w:t xml:space="preserve"> provide the holder the right to purchase one share of </w:t>
      </w:r>
      <w:r w:rsidR="00A67D75">
        <w:t>c</w:t>
      </w:r>
      <w:r w:rsidR="00FA1BB6" w:rsidRPr="00FC7840">
        <w:t xml:space="preserve">ommon </w:t>
      </w:r>
      <w:r w:rsidR="00A67D75">
        <w:t>s</w:t>
      </w:r>
      <w:r w:rsidR="00FA1BB6" w:rsidRPr="00FC7840">
        <w:t>tock</w:t>
      </w:r>
      <w:r w:rsidR="00A67D75">
        <w:t xml:space="preserve">, are </w:t>
      </w:r>
      <w:r w:rsidR="00FA1BB6" w:rsidRPr="00FC7840">
        <w:t xml:space="preserve">immediately exercisable at an exercise price of $5.00 per </w:t>
      </w:r>
      <w:r w:rsidR="008219AB" w:rsidRPr="00FC7840">
        <w:t>share</w:t>
      </w:r>
      <w:r w:rsidR="008219AB">
        <w:t xml:space="preserve"> and</w:t>
      </w:r>
      <w:r w:rsidR="00FA1BB6" w:rsidRPr="00FC7840">
        <w:t xml:space="preserve"> expire five years after the issuance date.</w:t>
      </w:r>
    </w:p>
    <w:bookmarkEnd w:id="22"/>
    <w:p w14:paraId="11716117" w14:textId="77777777" w:rsidR="00A67D75" w:rsidRDefault="00A67D75" w:rsidP="00A67D75"/>
    <w:p w14:paraId="247F1476" w14:textId="049EEA17" w:rsidR="00FC7840" w:rsidRDefault="003166C1" w:rsidP="00A67D75">
      <w:r>
        <w:t>Upon the issuance of the Convertible Debentures, we</w:t>
      </w:r>
      <w:r w:rsidRPr="00E2294A">
        <w:t xml:space="preserve"> recorded a </w:t>
      </w:r>
      <w:r>
        <w:t xml:space="preserve">debt discount of </w:t>
      </w:r>
      <w:r w:rsidRPr="00E2294A">
        <w:t>$</w:t>
      </w:r>
      <w:r>
        <w:t>769,334</w:t>
      </w:r>
      <w:r w:rsidRPr="00E2294A">
        <w:t xml:space="preserve">, including </w:t>
      </w:r>
      <w:r>
        <w:t xml:space="preserve">the $150,000 original issue discount, </w:t>
      </w:r>
      <w:r w:rsidRPr="00E2294A">
        <w:t>$</w:t>
      </w:r>
      <w:r>
        <w:t>457,834</w:t>
      </w:r>
      <w:r w:rsidRPr="00E2294A">
        <w:t xml:space="preserve"> </w:t>
      </w:r>
      <w:r>
        <w:t xml:space="preserve">of </w:t>
      </w:r>
      <w:r w:rsidRPr="00E2294A">
        <w:t xml:space="preserve">fair value </w:t>
      </w:r>
      <w:r>
        <w:t>allocated to the warrants (recorded as Additional Paid-in Capital)</w:t>
      </w:r>
      <w:r w:rsidRPr="00E2294A">
        <w:t xml:space="preserve">, </w:t>
      </w:r>
      <w:r>
        <w:t xml:space="preserve">and </w:t>
      </w:r>
      <w:r w:rsidRPr="00E2294A">
        <w:t>$</w:t>
      </w:r>
      <w:r>
        <w:t>161,50</w:t>
      </w:r>
      <w:r w:rsidR="00012A01">
        <w:t>0</w:t>
      </w:r>
      <w:r w:rsidRPr="00E2294A">
        <w:t xml:space="preserve"> of direct transaction costs incurred. </w:t>
      </w:r>
      <w:bookmarkStart w:id="23" w:name="_Hlk45565939"/>
      <w:r>
        <w:t xml:space="preserve"> </w:t>
      </w:r>
      <w:r w:rsidR="00A67D75">
        <w:t xml:space="preserve">The debt discount </w:t>
      </w:r>
      <w:r w:rsidR="00A67D75" w:rsidRPr="00A67D75">
        <w:t xml:space="preserve">was amortized to interest expense over the 12-month term of the Debentures using the effective interest rate method, up to the date of conversion.  </w:t>
      </w:r>
      <w:r w:rsidR="00A67D75">
        <w:t xml:space="preserve">As a result of the mandatory conversion of the Convertible Debentures on September 29, 2020, the remaining unamortized debt discount ($645,150) was </w:t>
      </w:r>
      <w:r w:rsidR="008219AB">
        <w:t>recorded as</w:t>
      </w:r>
      <w:r w:rsidR="00A67D75">
        <w:t xml:space="preserve"> Additional Paid-in Capital in the accompanying Consolidated Balance Sheets.  </w:t>
      </w:r>
      <w:r>
        <w:t>Interest expense associated with the Convertible Debentures was $133,148 and 138,851 for the three-month and nine-month periods ended September 30, 2020, respectively, including of $119,139 and $124,184, respectively, of debt discount amortization</w:t>
      </w:r>
      <w:bookmarkEnd w:id="23"/>
      <w:r>
        <w:t xml:space="preserve">. </w:t>
      </w:r>
    </w:p>
    <w:bookmarkEnd w:id="19"/>
    <w:p w14:paraId="3C1120E1" w14:textId="77777777" w:rsidR="00C5141A" w:rsidRDefault="00C5141A" w:rsidP="000A55AE">
      <w:pPr>
        <w:pStyle w:val="BodyText"/>
        <w:spacing w:after="0"/>
      </w:pPr>
    </w:p>
    <w:p w14:paraId="5B33366B" w14:textId="688E9193" w:rsidR="00723617" w:rsidRPr="001C6303" w:rsidRDefault="005E38F4" w:rsidP="000A55AE">
      <w:pPr>
        <w:pStyle w:val="ListNumbering"/>
        <w:spacing w:after="0"/>
      </w:pPr>
      <w:r>
        <w:t>9</w:t>
      </w:r>
      <w:r w:rsidR="00723617" w:rsidRPr="00B53172">
        <w:t>.</w:t>
      </w:r>
      <w:r w:rsidR="00723617" w:rsidRPr="00B53172">
        <w:tab/>
        <w:t>Commitments</w:t>
      </w:r>
    </w:p>
    <w:p w14:paraId="61568E0F" w14:textId="562A3283" w:rsidR="000A55AE" w:rsidRDefault="000A55AE" w:rsidP="000A55AE">
      <w:pPr>
        <w:pStyle w:val="BodyText"/>
        <w:spacing w:after="0"/>
      </w:pPr>
      <w:bookmarkStart w:id="24" w:name="_Toc197922410"/>
    </w:p>
    <w:p w14:paraId="2E09BC6B" w14:textId="652EF2C7" w:rsidR="00C20F8B" w:rsidRPr="00012A01" w:rsidRDefault="00C20F8B" w:rsidP="00C20F8B">
      <w:pPr>
        <w:rPr>
          <w:bCs/>
          <w:i/>
        </w:rPr>
      </w:pPr>
      <w:r w:rsidRPr="00C20F8B">
        <w:rPr>
          <w:i/>
        </w:rPr>
        <w:t>Lease Agreement</w:t>
      </w:r>
      <w:r w:rsidR="00012A01">
        <w:rPr>
          <w:bCs/>
          <w:i/>
        </w:rPr>
        <w:t xml:space="preserve"> -- </w:t>
      </w:r>
      <w:r w:rsidRPr="00C20F8B">
        <w:t>We lease approximately 8,400 square feet of office and laboratory space pursuant to an operating lease which expires on December 31, 20</w:t>
      </w:r>
      <w:r w:rsidR="00717940">
        <w:t>22</w:t>
      </w:r>
      <w:r w:rsidRPr="00C20F8B">
        <w:t xml:space="preserve">. </w:t>
      </w:r>
      <w:r w:rsidR="002A07F3" w:rsidRPr="00C20F8B">
        <w:t xml:space="preserve">Rent expense </w:t>
      </w:r>
      <w:r w:rsidR="002A07F3" w:rsidRPr="00C5141A">
        <w:rPr>
          <w:rFonts w:ascii="CG Times (WN)" w:hAnsi="CG Times (WN)"/>
        </w:rPr>
        <w:t xml:space="preserve">for </w:t>
      </w:r>
      <w:r w:rsidR="002A07F3">
        <w:rPr>
          <w:rFonts w:ascii="CG Times (WN)" w:hAnsi="CG Times (WN)"/>
        </w:rPr>
        <w:t xml:space="preserve">the three-month and </w:t>
      </w:r>
      <w:r w:rsidR="00EF4C97">
        <w:rPr>
          <w:rFonts w:ascii="CG Times (WN)" w:hAnsi="CG Times (WN)"/>
        </w:rPr>
        <w:t>nine</w:t>
      </w:r>
      <w:r w:rsidR="002A07F3">
        <w:rPr>
          <w:rFonts w:ascii="CG Times (WN)" w:hAnsi="CG Times (WN)"/>
        </w:rPr>
        <w:t xml:space="preserve">-month periods ended </w:t>
      </w:r>
      <w:r w:rsidR="00D92B09">
        <w:rPr>
          <w:rFonts w:ascii="CG Times (WN)" w:hAnsi="CG Times (WN)"/>
        </w:rPr>
        <w:t>September</w:t>
      </w:r>
      <w:r w:rsidR="002A07F3">
        <w:rPr>
          <w:rFonts w:ascii="CG Times (WN)" w:hAnsi="CG Times (WN)"/>
        </w:rPr>
        <w:t xml:space="preserve"> 30, 2020 </w:t>
      </w:r>
      <w:r w:rsidR="002A07F3" w:rsidRPr="00C5141A">
        <w:rPr>
          <w:rFonts w:ascii="CG Times (WN)" w:hAnsi="CG Times (WN)"/>
        </w:rPr>
        <w:t xml:space="preserve">was </w:t>
      </w:r>
      <w:r w:rsidR="002A07F3">
        <w:rPr>
          <w:rFonts w:ascii="CG Times (WN)" w:hAnsi="CG Times (WN)"/>
        </w:rPr>
        <w:t>$</w:t>
      </w:r>
      <w:r w:rsidR="00780B16">
        <w:rPr>
          <w:rFonts w:ascii="CG Times (WN)" w:hAnsi="CG Times (WN)"/>
        </w:rPr>
        <w:t>41,539</w:t>
      </w:r>
      <w:r w:rsidR="002A07F3">
        <w:rPr>
          <w:rFonts w:ascii="CG Times (WN)" w:hAnsi="CG Times (WN)"/>
        </w:rPr>
        <w:t xml:space="preserve"> and </w:t>
      </w:r>
      <w:r w:rsidR="002A07F3" w:rsidRPr="00C5141A">
        <w:rPr>
          <w:rFonts w:ascii="CG Times (WN)" w:hAnsi="CG Times (WN)"/>
        </w:rPr>
        <w:t>$</w:t>
      </w:r>
      <w:r w:rsidR="00EF4C97">
        <w:rPr>
          <w:rFonts w:ascii="CG Times (WN)" w:hAnsi="CG Times (WN)"/>
        </w:rPr>
        <w:t>124,617</w:t>
      </w:r>
      <w:r w:rsidR="002A07F3">
        <w:rPr>
          <w:rFonts w:ascii="CG Times (WN)" w:hAnsi="CG Times (WN)"/>
        </w:rPr>
        <w:t>, respectively,</w:t>
      </w:r>
      <w:r w:rsidR="002A07F3" w:rsidRPr="00F1022D">
        <w:rPr>
          <w:rFonts w:ascii="CG Times (WN)" w:hAnsi="CG Times (WN)"/>
        </w:rPr>
        <w:t xml:space="preserve"> </w:t>
      </w:r>
      <w:r w:rsidR="002A07F3">
        <w:rPr>
          <w:rFonts w:ascii="CG Times (WN)" w:hAnsi="CG Times (WN)"/>
        </w:rPr>
        <w:t>as compared to $40,316 and $</w:t>
      </w:r>
      <w:r w:rsidR="00EF4C97">
        <w:rPr>
          <w:rFonts w:ascii="CG Times (WN)" w:hAnsi="CG Times (WN)"/>
        </w:rPr>
        <w:t>120,949</w:t>
      </w:r>
      <w:r w:rsidR="002A07F3">
        <w:rPr>
          <w:rFonts w:ascii="CG Times (WN)" w:hAnsi="CG Times (WN)"/>
        </w:rPr>
        <w:t>, respectively, for the same periods of 2019</w:t>
      </w:r>
      <w:r w:rsidRPr="00C20F8B">
        <w:t xml:space="preserve">. </w:t>
      </w:r>
      <w:r w:rsidR="00717940" w:rsidRPr="00EB7BF0">
        <w:t>Future minimum lease payments total $</w:t>
      </w:r>
      <w:r w:rsidR="00EF4C97">
        <w:t>41,539</w:t>
      </w:r>
      <w:r w:rsidR="00717940">
        <w:t xml:space="preserve"> in 2020, $171,213 in 2021 and $176,356 in 2022, although the lease may be terminated at any time by either party with ninety days</w:t>
      </w:r>
      <w:r w:rsidR="00C87AEF">
        <w:t>’</w:t>
      </w:r>
      <w:r w:rsidR="00717940">
        <w:t xml:space="preserve"> written notice</w:t>
      </w:r>
      <w:r w:rsidR="00096E33">
        <w:t>.</w:t>
      </w:r>
    </w:p>
    <w:p w14:paraId="468E2C2A" w14:textId="77777777" w:rsidR="00C20F8B" w:rsidRPr="00C20F8B" w:rsidRDefault="00C20F8B" w:rsidP="00C20F8B">
      <w:pPr>
        <w:rPr>
          <w:bCs/>
        </w:rPr>
      </w:pPr>
    </w:p>
    <w:p w14:paraId="6351AE42" w14:textId="5DF3FABF" w:rsidR="00C20F8B" w:rsidRPr="00012A01" w:rsidRDefault="00C20F8B" w:rsidP="00C20F8B">
      <w:pPr>
        <w:rPr>
          <w:bCs/>
          <w:i/>
        </w:rPr>
      </w:pPr>
      <w:r w:rsidRPr="00C20F8B">
        <w:rPr>
          <w:bCs/>
          <w:i/>
        </w:rPr>
        <w:t>Other Commitments</w:t>
      </w:r>
      <w:r w:rsidR="00012A01">
        <w:rPr>
          <w:bCs/>
          <w:i/>
        </w:rPr>
        <w:t xml:space="preserve"> – </w:t>
      </w:r>
      <w:r w:rsidRPr="00C20F8B">
        <w:t xml:space="preserve">In the normal course of business, we enter into various firm purchase commitments related to production and testing of our vaccine, conduct of research studies, and other activities. As of </w:t>
      </w:r>
      <w:r w:rsidR="00D92B09">
        <w:t>September</w:t>
      </w:r>
      <w:r w:rsidRPr="00C20F8B">
        <w:t xml:space="preserve"> 3</w:t>
      </w:r>
      <w:r w:rsidR="002A07F3">
        <w:t>0</w:t>
      </w:r>
      <w:r w:rsidRPr="00C20F8B">
        <w:t>, 20</w:t>
      </w:r>
      <w:r w:rsidR="00717940">
        <w:t>20</w:t>
      </w:r>
      <w:r w:rsidRPr="00C20F8B">
        <w:t xml:space="preserve">, </w:t>
      </w:r>
      <w:r w:rsidR="00BE61F2">
        <w:t xml:space="preserve">there </w:t>
      </w:r>
      <w:r w:rsidR="00012A01">
        <w:t>was</w:t>
      </w:r>
      <w:r w:rsidRPr="00C20F8B">
        <w:t xml:space="preserve"> </w:t>
      </w:r>
      <w:r w:rsidR="00D92B09">
        <w:t xml:space="preserve">approximately </w:t>
      </w:r>
      <w:r w:rsidRPr="00C20F8B">
        <w:t>$</w:t>
      </w:r>
      <w:r w:rsidR="00D92B09">
        <w:t>290,500</w:t>
      </w:r>
      <w:r w:rsidRPr="00C20F8B">
        <w:t xml:space="preserve"> of unrecorded outstanding purchase commitments to our vendors and subcontractors,</w:t>
      </w:r>
      <w:r w:rsidR="00780B16">
        <w:t xml:space="preserve"> $</w:t>
      </w:r>
      <w:r w:rsidR="00D92B09">
        <w:t>228,000</w:t>
      </w:r>
      <w:r w:rsidRPr="00C20F8B">
        <w:t xml:space="preserve"> of which we expect will be due in </w:t>
      </w:r>
      <w:r w:rsidRPr="00780B16">
        <w:t>20</w:t>
      </w:r>
      <w:r w:rsidR="00717940" w:rsidRPr="00780B16">
        <w:t>20</w:t>
      </w:r>
      <w:r w:rsidR="00780B16">
        <w:t xml:space="preserve"> and $62,500 in 2021</w:t>
      </w:r>
      <w:r w:rsidRPr="00C20F8B">
        <w:t xml:space="preserve">. We expect this entire 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37E4D548" w:rsidR="00881E20" w:rsidRDefault="005E38F4" w:rsidP="000A55AE">
      <w:pPr>
        <w:pStyle w:val="ListNumbering"/>
        <w:spacing w:after="0"/>
      </w:pPr>
      <w:r>
        <w:t>10</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318EA721" w14:textId="35F8FEEE" w:rsidR="00037DDA" w:rsidRPr="00037DDA" w:rsidRDefault="00177117" w:rsidP="00037DDA">
      <w:pPr>
        <w:rPr>
          <w:rFonts w:eastAsia="????"/>
          <w:i/>
          <w:iCs/>
        </w:rPr>
      </w:pPr>
      <w:r>
        <w:rPr>
          <w:rFonts w:eastAsia="????"/>
          <w:i/>
          <w:iCs/>
        </w:rPr>
        <w:t xml:space="preserve">Convertible </w:t>
      </w:r>
      <w:r w:rsidR="00037DDA" w:rsidRPr="00037DDA">
        <w:rPr>
          <w:rFonts w:eastAsia="????"/>
          <w:i/>
          <w:iCs/>
        </w:rPr>
        <w:t>Preferred Stock</w:t>
      </w:r>
    </w:p>
    <w:p w14:paraId="48AE6BBD" w14:textId="77777777" w:rsidR="00037DDA" w:rsidRPr="00037DDA" w:rsidRDefault="00037DDA" w:rsidP="00037DDA">
      <w:pPr>
        <w:rPr>
          <w:rFonts w:eastAsia="????"/>
        </w:rPr>
      </w:pPr>
    </w:p>
    <w:p w14:paraId="666807D3" w14:textId="5C37745A" w:rsidR="00037DDA" w:rsidRPr="00037DDA" w:rsidRDefault="00037DDA" w:rsidP="00037DDA">
      <w:pPr>
        <w:rPr>
          <w:rFonts w:eastAsia="????"/>
        </w:rPr>
      </w:pPr>
      <w:r w:rsidRPr="00037DDA">
        <w:rPr>
          <w:rFonts w:eastAsia="????"/>
        </w:rPr>
        <w:t>We are authorized to issue up to 10,000,000 shares of our Preferred Stock, $.01 par value, which may be issued in one or more series.  The table below presents our issued and outstanding series of preferred stock as of</w:t>
      </w:r>
      <w:r>
        <w:rPr>
          <w:rFonts w:eastAsia="????"/>
        </w:rPr>
        <w:t xml:space="preserve"> </w:t>
      </w:r>
      <w:r w:rsidR="00D92B09">
        <w:rPr>
          <w:rFonts w:eastAsia="????"/>
        </w:rPr>
        <w:t>September</w:t>
      </w:r>
      <w:r>
        <w:rPr>
          <w:rFonts w:eastAsia="????"/>
        </w:rPr>
        <w:t xml:space="preserve"> 3</w:t>
      </w:r>
      <w:r w:rsidR="002A07F3">
        <w:rPr>
          <w:rFonts w:eastAsia="????"/>
        </w:rPr>
        <w:t>0</w:t>
      </w:r>
      <w:r>
        <w:rPr>
          <w:rFonts w:eastAsia="????"/>
        </w:rPr>
        <w:t>, 2020 and</w:t>
      </w:r>
      <w:r w:rsidRPr="00037DDA">
        <w:rPr>
          <w:rFonts w:eastAsia="????"/>
        </w:rPr>
        <w:t xml:space="preserve"> December 31, 2019.  Each series of our outstanding preferred stock has a stated value of $1,000 per share. Further </w:t>
      </w:r>
      <w:r w:rsidR="008C1F93">
        <w:rPr>
          <w:rFonts w:eastAsia="????"/>
        </w:rPr>
        <w:t>information</w:t>
      </w:r>
      <w:r w:rsidRPr="00037DDA">
        <w:rPr>
          <w:rFonts w:eastAsia="????"/>
        </w:rPr>
        <w:t xml:space="preserve"> concerning each series of preferred stock, and the changes in each series during the </w:t>
      </w:r>
      <w:r w:rsidR="00D92B09">
        <w:rPr>
          <w:rFonts w:eastAsia="????"/>
        </w:rPr>
        <w:t>nine</w:t>
      </w:r>
      <w:r w:rsidR="003E6788">
        <w:rPr>
          <w:rFonts w:eastAsia="????"/>
        </w:rPr>
        <w:t xml:space="preserve"> months</w:t>
      </w:r>
      <w:r w:rsidRPr="00037DDA">
        <w:rPr>
          <w:rFonts w:eastAsia="????"/>
        </w:rPr>
        <w:t xml:space="preserve"> ended </w:t>
      </w:r>
      <w:r w:rsidR="00D92B09">
        <w:rPr>
          <w:rFonts w:eastAsia="????"/>
        </w:rPr>
        <w:t>September</w:t>
      </w:r>
      <w:r w:rsidR="00A3131A">
        <w:rPr>
          <w:rFonts w:eastAsia="????"/>
        </w:rPr>
        <w:t> </w:t>
      </w:r>
      <w:r w:rsidRPr="00037DDA">
        <w:rPr>
          <w:rFonts w:eastAsia="????"/>
        </w:rPr>
        <w:t>3</w:t>
      </w:r>
      <w:r w:rsidR="002A07F3">
        <w:rPr>
          <w:rFonts w:eastAsia="????"/>
        </w:rPr>
        <w:t>0</w:t>
      </w:r>
      <w:r w:rsidRPr="00037DDA">
        <w:rPr>
          <w:rFonts w:eastAsia="????"/>
        </w:rPr>
        <w:t>, 20</w:t>
      </w:r>
      <w:r w:rsidR="003E6788">
        <w:rPr>
          <w:rFonts w:eastAsia="????"/>
        </w:rPr>
        <w:t>20</w:t>
      </w:r>
      <w:r w:rsidRPr="00037DDA">
        <w:rPr>
          <w:rFonts w:eastAsia="????"/>
        </w:rPr>
        <w:t xml:space="preserve"> are discussed </w:t>
      </w:r>
      <w:r w:rsidR="008C1F93">
        <w:rPr>
          <w:rFonts w:eastAsia="????"/>
        </w:rPr>
        <w:t>below</w:t>
      </w:r>
      <w:r w:rsidRPr="00037DDA">
        <w:rPr>
          <w:rFonts w:eastAsia="????"/>
        </w:rPr>
        <w:t xml:space="preserve">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037DDA" w:rsidRPr="00037DDA" w14:paraId="1FE11FEC" w14:textId="77777777" w:rsidTr="0043475C">
        <w:trPr>
          <w:trHeight w:hRule="exact" w:val="230"/>
        </w:trPr>
        <w:tc>
          <w:tcPr>
            <w:tcW w:w="305" w:type="dxa"/>
          </w:tcPr>
          <w:p w14:paraId="40012582" w14:textId="77777777" w:rsidR="00037DDA" w:rsidRPr="00037DDA" w:rsidRDefault="00037DDA" w:rsidP="00037DDA">
            <w:pPr>
              <w:jc w:val="right"/>
              <w:rPr>
                <w:snapToGrid w:val="0"/>
                <w:color w:val="000000"/>
              </w:rPr>
            </w:pPr>
          </w:p>
        </w:tc>
        <w:tc>
          <w:tcPr>
            <w:tcW w:w="4795" w:type="dxa"/>
          </w:tcPr>
          <w:p w14:paraId="0708CFBC" w14:textId="77777777" w:rsidR="00037DDA" w:rsidRPr="00037DDA" w:rsidRDefault="00037DDA" w:rsidP="00037DDA">
            <w:pPr>
              <w:jc w:val="right"/>
              <w:rPr>
                <w:snapToGrid w:val="0"/>
                <w:color w:val="000000"/>
              </w:rPr>
            </w:pPr>
          </w:p>
        </w:tc>
        <w:tc>
          <w:tcPr>
            <w:tcW w:w="2250" w:type="dxa"/>
            <w:gridSpan w:val="2"/>
            <w:tcBorders>
              <w:bottom w:val="single" w:sz="4" w:space="0" w:color="auto"/>
            </w:tcBorders>
          </w:tcPr>
          <w:p w14:paraId="78161B29" w14:textId="3B8E0783" w:rsidR="00037DDA" w:rsidRPr="00037DDA" w:rsidRDefault="00D92B09" w:rsidP="00037DDA">
            <w:pPr>
              <w:jc w:val="center"/>
              <w:rPr>
                <w:snapToGrid w:val="0"/>
                <w:color w:val="000000"/>
              </w:rPr>
            </w:pPr>
            <w:r>
              <w:rPr>
                <w:snapToGrid w:val="0"/>
                <w:color w:val="000000"/>
              </w:rPr>
              <w:t>September</w:t>
            </w:r>
            <w:r w:rsidR="00037DDA" w:rsidRPr="00037DDA">
              <w:rPr>
                <w:snapToGrid w:val="0"/>
                <w:color w:val="000000"/>
              </w:rPr>
              <w:t xml:space="preserve"> 3</w:t>
            </w:r>
            <w:r w:rsidR="002A07F3">
              <w:rPr>
                <w:snapToGrid w:val="0"/>
                <w:color w:val="000000"/>
              </w:rPr>
              <w:t>0</w:t>
            </w:r>
            <w:r w:rsidR="00037DDA" w:rsidRPr="00037DDA">
              <w:rPr>
                <w:snapToGrid w:val="0"/>
                <w:color w:val="000000"/>
              </w:rPr>
              <w:t>, 20</w:t>
            </w:r>
            <w:r w:rsidR="00552064">
              <w:rPr>
                <w:snapToGrid w:val="0"/>
                <w:color w:val="000000"/>
              </w:rPr>
              <w:t>20</w:t>
            </w:r>
          </w:p>
        </w:tc>
        <w:tc>
          <w:tcPr>
            <w:tcW w:w="376" w:type="dxa"/>
          </w:tcPr>
          <w:p w14:paraId="031CF91F" w14:textId="77777777" w:rsidR="00037DDA" w:rsidRPr="00037DDA" w:rsidRDefault="00037DDA" w:rsidP="00037DDA">
            <w:pPr>
              <w:jc w:val="right"/>
              <w:rPr>
                <w:snapToGrid w:val="0"/>
                <w:color w:val="000000"/>
              </w:rPr>
            </w:pPr>
          </w:p>
        </w:tc>
        <w:tc>
          <w:tcPr>
            <w:tcW w:w="2112" w:type="dxa"/>
            <w:gridSpan w:val="2"/>
            <w:tcBorders>
              <w:bottom w:val="single" w:sz="4" w:space="0" w:color="auto"/>
            </w:tcBorders>
          </w:tcPr>
          <w:p w14:paraId="098DCC3E" w14:textId="7D19AD6B" w:rsidR="00037DDA" w:rsidRPr="00037DDA" w:rsidRDefault="00037DDA" w:rsidP="00037DDA">
            <w:pPr>
              <w:jc w:val="center"/>
              <w:rPr>
                <w:snapToGrid w:val="0"/>
                <w:color w:val="000000"/>
              </w:rPr>
            </w:pPr>
            <w:r w:rsidRPr="00037DDA">
              <w:rPr>
                <w:snapToGrid w:val="0"/>
                <w:color w:val="000000"/>
              </w:rPr>
              <w:t>December 31, 201</w:t>
            </w:r>
            <w:r w:rsidR="003E6788">
              <w:rPr>
                <w:snapToGrid w:val="0"/>
                <w:color w:val="000000"/>
              </w:rPr>
              <w:t>9</w:t>
            </w:r>
          </w:p>
        </w:tc>
      </w:tr>
      <w:tr w:rsidR="00037DDA" w:rsidRPr="00037DDA" w14:paraId="5E419D81" w14:textId="77777777" w:rsidTr="0043475C">
        <w:trPr>
          <w:trHeight w:hRule="exact" w:val="230"/>
        </w:trPr>
        <w:tc>
          <w:tcPr>
            <w:tcW w:w="305" w:type="dxa"/>
          </w:tcPr>
          <w:p w14:paraId="1A927074" w14:textId="77777777" w:rsidR="00037DDA" w:rsidRPr="00037DDA" w:rsidRDefault="00037DDA" w:rsidP="00037DDA">
            <w:pPr>
              <w:jc w:val="right"/>
              <w:rPr>
                <w:snapToGrid w:val="0"/>
                <w:color w:val="000000"/>
              </w:rPr>
            </w:pPr>
          </w:p>
        </w:tc>
        <w:tc>
          <w:tcPr>
            <w:tcW w:w="4795" w:type="dxa"/>
          </w:tcPr>
          <w:p w14:paraId="7EF0C08E" w14:textId="77777777" w:rsidR="00037DDA" w:rsidRPr="00037DDA" w:rsidRDefault="00037DDA" w:rsidP="00037DDA">
            <w:pPr>
              <w:jc w:val="right"/>
              <w:rPr>
                <w:snapToGrid w:val="0"/>
                <w:color w:val="000000"/>
              </w:rPr>
            </w:pPr>
          </w:p>
        </w:tc>
        <w:tc>
          <w:tcPr>
            <w:tcW w:w="1125" w:type="dxa"/>
            <w:tcBorders>
              <w:top w:val="single" w:sz="4" w:space="0" w:color="auto"/>
            </w:tcBorders>
          </w:tcPr>
          <w:p w14:paraId="751808CC" w14:textId="77777777" w:rsidR="00037DDA" w:rsidRPr="00037DDA" w:rsidRDefault="00037DDA" w:rsidP="00037DDA">
            <w:pPr>
              <w:jc w:val="center"/>
              <w:rPr>
                <w:snapToGrid w:val="0"/>
                <w:color w:val="000000"/>
              </w:rPr>
            </w:pPr>
          </w:p>
        </w:tc>
        <w:tc>
          <w:tcPr>
            <w:tcW w:w="1125" w:type="dxa"/>
            <w:tcBorders>
              <w:top w:val="single" w:sz="4" w:space="0" w:color="auto"/>
            </w:tcBorders>
          </w:tcPr>
          <w:p w14:paraId="3616706C" w14:textId="77777777" w:rsidR="00037DDA" w:rsidRPr="00037DDA" w:rsidRDefault="00037DDA" w:rsidP="00037DDA">
            <w:pPr>
              <w:jc w:val="center"/>
              <w:rPr>
                <w:snapToGrid w:val="0"/>
                <w:color w:val="000000"/>
              </w:rPr>
            </w:pPr>
            <w:r w:rsidRPr="00037DDA">
              <w:rPr>
                <w:snapToGrid w:val="0"/>
                <w:color w:val="000000"/>
              </w:rPr>
              <w:t>Carrying</w:t>
            </w:r>
          </w:p>
        </w:tc>
        <w:tc>
          <w:tcPr>
            <w:tcW w:w="376" w:type="dxa"/>
          </w:tcPr>
          <w:p w14:paraId="15E3B1E2" w14:textId="77777777" w:rsidR="00037DDA" w:rsidRPr="00037DDA" w:rsidRDefault="00037DDA" w:rsidP="00037DDA">
            <w:pPr>
              <w:jc w:val="right"/>
              <w:rPr>
                <w:snapToGrid w:val="0"/>
                <w:color w:val="000000"/>
              </w:rPr>
            </w:pPr>
          </w:p>
        </w:tc>
        <w:tc>
          <w:tcPr>
            <w:tcW w:w="1056" w:type="dxa"/>
            <w:tcBorders>
              <w:top w:val="single" w:sz="4" w:space="0" w:color="auto"/>
            </w:tcBorders>
          </w:tcPr>
          <w:p w14:paraId="5B2BEBFD" w14:textId="77777777" w:rsidR="00037DDA" w:rsidRPr="00037DDA" w:rsidRDefault="00037DDA" w:rsidP="00037DDA">
            <w:pPr>
              <w:jc w:val="center"/>
              <w:rPr>
                <w:snapToGrid w:val="0"/>
                <w:color w:val="000000"/>
              </w:rPr>
            </w:pPr>
          </w:p>
        </w:tc>
        <w:tc>
          <w:tcPr>
            <w:tcW w:w="1056" w:type="dxa"/>
            <w:tcBorders>
              <w:top w:val="single" w:sz="4" w:space="0" w:color="auto"/>
            </w:tcBorders>
          </w:tcPr>
          <w:p w14:paraId="3F092E4A" w14:textId="77777777" w:rsidR="00037DDA" w:rsidRPr="00037DDA" w:rsidRDefault="00037DDA" w:rsidP="00037DDA">
            <w:pPr>
              <w:jc w:val="center"/>
              <w:rPr>
                <w:snapToGrid w:val="0"/>
                <w:color w:val="000000"/>
              </w:rPr>
            </w:pPr>
            <w:r w:rsidRPr="00037DDA">
              <w:rPr>
                <w:snapToGrid w:val="0"/>
                <w:color w:val="000000"/>
              </w:rPr>
              <w:t>Carrying</w:t>
            </w:r>
          </w:p>
        </w:tc>
      </w:tr>
      <w:tr w:rsidR="00037DDA" w:rsidRPr="00037DDA" w14:paraId="42AF4DA4" w14:textId="77777777" w:rsidTr="0043475C">
        <w:trPr>
          <w:trHeight w:hRule="exact" w:val="230"/>
        </w:trPr>
        <w:tc>
          <w:tcPr>
            <w:tcW w:w="305" w:type="dxa"/>
          </w:tcPr>
          <w:p w14:paraId="164448CA" w14:textId="77777777" w:rsidR="00037DDA" w:rsidRPr="00037DDA" w:rsidRDefault="00037DDA" w:rsidP="00037DDA">
            <w:pPr>
              <w:jc w:val="right"/>
              <w:rPr>
                <w:snapToGrid w:val="0"/>
                <w:color w:val="000000"/>
              </w:rPr>
            </w:pPr>
          </w:p>
        </w:tc>
        <w:tc>
          <w:tcPr>
            <w:tcW w:w="4795" w:type="dxa"/>
          </w:tcPr>
          <w:p w14:paraId="54A92893" w14:textId="77777777" w:rsidR="00037DDA" w:rsidRPr="00037DDA" w:rsidRDefault="00037DDA" w:rsidP="00037DDA">
            <w:pPr>
              <w:jc w:val="right"/>
              <w:rPr>
                <w:snapToGrid w:val="0"/>
                <w:color w:val="000000"/>
              </w:rPr>
            </w:pPr>
          </w:p>
        </w:tc>
        <w:tc>
          <w:tcPr>
            <w:tcW w:w="1125" w:type="dxa"/>
            <w:tcBorders>
              <w:bottom w:val="single" w:sz="6" w:space="0" w:color="auto"/>
            </w:tcBorders>
          </w:tcPr>
          <w:p w14:paraId="78867C45" w14:textId="77777777" w:rsidR="00037DDA" w:rsidRPr="00037DDA" w:rsidRDefault="00037DDA" w:rsidP="00037DDA">
            <w:pPr>
              <w:jc w:val="center"/>
              <w:rPr>
                <w:snapToGrid w:val="0"/>
                <w:color w:val="000000"/>
              </w:rPr>
            </w:pPr>
            <w:r w:rsidRPr="00037DDA">
              <w:rPr>
                <w:snapToGrid w:val="0"/>
                <w:color w:val="000000"/>
              </w:rPr>
              <w:t>Shares</w:t>
            </w:r>
          </w:p>
        </w:tc>
        <w:tc>
          <w:tcPr>
            <w:tcW w:w="1125" w:type="dxa"/>
            <w:tcBorders>
              <w:bottom w:val="single" w:sz="4" w:space="0" w:color="auto"/>
            </w:tcBorders>
          </w:tcPr>
          <w:p w14:paraId="5A5A6058" w14:textId="77777777" w:rsidR="00037DDA" w:rsidRPr="00037DDA" w:rsidRDefault="00037DDA" w:rsidP="00037DDA">
            <w:pPr>
              <w:jc w:val="center"/>
              <w:rPr>
                <w:snapToGrid w:val="0"/>
                <w:color w:val="000000"/>
              </w:rPr>
            </w:pPr>
            <w:r w:rsidRPr="00037DDA">
              <w:rPr>
                <w:snapToGrid w:val="0"/>
                <w:color w:val="000000"/>
              </w:rPr>
              <w:t>Value</w:t>
            </w:r>
          </w:p>
        </w:tc>
        <w:tc>
          <w:tcPr>
            <w:tcW w:w="376" w:type="dxa"/>
          </w:tcPr>
          <w:p w14:paraId="582F04C8" w14:textId="77777777" w:rsidR="00037DDA" w:rsidRPr="00037DDA" w:rsidRDefault="00037DDA" w:rsidP="00037DDA">
            <w:pPr>
              <w:jc w:val="right"/>
              <w:rPr>
                <w:snapToGrid w:val="0"/>
                <w:color w:val="000000"/>
              </w:rPr>
            </w:pPr>
          </w:p>
        </w:tc>
        <w:tc>
          <w:tcPr>
            <w:tcW w:w="1056" w:type="dxa"/>
            <w:tcBorders>
              <w:bottom w:val="single" w:sz="4" w:space="0" w:color="auto"/>
            </w:tcBorders>
          </w:tcPr>
          <w:p w14:paraId="1ED74D51" w14:textId="77777777" w:rsidR="00037DDA" w:rsidRPr="00037DDA" w:rsidRDefault="00037DDA" w:rsidP="00037DDA">
            <w:pPr>
              <w:jc w:val="center"/>
              <w:rPr>
                <w:snapToGrid w:val="0"/>
                <w:color w:val="000000"/>
              </w:rPr>
            </w:pPr>
            <w:r w:rsidRPr="00037DDA">
              <w:rPr>
                <w:snapToGrid w:val="0"/>
                <w:color w:val="000000"/>
              </w:rPr>
              <w:t>Shares</w:t>
            </w:r>
          </w:p>
        </w:tc>
        <w:tc>
          <w:tcPr>
            <w:tcW w:w="1056" w:type="dxa"/>
            <w:tcBorders>
              <w:bottom w:val="single" w:sz="6" w:space="0" w:color="auto"/>
            </w:tcBorders>
          </w:tcPr>
          <w:p w14:paraId="44BDDC0A" w14:textId="77777777" w:rsidR="00037DDA" w:rsidRPr="00037DDA" w:rsidRDefault="00037DDA" w:rsidP="00037DDA">
            <w:pPr>
              <w:jc w:val="center"/>
              <w:rPr>
                <w:snapToGrid w:val="0"/>
                <w:color w:val="000000"/>
              </w:rPr>
            </w:pPr>
            <w:r w:rsidRPr="00037DDA">
              <w:rPr>
                <w:snapToGrid w:val="0"/>
                <w:color w:val="000000"/>
              </w:rPr>
              <w:t>Value</w:t>
            </w:r>
          </w:p>
        </w:tc>
      </w:tr>
      <w:tr w:rsidR="00037DDA" w:rsidRPr="00037DDA" w14:paraId="6E82657C" w14:textId="77777777" w:rsidTr="0043475C">
        <w:trPr>
          <w:trHeight w:hRule="exact" w:val="230"/>
        </w:trPr>
        <w:tc>
          <w:tcPr>
            <w:tcW w:w="305" w:type="dxa"/>
          </w:tcPr>
          <w:p w14:paraId="5A425688" w14:textId="77777777" w:rsidR="00037DDA" w:rsidRPr="00037DDA" w:rsidRDefault="00037DDA" w:rsidP="00037DDA">
            <w:pPr>
              <w:jc w:val="right"/>
              <w:rPr>
                <w:snapToGrid w:val="0"/>
                <w:color w:val="000000"/>
              </w:rPr>
            </w:pPr>
          </w:p>
        </w:tc>
        <w:tc>
          <w:tcPr>
            <w:tcW w:w="4795" w:type="dxa"/>
          </w:tcPr>
          <w:p w14:paraId="3DFE83F6" w14:textId="77777777" w:rsidR="00037DDA" w:rsidRPr="00037DDA" w:rsidRDefault="00037DDA" w:rsidP="00037DDA">
            <w:pPr>
              <w:tabs>
                <w:tab w:val="left" w:pos="203"/>
              </w:tabs>
              <w:rPr>
                <w:snapToGrid w:val="0"/>
                <w:color w:val="000000"/>
              </w:rPr>
            </w:pPr>
            <w:r w:rsidRPr="00037DDA">
              <w:rPr>
                <w:snapToGrid w:val="0"/>
                <w:color w:val="000000"/>
              </w:rPr>
              <w:t>Series B Convertible Preferred Stock</w:t>
            </w:r>
          </w:p>
        </w:tc>
        <w:tc>
          <w:tcPr>
            <w:tcW w:w="1125" w:type="dxa"/>
          </w:tcPr>
          <w:p w14:paraId="68194510"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125" w:type="dxa"/>
            <w:tcBorders>
              <w:top w:val="single" w:sz="4" w:space="0" w:color="auto"/>
            </w:tcBorders>
          </w:tcPr>
          <w:p w14:paraId="2C7B68B4" w14:textId="4F86CBD7" w:rsidR="00037DDA" w:rsidRPr="00037DDA" w:rsidRDefault="00037DDA" w:rsidP="00037DDA">
            <w:pPr>
              <w:tabs>
                <w:tab w:val="left" w:pos="263"/>
              </w:tabs>
              <w:jc w:val="right"/>
              <w:rPr>
                <w:snapToGrid w:val="0"/>
                <w:color w:val="000000"/>
              </w:rPr>
            </w:pPr>
            <w:r w:rsidRPr="00037DDA">
              <w:rPr>
                <w:snapToGrid w:val="0"/>
                <w:color w:val="000000"/>
              </w:rPr>
              <w:t>$</w:t>
            </w:r>
            <w:r w:rsidR="003E6788">
              <w:rPr>
                <w:snapToGrid w:val="0"/>
                <w:color w:val="000000"/>
              </w:rPr>
              <w:t xml:space="preserve"> </w:t>
            </w:r>
            <w:r w:rsidRPr="00037DDA">
              <w:rPr>
                <w:snapToGrid w:val="0"/>
                <w:color w:val="000000"/>
              </w:rPr>
              <w:tab/>
              <w:t>76,095</w:t>
            </w:r>
          </w:p>
        </w:tc>
        <w:tc>
          <w:tcPr>
            <w:tcW w:w="376" w:type="dxa"/>
          </w:tcPr>
          <w:p w14:paraId="156C9ED4" w14:textId="77777777" w:rsidR="00037DDA" w:rsidRPr="00037DDA" w:rsidRDefault="00037DDA" w:rsidP="00037DDA">
            <w:pPr>
              <w:jc w:val="right"/>
              <w:rPr>
                <w:snapToGrid w:val="0"/>
                <w:color w:val="000000"/>
              </w:rPr>
            </w:pPr>
          </w:p>
        </w:tc>
        <w:tc>
          <w:tcPr>
            <w:tcW w:w="1056" w:type="dxa"/>
            <w:tcBorders>
              <w:top w:val="single" w:sz="4" w:space="0" w:color="auto"/>
            </w:tcBorders>
          </w:tcPr>
          <w:p w14:paraId="0315F1E7"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056" w:type="dxa"/>
          </w:tcPr>
          <w:p w14:paraId="7BEDD7F2" w14:textId="77777777" w:rsidR="00037DDA" w:rsidRPr="00037DDA" w:rsidRDefault="00037DDA" w:rsidP="00037DDA">
            <w:pPr>
              <w:tabs>
                <w:tab w:val="left" w:pos="62"/>
                <w:tab w:val="decimal" w:pos="1195"/>
              </w:tabs>
              <w:jc w:val="right"/>
              <w:rPr>
                <w:snapToGrid w:val="0"/>
                <w:color w:val="000000"/>
              </w:rPr>
            </w:pPr>
            <w:r w:rsidRPr="00037DDA">
              <w:rPr>
                <w:snapToGrid w:val="0"/>
                <w:color w:val="000000"/>
              </w:rPr>
              <w:t xml:space="preserve">  $</w:t>
            </w:r>
            <w:r w:rsidRPr="00037DDA">
              <w:rPr>
                <w:snapToGrid w:val="0"/>
                <w:color w:val="000000"/>
              </w:rPr>
              <w:tab/>
              <w:t>76,095</w:t>
            </w:r>
          </w:p>
        </w:tc>
      </w:tr>
      <w:tr w:rsidR="00037DDA" w:rsidRPr="00037DDA" w14:paraId="61467CE5" w14:textId="77777777" w:rsidTr="0043475C">
        <w:trPr>
          <w:trHeight w:hRule="exact" w:val="230"/>
        </w:trPr>
        <w:tc>
          <w:tcPr>
            <w:tcW w:w="305" w:type="dxa"/>
          </w:tcPr>
          <w:p w14:paraId="307A78C2" w14:textId="77777777" w:rsidR="00037DDA" w:rsidRPr="00037DDA" w:rsidRDefault="00037DDA" w:rsidP="00037DDA">
            <w:pPr>
              <w:jc w:val="right"/>
              <w:rPr>
                <w:snapToGrid w:val="0"/>
                <w:color w:val="000000"/>
              </w:rPr>
            </w:pPr>
          </w:p>
        </w:tc>
        <w:tc>
          <w:tcPr>
            <w:tcW w:w="4795" w:type="dxa"/>
          </w:tcPr>
          <w:p w14:paraId="657780CB" w14:textId="04554A58"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H</w:t>
            </w:r>
            <w:r w:rsidRPr="00037DDA">
              <w:rPr>
                <w:snapToGrid w:val="0"/>
                <w:color w:val="000000"/>
              </w:rPr>
              <w:t xml:space="preserve"> Convertible Preferred Stock</w:t>
            </w:r>
          </w:p>
        </w:tc>
        <w:tc>
          <w:tcPr>
            <w:tcW w:w="1125" w:type="dxa"/>
          </w:tcPr>
          <w:p w14:paraId="3494CF2D" w14:textId="77777777" w:rsidR="00037DDA" w:rsidRPr="00037DDA" w:rsidRDefault="00037DDA" w:rsidP="00037DDA">
            <w:pPr>
              <w:tabs>
                <w:tab w:val="decimal" w:pos="1320"/>
              </w:tabs>
              <w:rPr>
                <w:snapToGrid w:val="0"/>
                <w:color w:val="000000"/>
              </w:rPr>
            </w:pPr>
            <w:r w:rsidRPr="00037DDA">
              <w:rPr>
                <w:snapToGrid w:val="0"/>
                <w:color w:val="000000"/>
              </w:rPr>
              <w:t>-</w:t>
            </w:r>
          </w:p>
        </w:tc>
        <w:tc>
          <w:tcPr>
            <w:tcW w:w="1125" w:type="dxa"/>
          </w:tcPr>
          <w:p w14:paraId="4BDCCC9C" w14:textId="77777777" w:rsidR="00037DDA" w:rsidRPr="00037DDA" w:rsidRDefault="00037DDA" w:rsidP="00037DDA">
            <w:pPr>
              <w:jc w:val="right"/>
              <w:rPr>
                <w:snapToGrid w:val="0"/>
                <w:color w:val="000000"/>
              </w:rPr>
            </w:pPr>
            <w:r w:rsidRPr="00037DDA">
              <w:rPr>
                <w:snapToGrid w:val="0"/>
                <w:color w:val="000000"/>
              </w:rPr>
              <w:t>-</w:t>
            </w:r>
          </w:p>
        </w:tc>
        <w:tc>
          <w:tcPr>
            <w:tcW w:w="376" w:type="dxa"/>
          </w:tcPr>
          <w:p w14:paraId="70A25FA6" w14:textId="77777777" w:rsidR="00037DDA" w:rsidRPr="00037DDA" w:rsidRDefault="00037DDA" w:rsidP="00037DDA">
            <w:pPr>
              <w:jc w:val="right"/>
              <w:rPr>
                <w:snapToGrid w:val="0"/>
                <w:color w:val="000000"/>
              </w:rPr>
            </w:pPr>
          </w:p>
        </w:tc>
        <w:tc>
          <w:tcPr>
            <w:tcW w:w="1056" w:type="dxa"/>
          </w:tcPr>
          <w:p w14:paraId="203C617C" w14:textId="6B50FB23" w:rsidR="00037DDA" w:rsidRPr="00037DDA" w:rsidRDefault="003E6788" w:rsidP="00037DDA">
            <w:pPr>
              <w:tabs>
                <w:tab w:val="decimal" w:pos="1500"/>
              </w:tabs>
              <w:rPr>
                <w:snapToGrid w:val="0"/>
                <w:color w:val="000000"/>
              </w:rPr>
            </w:pPr>
            <w:r>
              <w:rPr>
                <w:snapToGrid w:val="0"/>
                <w:color w:val="000000"/>
              </w:rPr>
              <w:t>1,686</w:t>
            </w:r>
          </w:p>
        </w:tc>
        <w:tc>
          <w:tcPr>
            <w:tcW w:w="1056" w:type="dxa"/>
          </w:tcPr>
          <w:p w14:paraId="4774A764" w14:textId="4DB54749" w:rsidR="00037DDA" w:rsidRPr="00037DDA" w:rsidRDefault="00037DDA" w:rsidP="00037DDA">
            <w:pPr>
              <w:tabs>
                <w:tab w:val="decimal" w:pos="1500"/>
              </w:tabs>
              <w:rPr>
                <w:snapToGrid w:val="0"/>
                <w:color w:val="000000"/>
              </w:rPr>
            </w:pPr>
            <w:r w:rsidRPr="00037DDA">
              <w:rPr>
                <w:snapToGrid w:val="0"/>
                <w:color w:val="000000"/>
              </w:rPr>
              <w:t>1,1</w:t>
            </w:r>
            <w:r w:rsidR="003E6788">
              <w:rPr>
                <w:snapToGrid w:val="0"/>
                <w:color w:val="000000"/>
              </w:rPr>
              <w:t>56,338</w:t>
            </w:r>
          </w:p>
        </w:tc>
      </w:tr>
      <w:tr w:rsidR="00037DDA" w:rsidRPr="00037DDA" w14:paraId="4F42F55C" w14:textId="77777777" w:rsidTr="0043475C">
        <w:trPr>
          <w:trHeight w:hRule="exact" w:val="230"/>
        </w:trPr>
        <w:tc>
          <w:tcPr>
            <w:tcW w:w="305" w:type="dxa"/>
          </w:tcPr>
          <w:p w14:paraId="683247AA" w14:textId="77777777" w:rsidR="00037DDA" w:rsidRPr="00037DDA" w:rsidRDefault="00037DDA" w:rsidP="00037DDA">
            <w:pPr>
              <w:jc w:val="right"/>
              <w:rPr>
                <w:snapToGrid w:val="0"/>
                <w:color w:val="000000"/>
              </w:rPr>
            </w:pPr>
          </w:p>
        </w:tc>
        <w:tc>
          <w:tcPr>
            <w:tcW w:w="4795" w:type="dxa"/>
          </w:tcPr>
          <w:p w14:paraId="6BF422DE" w14:textId="17861276"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I</w:t>
            </w:r>
            <w:r w:rsidRPr="00037DDA">
              <w:rPr>
                <w:snapToGrid w:val="0"/>
                <w:color w:val="000000"/>
              </w:rPr>
              <w:t xml:space="preserve"> Convertible Preferred Stock</w:t>
            </w:r>
          </w:p>
        </w:tc>
        <w:tc>
          <w:tcPr>
            <w:tcW w:w="1125" w:type="dxa"/>
          </w:tcPr>
          <w:p w14:paraId="0FEA7DE3" w14:textId="27177FF4" w:rsidR="00037DDA" w:rsidRPr="00037DDA" w:rsidRDefault="003E6788" w:rsidP="00037DDA">
            <w:pPr>
              <w:tabs>
                <w:tab w:val="decimal" w:pos="1320"/>
              </w:tabs>
              <w:rPr>
                <w:snapToGrid w:val="0"/>
                <w:color w:val="000000"/>
              </w:rPr>
            </w:pPr>
            <w:r>
              <w:rPr>
                <w:snapToGrid w:val="0"/>
                <w:color w:val="000000"/>
              </w:rPr>
              <w:t>-</w:t>
            </w:r>
          </w:p>
        </w:tc>
        <w:tc>
          <w:tcPr>
            <w:tcW w:w="1125" w:type="dxa"/>
          </w:tcPr>
          <w:p w14:paraId="31EC1BD9" w14:textId="2278A0B5" w:rsidR="00037DDA" w:rsidRPr="00037DDA" w:rsidRDefault="003E6788" w:rsidP="00037DDA">
            <w:pPr>
              <w:jc w:val="right"/>
              <w:rPr>
                <w:snapToGrid w:val="0"/>
                <w:color w:val="000000"/>
              </w:rPr>
            </w:pPr>
            <w:r>
              <w:rPr>
                <w:snapToGrid w:val="0"/>
                <w:color w:val="000000"/>
              </w:rPr>
              <w:t>-</w:t>
            </w:r>
          </w:p>
        </w:tc>
        <w:tc>
          <w:tcPr>
            <w:tcW w:w="376" w:type="dxa"/>
          </w:tcPr>
          <w:p w14:paraId="49F51804" w14:textId="77777777" w:rsidR="00037DDA" w:rsidRPr="00037DDA" w:rsidRDefault="00037DDA" w:rsidP="00037DDA">
            <w:pPr>
              <w:jc w:val="right"/>
              <w:rPr>
                <w:snapToGrid w:val="0"/>
                <w:color w:val="000000"/>
              </w:rPr>
            </w:pPr>
          </w:p>
        </w:tc>
        <w:tc>
          <w:tcPr>
            <w:tcW w:w="1056" w:type="dxa"/>
          </w:tcPr>
          <w:p w14:paraId="5AA73688" w14:textId="265525AA" w:rsidR="00037DDA" w:rsidRPr="00037DDA" w:rsidRDefault="003E6788" w:rsidP="00037DDA">
            <w:pPr>
              <w:tabs>
                <w:tab w:val="decimal" w:pos="1500"/>
              </w:tabs>
              <w:rPr>
                <w:snapToGrid w:val="0"/>
                <w:color w:val="000000"/>
              </w:rPr>
            </w:pPr>
            <w:r>
              <w:rPr>
                <w:snapToGrid w:val="0"/>
                <w:color w:val="000000"/>
              </w:rPr>
              <w:t>700</w:t>
            </w:r>
          </w:p>
        </w:tc>
        <w:tc>
          <w:tcPr>
            <w:tcW w:w="1056" w:type="dxa"/>
          </w:tcPr>
          <w:p w14:paraId="5BE3DA85" w14:textId="70CBF77D" w:rsidR="00037DDA" w:rsidRPr="00037DDA" w:rsidRDefault="003E6788" w:rsidP="00037DDA">
            <w:pPr>
              <w:tabs>
                <w:tab w:val="decimal" w:pos="1500"/>
              </w:tabs>
              <w:rPr>
                <w:snapToGrid w:val="0"/>
                <w:color w:val="000000"/>
              </w:rPr>
            </w:pPr>
            <w:r>
              <w:rPr>
                <w:snapToGrid w:val="0"/>
                <w:color w:val="000000"/>
              </w:rPr>
              <w:t>700,000</w:t>
            </w:r>
          </w:p>
        </w:tc>
      </w:tr>
      <w:tr w:rsidR="00037DDA" w:rsidRPr="00037DDA" w14:paraId="01898B35" w14:textId="77777777" w:rsidTr="0043475C">
        <w:trPr>
          <w:trHeight w:hRule="exact" w:val="230"/>
        </w:trPr>
        <w:tc>
          <w:tcPr>
            <w:tcW w:w="305" w:type="dxa"/>
          </w:tcPr>
          <w:p w14:paraId="7BBFF325" w14:textId="77777777" w:rsidR="00037DDA" w:rsidRPr="00037DDA" w:rsidRDefault="00037DDA" w:rsidP="00037DDA">
            <w:pPr>
              <w:jc w:val="right"/>
              <w:rPr>
                <w:snapToGrid w:val="0"/>
                <w:color w:val="000000"/>
              </w:rPr>
            </w:pPr>
          </w:p>
        </w:tc>
        <w:tc>
          <w:tcPr>
            <w:tcW w:w="4795" w:type="dxa"/>
          </w:tcPr>
          <w:p w14:paraId="0DDFDFC2" w14:textId="77777777" w:rsidR="00037DDA" w:rsidRPr="00037DDA" w:rsidRDefault="00037DDA" w:rsidP="00037DDA">
            <w:pPr>
              <w:rPr>
                <w:snapToGrid w:val="0"/>
                <w:color w:val="000000"/>
              </w:rPr>
            </w:pPr>
            <w:r w:rsidRPr="00037DDA">
              <w:rPr>
                <w:snapToGrid w:val="0"/>
                <w:color w:val="000000"/>
              </w:rPr>
              <w:t>Total</w:t>
            </w:r>
          </w:p>
        </w:tc>
        <w:tc>
          <w:tcPr>
            <w:tcW w:w="1125" w:type="dxa"/>
            <w:tcBorders>
              <w:top w:val="single" w:sz="4" w:space="0" w:color="auto"/>
              <w:bottom w:val="double" w:sz="4" w:space="0" w:color="auto"/>
            </w:tcBorders>
          </w:tcPr>
          <w:p w14:paraId="6097DF21" w14:textId="63D0CE05" w:rsidR="00037DDA" w:rsidRPr="00037DDA" w:rsidRDefault="00D92B09" w:rsidP="00037DDA">
            <w:pPr>
              <w:tabs>
                <w:tab w:val="decimal" w:pos="1320"/>
              </w:tabs>
              <w:rPr>
                <w:snapToGrid w:val="0"/>
                <w:color w:val="000000"/>
              </w:rPr>
            </w:pPr>
            <w:r>
              <w:rPr>
                <w:snapToGrid w:val="0"/>
                <w:color w:val="000000"/>
              </w:rPr>
              <w:t>1</w:t>
            </w:r>
            <w:r w:rsidR="003E6788">
              <w:rPr>
                <w:snapToGrid w:val="0"/>
                <w:color w:val="000000"/>
              </w:rPr>
              <w:t>00</w:t>
            </w:r>
          </w:p>
        </w:tc>
        <w:tc>
          <w:tcPr>
            <w:tcW w:w="1125" w:type="dxa"/>
            <w:tcBorders>
              <w:top w:val="single" w:sz="4" w:space="0" w:color="auto"/>
              <w:bottom w:val="double" w:sz="4" w:space="0" w:color="auto"/>
            </w:tcBorders>
          </w:tcPr>
          <w:p w14:paraId="3D57E408" w14:textId="5C7C83BC" w:rsidR="00037DDA" w:rsidRPr="00037DDA" w:rsidRDefault="00037DDA" w:rsidP="003E6788">
            <w:pPr>
              <w:tabs>
                <w:tab w:val="left" w:pos="200"/>
              </w:tabs>
              <w:jc w:val="right"/>
              <w:rPr>
                <w:snapToGrid w:val="0"/>
                <w:color w:val="000000"/>
              </w:rPr>
            </w:pPr>
            <w:r w:rsidRPr="00037DDA">
              <w:rPr>
                <w:snapToGrid w:val="0"/>
                <w:color w:val="000000"/>
              </w:rPr>
              <w:t>$</w:t>
            </w:r>
            <w:r w:rsidR="003E6788">
              <w:rPr>
                <w:snapToGrid w:val="0"/>
                <w:color w:val="000000"/>
              </w:rPr>
              <w:tab/>
              <w:t>76,095</w:t>
            </w:r>
          </w:p>
        </w:tc>
        <w:tc>
          <w:tcPr>
            <w:tcW w:w="376" w:type="dxa"/>
          </w:tcPr>
          <w:p w14:paraId="6FD3E816" w14:textId="77777777" w:rsidR="00037DDA" w:rsidRPr="00037DDA" w:rsidRDefault="00037DDA" w:rsidP="00037DDA">
            <w:pPr>
              <w:jc w:val="right"/>
              <w:rPr>
                <w:snapToGrid w:val="0"/>
                <w:color w:val="000000"/>
              </w:rPr>
            </w:pPr>
          </w:p>
        </w:tc>
        <w:tc>
          <w:tcPr>
            <w:tcW w:w="1056" w:type="dxa"/>
            <w:tcBorders>
              <w:top w:val="single" w:sz="4" w:space="0" w:color="auto"/>
              <w:bottom w:val="double" w:sz="4" w:space="0" w:color="auto"/>
            </w:tcBorders>
          </w:tcPr>
          <w:p w14:paraId="2F7B8463" w14:textId="201DF960" w:rsidR="00037DDA" w:rsidRPr="00037DDA" w:rsidRDefault="003E6788" w:rsidP="003E6788">
            <w:pPr>
              <w:tabs>
                <w:tab w:val="decimal" w:pos="1195"/>
              </w:tabs>
              <w:jc w:val="center"/>
              <w:rPr>
                <w:snapToGrid w:val="0"/>
                <w:color w:val="000000"/>
              </w:rPr>
            </w:pPr>
            <w:r>
              <w:rPr>
                <w:snapToGrid w:val="0"/>
                <w:color w:val="000000"/>
              </w:rPr>
              <w:t>2,486</w:t>
            </w:r>
          </w:p>
        </w:tc>
        <w:tc>
          <w:tcPr>
            <w:tcW w:w="1056" w:type="dxa"/>
            <w:tcBorders>
              <w:top w:val="single" w:sz="4" w:space="0" w:color="auto"/>
              <w:bottom w:val="double" w:sz="4" w:space="0" w:color="auto"/>
            </w:tcBorders>
          </w:tcPr>
          <w:p w14:paraId="30928F20" w14:textId="2FE792D2" w:rsidR="00037DDA" w:rsidRPr="00037DDA" w:rsidRDefault="00037DDA" w:rsidP="00037DDA">
            <w:pPr>
              <w:tabs>
                <w:tab w:val="decimal" w:pos="1195"/>
              </w:tabs>
              <w:jc w:val="right"/>
              <w:rPr>
                <w:snapToGrid w:val="0"/>
                <w:color w:val="000000"/>
              </w:rPr>
            </w:pPr>
            <w:r w:rsidRPr="00037DDA">
              <w:rPr>
                <w:snapToGrid w:val="0"/>
                <w:color w:val="000000"/>
              </w:rPr>
              <w:t>$ 1,9</w:t>
            </w:r>
            <w:r w:rsidR="003E6788">
              <w:rPr>
                <w:snapToGrid w:val="0"/>
                <w:color w:val="000000"/>
              </w:rPr>
              <w:t>32,433</w:t>
            </w:r>
          </w:p>
        </w:tc>
      </w:tr>
    </w:tbl>
    <w:p w14:paraId="2918A56A" w14:textId="77777777" w:rsidR="00037DDA" w:rsidRDefault="00037DDA" w:rsidP="000A55AE">
      <w:pPr>
        <w:pStyle w:val="BodyTitle"/>
        <w:spacing w:after="0"/>
      </w:pPr>
    </w:p>
    <w:p w14:paraId="6A1AB052" w14:textId="77777777" w:rsidR="008C1F93" w:rsidRDefault="00DD731B" w:rsidP="008C1F93">
      <w:pPr>
        <w:pStyle w:val="BodyTitle"/>
        <w:spacing w:after="0"/>
        <w:rPr>
          <w:color w:val="000000"/>
          <w:u w:val="none"/>
        </w:rPr>
      </w:pPr>
      <w:r w:rsidRPr="008C1F93">
        <w:rPr>
          <w:color w:val="000000"/>
          <w:u w:val="none"/>
        </w:rPr>
        <w:t xml:space="preserve">As of </w:t>
      </w:r>
      <w:r w:rsidR="00D92B09" w:rsidRPr="008C1F93">
        <w:rPr>
          <w:color w:val="000000"/>
          <w:u w:val="none"/>
        </w:rPr>
        <w:t>September</w:t>
      </w:r>
      <w:r w:rsidRPr="008C1F93">
        <w:rPr>
          <w:color w:val="000000"/>
          <w:u w:val="none"/>
        </w:rPr>
        <w:t xml:space="preserve"> 3</w:t>
      </w:r>
      <w:r w:rsidR="002A07F3" w:rsidRPr="008C1F93">
        <w:rPr>
          <w:color w:val="000000"/>
          <w:u w:val="none"/>
        </w:rPr>
        <w:t>0</w:t>
      </w:r>
      <w:r w:rsidRPr="008C1F93">
        <w:rPr>
          <w:color w:val="000000"/>
          <w:u w:val="none"/>
        </w:rPr>
        <w:t xml:space="preserve">, 2020, there were 100 shares of </w:t>
      </w:r>
      <w:r w:rsidRPr="008C1F93">
        <w:rPr>
          <w:u w:val="none"/>
        </w:rPr>
        <w:t xml:space="preserve">Series B </w:t>
      </w:r>
      <w:r w:rsidR="008C1F93" w:rsidRPr="008C1F93">
        <w:rPr>
          <w:u w:val="none"/>
        </w:rPr>
        <w:t xml:space="preserve">Convertible </w:t>
      </w:r>
      <w:r w:rsidRPr="008C1F93">
        <w:rPr>
          <w:u w:val="none"/>
        </w:rPr>
        <w:t>Preferred Stock outstanding,</w:t>
      </w:r>
      <w:r w:rsidRPr="008C1F93">
        <w:rPr>
          <w:color w:val="000000"/>
          <w:u w:val="none"/>
        </w:rPr>
        <w:t xml:space="preserve"> convertible </w:t>
      </w:r>
      <w:r w:rsidR="008C1F93" w:rsidRPr="008C1F93">
        <w:rPr>
          <w:color w:val="000000"/>
          <w:u w:val="none"/>
        </w:rPr>
        <w:t>into a negligible number of shares of common stock</w:t>
      </w:r>
      <w:r w:rsidRPr="008C1F93">
        <w:rPr>
          <w:color w:val="000000"/>
          <w:u w:val="none"/>
        </w:rPr>
        <w:t xml:space="preserve">. There were no transactions involving our Series B Preferred Stock during the </w:t>
      </w:r>
      <w:r w:rsidR="00D92B09" w:rsidRPr="008C1F93">
        <w:rPr>
          <w:color w:val="000000"/>
          <w:u w:val="none"/>
        </w:rPr>
        <w:t>nine</w:t>
      </w:r>
      <w:r w:rsidRPr="008C1F93">
        <w:rPr>
          <w:color w:val="000000"/>
          <w:u w:val="none"/>
        </w:rPr>
        <w:t xml:space="preserve"> months ended </w:t>
      </w:r>
      <w:r w:rsidR="00D92B09" w:rsidRPr="008C1F93">
        <w:rPr>
          <w:color w:val="000000"/>
          <w:u w:val="none"/>
        </w:rPr>
        <w:t>September</w:t>
      </w:r>
      <w:r w:rsidRPr="008C1F93">
        <w:rPr>
          <w:color w:val="000000"/>
          <w:u w:val="none"/>
        </w:rPr>
        <w:t xml:space="preserve"> 3</w:t>
      </w:r>
      <w:r w:rsidR="00615EF5" w:rsidRPr="008C1F93">
        <w:rPr>
          <w:color w:val="000000"/>
          <w:u w:val="none"/>
        </w:rPr>
        <w:t>0</w:t>
      </w:r>
      <w:r w:rsidRPr="008C1F93">
        <w:rPr>
          <w:color w:val="000000"/>
          <w:u w:val="none"/>
        </w:rPr>
        <w:t>, 2020.</w:t>
      </w:r>
      <w:bookmarkStart w:id="25" w:name="_Hlk37248529"/>
      <w:r w:rsidR="008C1F93" w:rsidRPr="008C1F93">
        <w:rPr>
          <w:color w:val="000000"/>
          <w:u w:val="none"/>
        </w:rPr>
        <w:t xml:space="preserve"> </w:t>
      </w:r>
    </w:p>
    <w:p w14:paraId="032304BB" w14:textId="77777777" w:rsidR="008C1F93" w:rsidRDefault="008C1F93" w:rsidP="008C1F93">
      <w:pPr>
        <w:pStyle w:val="BodyTitle"/>
        <w:spacing w:after="0"/>
        <w:rPr>
          <w:color w:val="000000"/>
          <w:u w:val="none"/>
        </w:rPr>
      </w:pPr>
    </w:p>
    <w:p w14:paraId="487594C6" w14:textId="7F7C2F63" w:rsidR="008C1F93" w:rsidRDefault="003E6788" w:rsidP="008C1F93">
      <w:pPr>
        <w:pStyle w:val="BodyTitle"/>
        <w:spacing w:after="0"/>
        <w:rPr>
          <w:u w:val="none"/>
        </w:rPr>
      </w:pPr>
      <w:r w:rsidRPr="008C1F93">
        <w:rPr>
          <w:u w:val="none"/>
        </w:rPr>
        <w:t xml:space="preserve">During </w:t>
      </w:r>
      <w:r w:rsidR="00DD731B" w:rsidRPr="008C1F93">
        <w:rPr>
          <w:u w:val="none"/>
        </w:rPr>
        <w:t xml:space="preserve">the </w:t>
      </w:r>
      <w:r w:rsidR="00B92B68" w:rsidRPr="008C1F93">
        <w:rPr>
          <w:u w:val="none"/>
        </w:rPr>
        <w:t>first quarter of 2020</w:t>
      </w:r>
      <w:r w:rsidRPr="008C1F93">
        <w:rPr>
          <w:u w:val="none"/>
        </w:rPr>
        <w:t xml:space="preserve">, </w:t>
      </w:r>
      <w:r w:rsidR="00DD731B" w:rsidRPr="008C1F93">
        <w:rPr>
          <w:u w:val="none"/>
        </w:rPr>
        <w:t>1,686</w:t>
      </w:r>
      <w:r w:rsidRPr="008C1F93">
        <w:rPr>
          <w:u w:val="none"/>
        </w:rPr>
        <w:t xml:space="preserve"> shares of </w:t>
      </w:r>
      <w:r w:rsidR="008C1F93" w:rsidRPr="008C1F93">
        <w:rPr>
          <w:u w:val="none"/>
        </w:rPr>
        <w:t xml:space="preserve">our </w:t>
      </w:r>
      <w:r w:rsidRPr="008C1F93">
        <w:rPr>
          <w:u w:val="none"/>
        </w:rPr>
        <w:t xml:space="preserve">Series H </w:t>
      </w:r>
      <w:r w:rsidR="008C1F93" w:rsidRPr="008C1F93">
        <w:rPr>
          <w:u w:val="none"/>
        </w:rPr>
        <w:t xml:space="preserve">Convertible </w:t>
      </w:r>
      <w:r w:rsidRPr="008C1F93">
        <w:rPr>
          <w:u w:val="none"/>
        </w:rPr>
        <w:t xml:space="preserve">Preferred Stock were converted into </w:t>
      </w:r>
      <w:r w:rsidR="00D92B09" w:rsidRPr="008C1F93">
        <w:rPr>
          <w:u w:val="none"/>
        </w:rPr>
        <w:t>469</w:t>
      </w:r>
      <w:r w:rsidR="00851459">
        <w:rPr>
          <w:u w:val="none"/>
        </w:rPr>
        <w:t>,</w:t>
      </w:r>
      <w:r w:rsidR="00D92B09" w:rsidRPr="008C1F93">
        <w:rPr>
          <w:u w:val="none"/>
        </w:rPr>
        <w:t>69</w:t>
      </w:r>
      <w:r w:rsidR="00851459">
        <w:rPr>
          <w:u w:val="none"/>
        </w:rPr>
        <w:t>6</w:t>
      </w:r>
      <w:r w:rsidRPr="008C1F93">
        <w:rPr>
          <w:u w:val="none"/>
        </w:rPr>
        <w:t xml:space="preserve"> shares of our common stock</w:t>
      </w:r>
      <w:r w:rsidRPr="008C1F93">
        <w:rPr>
          <w:color w:val="000000"/>
          <w:u w:val="none"/>
        </w:rPr>
        <w:t>.</w:t>
      </w:r>
      <w:bookmarkEnd w:id="25"/>
      <w:r w:rsidR="00DD731B" w:rsidRPr="008C1F93">
        <w:rPr>
          <w:color w:val="000000"/>
          <w:u w:val="none"/>
        </w:rPr>
        <w:t xml:space="preserve"> </w:t>
      </w:r>
      <w:bookmarkStart w:id="26" w:name="_Hlk37248614"/>
      <w:r w:rsidR="00DD731B" w:rsidRPr="008C1F93">
        <w:rPr>
          <w:color w:val="000000"/>
          <w:u w:val="none"/>
        </w:rPr>
        <w:t xml:space="preserve">As of </w:t>
      </w:r>
      <w:r w:rsidR="00D92B09" w:rsidRPr="008C1F93">
        <w:rPr>
          <w:color w:val="000000"/>
          <w:u w:val="none"/>
        </w:rPr>
        <w:t>September</w:t>
      </w:r>
      <w:r w:rsidR="00DD731B" w:rsidRPr="008C1F93">
        <w:rPr>
          <w:color w:val="000000"/>
          <w:u w:val="none"/>
        </w:rPr>
        <w:t xml:space="preserve"> 3</w:t>
      </w:r>
      <w:r w:rsidR="00615EF5" w:rsidRPr="008C1F93">
        <w:rPr>
          <w:color w:val="000000"/>
          <w:u w:val="none"/>
        </w:rPr>
        <w:t>0</w:t>
      </w:r>
      <w:r w:rsidR="00DD731B" w:rsidRPr="008C1F93">
        <w:rPr>
          <w:color w:val="000000"/>
          <w:u w:val="none"/>
        </w:rPr>
        <w:t xml:space="preserve">, 2020, there </w:t>
      </w:r>
      <w:r w:rsidR="00851459">
        <w:rPr>
          <w:color w:val="000000"/>
          <w:u w:val="none"/>
        </w:rPr>
        <w:t>were</w:t>
      </w:r>
      <w:r w:rsidR="00DD731B" w:rsidRPr="008C1F93">
        <w:rPr>
          <w:color w:val="000000"/>
          <w:u w:val="none"/>
        </w:rPr>
        <w:t xml:space="preserve"> no shares of </w:t>
      </w:r>
      <w:r w:rsidR="00DD731B" w:rsidRPr="008C1F93">
        <w:rPr>
          <w:u w:val="none"/>
        </w:rPr>
        <w:t>Series H Preferred Stock outstanding</w:t>
      </w:r>
      <w:bookmarkEnd w:id="26"/>
      <w:r w:rsidR="00DD731B" w:rsidRPr="008C1F93">
        <w:rPr>
          <w:u w:val="none"/>
        </w:rPr>
        <w:t>.</w:t>
      </w:r>
      <w:r w:rsidR="008C1F93" w:rsidRPr="008C1F93">
        <w:rPr>
          <w:u w:val="none"/>
        </w:rPr>
        <w:t xml:space="preserve"> </w:t>
      </w:r>
    </w:p>
    <w:p w14:paraId="658E8EA8" w14:textId="77777777" w:rsidR="008C1F93" w:rsidRDefault="008C1F93" w:rsidP="008C1F93">
      <w:pPr>
        <w:pStyle w:val="BodyTitle"/>
        <w:spacing w:after="0"/>
        <w:rPr>
          <w:u w:val="none"/>
        </w:rPr>
      </w:pPr>
    </w:p>
    <w:p w14:paraId="5F93B52D" w14:textId="73645F75" w:rsidR="003E6788" w:rsidRPr="008C1F93" w:rsidRDefault="00DD731B" w:rsidP="008C1F93">
      <w:pPr>
        <w:pStyle w:val="BodyTitle"/>
        <w:spacing w:after="0"/>
        <w:rPr>
          <w:i/>
          <w:u w:val="none"/>
        </w:rPr>
      </w:pPr>
      <w:r w:rsidRPr="008C1F93">
        <w:rPr>
          <w:u w:val="none"/>
        </w:rPr>
        <w:t xml:space="preserve">During </w:t>
      </w:r>
      <w:r w:rsidR="00940F9D" w:rsidRPr="008C1F93">
        <w:rPr>
          <w:u w:val="none"/>
        </w:rPr>
        <w:t>the first quarter of</w:t>
      </w:r>
      <w:r w:rsidRPr="008C1F93">
        <w:rPr>
          <w:u w:val="none"/>
        </w:rPr>
        <w:t xml:space="preserve"> 2020, 700 shares of </w:t>
      </w:r>
      <w:r w:rsidR="008C1F93" w:rsidRPr="008C1F93">
        <w:rPr>
          <w:u w:val="none"/>
        </w:rPr>
        <w:t xml:space="preserve">our </w:t>
      </w:r>
      <w:r w:rsidRPr="008C1F93">
        <w:rPr>
          <w:u w:val="none"/>
        </w:rPr>
        <w:t xml:space="preserve">Series </w:t>
      </w:r>
      <w:r w:rsidR="00613F1F" w:rsidRPr="008C1F93">
        <w:rPr>
          <w:u w:val="none"/>
        </w:rPr>
        <w:t>I</w:t>
      </w:r>
      <w:r w:rsidRPr="008C1F93">
        <w:rPr>
          <w:u w:val="none"/>
        </w:rPr>
        <w:t xml:space="preserve"> </w:t>
      </w:r>
      <w:r w:rsidR="008C1F93" w:rsidRPr="008C1F93">
        <w:rPr>
          <w:u w:val="none"/>
        </w:rPr>
        <w:t xml:space="preserve">Convertible </w:t>
      </w:r>
      <w:r w:rsidRPr="008C1F93">
        <w:rPr>
          <w:u w:val="none"/>
        </w:rPr>
        <w:t xml:space="preserve">Preferred Stock were converted into </w:t>
      </w:r>
      <w:r w:rsidR="00D92B09" w:rsidRPr="008C1F93">
        <w:rPr>
          <w:u w:val="none"/>
        </w:rPr>
        <w:t>204,371</w:t>
      </w:r>
      <w:r w:rsidRPr="008C1F93">
        <w:rPr>
          <w:u w:val="none"/>
        </w:rPr>
        <w:t xml:space="preserve"> shares of our common stock</w:t>
      </w:r>
      <w:r w:rsidRPr="008C1F93">
        <w:rPr>
          <w:color w:val="000000"/>
          <w:u w:val="none"/>
        </w:rPr>
        <w:t xml:space="preserve">. As of </w:t>
      </w:r>
      <w:r w:rsidR="00D92B09" w:rsidRPr="008C1F93">
        <w:rPr>
          <w:color w:val="000000"/>
          <w:u w:val="none"/>
        </w:rPr>
        <w:t>September</w:t>
      </w:r>
      <w:r w:rsidRPr="008C1F93">
        <w:rPr>
          <w:color w:val="000000"/>
          <w:u w:val="none"/>
        </w:rPr>
        <w:t xml:space="preserve"> 3</w:t>
      </w:r>
      <w:r w:rsidR="00615EF5" w:rsidRPr="008C1F93">
        <w:rPr>
          <w:color w:val="000000"/>
          <w:u w:val="none"/>
        </w:rPr>
        <w:t>0</w:t>
      </w:r>
      <w:r w:rsidRPr="008C1F93">
        <w:rPr>
          <w:color w:val="000000"/>
          <w:u w:val="none"/>
        </w:rPr>
        <w:t xml:space="preserve">, 2020, there </w:t>
      </w:r>
      <w:r w:rsidR="00851459">
        <w:rPr>
          <w:color w:val="000000"/>
          <w:u w:val="none"/>
        </w:rPr>
        <w:t>were</w:t>
      </w:r>
      <w:r w:rsidRPr="008C1F93">
        <w:rPr>
          <w:color w:val="000000"/>
          <w:u w:val="none"/>
        </w:rPr>
        <w:t xml:space="preserve"> no shares of </w:t>
      </w:r>
      <w:r w:rsidRPr="008C1F93">
        <w:rPr>
          <w:u w:val="none"/>
        </w:rPr>
        <w:t>Series I Preferred Stock outstanding</w:t>
      </w:r>
      <w:r w:rsidR="00202722" w:rsidRPr="008C1F93">
        <w:rPr>
          <w:u w:val="none"/>
        </w:rPr>
        <w:t>.</w:t>
      </w:r>
    </w:p>
    <w:p w14:paraId="11175B6A" w14:textId="17CCEEE4" w:rsidR="000A55AE" w:rsidRPr="008C287F" w:rsidRDefault="000A55AE" w:rsidP="000A55AE">
      <w:pPr>
        <w:pStyle w:val="BodyTitle"/>
        <w:spacing w:after="0"/>
      </w:pPr>
    </w:p>
    <w:p w14:paraId="59AF1184" w14:textId="31E75920" w:rsidR="001C1A41" w:rsidRDefault="003E6788" w:rsidP="0050457F">
      <w:r w:rsidRPr="003E6788">
        <w:t xml:space="preserve">On January 24, 2020, we entered into a Securities Purchase Agreement with the purchasers identified therein providing for the issuance and sale to the </w:t>
      </w:r>
      <w:r w:rsidR="008C1F93">
        <w:t>p</w:t>
      </w:r>
      <w:r w:rsidRPr="003E6788">
        <w:t xml:space="preserve">urchasers of an aggregate of 300 shares of our Series J Convertible Preferred Stock (“Series </w:t>
      </w:r>
      <w:r w:rsidR="00613F1F">
        <w:t>J</w:t>
      </w:r>
      <w:r w:rsidRPr="003E6788">
        <w:t xml:space="preserve"> Preferred Stock”) for gross proceeds of $300,000.</w:t>
      </w:r>
      <w:r>
        <w:t xml:space="preserve">  </w:t>
      </w:r>
      <w:r w:rsidRPr="003E6788">
        <w:t xml:space="preserve">Our Series J Preferred Stock has rights and privileges as set forth in the pertinent Certificate of Designation of Preferences, Rights and Limitations, including </w:t>
      </w:r>
      <w:r w:rsidRPr="003E6788">
        <w:rPr>
          <w:color w:val="000000"/>
        </w:rPr>
        <w:t xml:space="preserve">a liquidation preference equal to the stated value per share. The Series J Preferred Stock has no voting rights and is not entitled to a dividend. </w:t>
      </w:r>
      <w:r w:rsidR="001C1A41" w:rsidRPr="003E6788">
        <w:t xml:space="preserve">During </w:t>
      </w:r>
      <w:r w:rsidR="001C1A41">
        <w:t xml:space="preserve">July </w:t>
      </w:r>
      <w:r w:rsidR="001C1A41" w:rsidRPr="003E6788">
        <w:t>20</w:t>
      </w:r>
      <w:r w:rsidR="001C1A41">
        <w:t>20</w:t>
      </w:r>
      <w:r w:rsidR="001C1A41" w:rsidRPr="003E6788">
        <w:t xml:space="preserve">, </w:t>
      </w:r>
      <w:r w:rsidR="001C1A41">
        <w:t>300</w:t>
      </w:r>
      <w:r w:rsidR="001C1A41" w:rsidRPr="003E6788">
        <w:t xml:space="preserve"> shares of Series </w:t>
      </w:r>
      <w:r w:rsidR="001C1A41">
        <w:t>J</w:t>
      </w:r>
      <w:r w:rsidR="001C1A41" w:rsidRPr="003E6788">
        <w:t xml:space="preserve"> Preferred Stock were converted into </w:t>
      </w:r>
      <w:r w:rsidR="001C1A41">
        <w:t>42,723</w:t>
      </w:r>
      <w:r w:rsidR="001C1A41" w:rsidRPr="003E6788">
        <w:t xml:space="preserve"> shares of our common stock</w:t>
      </w:r>
      <w:r w:rsidR="001C1A41" w:rsidRPr="003E6788">
        <w:rPr>
          <w:color w:val="000000"/>
        </w:rPr>
        <w:t>.</w:t>
      </w:r>
      <w:r w:rsidR="001C1A41" w:rsidRPr="00DD731B">
        <w:rPr>
          <w:color w:val="000000"/>
        </w:rPr>
        <w:t xml:space="preserve"> As of </w:t>
      </w:r>
      <w:r w:rsidR="001C1A41">
        <w:rPr>
          <w:color w:val="000000"/>
        </w:rPr>
        <w:t>September</w:t>
      </w:r>
      <w:r w:rsidR="001C1A41" w:rsidRPr="00DD731B">
        <w:rPr>
          <w:color w:val="000000"/>
        </w:rPr>
        <w:t xml:space="preserve"> 3</w:t>
      </w:r>
      <w:r w:rsidR="001C1A41">
        <w:rPr>
          <w:color w:val="000000"/>
        </w:rPr>
        <w:t>0</w:t>
      </w:r>
      <w:r w:rsidR="001C1A41" w:rsidRPr="00DD731B">
        <w:rPr>
          <w:color w:val="000000"/>
        </w:rPr>
        <w:t>, 20</w:t>
      </w:r>
      <w:r w:rsidR="001C1A41">
        <w:rPr>
          <w:color w:val="000000"/>
        </w:rPr>
        <w:t>20</w:t>
      </w:r>
      <w:r w:rsidR="001C1A41" w:rsidRPr="00DD731B">
        <w:rPr>
          <w:color w:val="000000"/>
        </w:rPr>
        <w:t xml:space="preserve">, there </w:t>
      </w:r>
      <w:r w:rsidR="00851459">
        <w:rPr>
          <w:color w:val="000000"/>
        </w:rPr>
        <w:t>were</w:t>
      </w:r>
      <w:r w:rsidR="001C1A41">
        <w:rPr>
          <w:color w:val="000000"/>
        </w:rPr>
        <w:t xml:space="preserve"> no</w:t>
      </w:r>
      <w:r w:rsidR="001C1A41" w:rsidRPr="00DD731B">
        <w:rPr>
          <w:color w:val="000000"/>
        </w:rPr>
        <w:t xml:space="preserve"> shares of </w:t>
      </w:r>
      <w:r w:rsidR="001C1A41" w:rsidRPr="00DD731B">
        <w:t xml:space="preserve">Series </w:t>
      </w:r>
      <w:r w:rsidR="001C1A41">
        <w:t>J</w:t>
      </w:r>
      <w:r w:rsidR="001C1A41" w:rsidRPr="00DD731B">
        <w:t xml:space="preserve"> Preferred Stock outstanding</w:t>
      </w:r>
      <w:r w:rsidR="00940F9D">
        <w:t>.</w:t>
      </w:r>
    </w:p>
    <w:p w14:paraId="30620AB1" w14:textId="77777777" w:rsidR="000A55AE" w:rsidRPr="008B66A9" w:rsidRDefault="000A55AE" w:rsidP="000A55AE">
      <w:pPr>
        <w:rPr>
          <w:color w:val="000000"/>
        </w:rPr>
      </w:pPr>
    </w:p>
    <w:p w14:paraId="4BF608A6" w14:textId="2062F6E7" w:rsidR="00881E20" w:rsidRPr="001E78A9" w:rsidRDefault="00881E20" w:rsidP="000A55AE">
      <w:pPr>
        <w:pStyle w:val="BodyTitle"/>
        <w:spacing w:after="0"/>
        <w:rPr>
          <w:i/>
          <w:u w:val="none"/>
        </w:rPr>
      </w:pPr>
      <w:r w:rsidRPr="001E78A9">
        <w:rPr>
          <w:i/>
          <w:u w:val="none"/>
        </w:rPr>
        <w:t>Common Stock</w:t>
      </w:r>
    </w:p>
    <w:p w14:paraId="2AEAD8FA" w14:textId="77777777" w:rsidR="003E6788" w:rsidRDefault="003E6788" w:rsidP="003E6788">
      <w:pPr>
        <w:rPr>
          <w:i/>
        </w:rPr>
      </w:pPr>
    </w:p>
    <w:p w14:paraId="7EC8B1E2" w14:textId="045E6F2A" w:rsidR="003E6788" w:rsidRPr="003E6788" w:rsidRDefault="003E6788" w:rsidP="003E6788">
      <w:pPr>
        <w:rPr>
          <w:i/>
        </w:rPr>
      </w:pPr>
      <w:r w:rsidRPr="003E6788">
        <w:rPr>
          <w:i/>
        </w:rPr>
        <w:t>Reverse Stock Split</w:t>
      </w:r>
      <w:r w:rsidR="001C1A41">
        <w:rPr>
          <w:i/>
        </w:rPr>
        <w:t>s</w:t>
      </w:r>
      <w:r w:rsidRPr="003E6788">
        <w:rPr>
          <w:i/>
        </w:rPr>
        <w:t xml:space="preserve"> –</w:t>
      </w:r>
      <w:bookmarkStart w:id="27" w:name="_Hlk53153037"/>
      <w:r w:rsidR="00284724">
        <w:t xml:space="preserve"> On April 30, 2019, we enacted a 1-for-500 reverse stock split of our common stock, o</w:t>
      </w:r>
      <w:r w:rsidRPr="003E6788">
        <w:t xml:space="preserve">n </w:t>
      </w:r>
      <w:r>
        <w:t>January</w:t>
      </w:r>
      <w:r w:rsidRPr="003E6788">
        <w:t xml:space="preserve"> </w:t>
      </w:r>
      <w:r>
        <w:t>21</w:t>
      </w:r>
      <w:r w:rsidRPr="003E6788">
        <w:t>, 20</w:t>
      </w:r>
      <w:r>
        <w:t>20</w:t>
      </w:r>
      <w:r w:rsidRPr="003E6788">
        <w:t xml:space="preserve">, we effected a </w:t>
      </w:r>
      <w:r w:rsidR="001C1A41">
        <w:t>1-for-2000</w:t>
      </w:r>
      <w:r w:rsidRPr="003E6788">
        <w:t xml:space="preserve"> reverse split of our common stock </w:t>
      </w:r>
      <w:bookmarkEnd w:id="27"/>
      <w:r w:rsidR="00284724">
        <w:t>and</w:t>
      </w:r>
      <w:r w:rsidR="001C1A41" w:rsidRPr="003E6788">
        <w:t xml:space="preserve"> on </w:t>
      </w:r>
      <w:r w:rsidR="001C1A41">
        <w:t>September</w:t>
      </w:r>
      <w:r w:rsidR="001C1A41" w:rsidRPr="003E6788">
        <w:t xml:space="preserve"> </w:t>
      </w:r>
      <w:r w:rsidR="001C1A41">
        <w:t>25</w:t>
      </w:r>
      <w:r w:rsidR="001C1A41" w:rsidRPr="003E6788">
        <w:t>, 20</w:t>
      </w:r>
      <w:r w:rsidR="001C1A41">
        <w:t>20</w:t>
      </w:r>
      <w:r w:rsidR="001C1A41" w:rsidRPr="003E6788">
        <w:t xml:space="preserve">, we effected a </w:t>
      </w:r>
      <w:r w:rsidR="001C1A41">
        <w:t>1-for-20</w:t>
      </w:r>
      <w:r w:rsidR="001C1A41" w:rsidRPr="003E6788">
        <w:t xml:space="preserve"> reverse split of our common stock</w:t>
      </w:r>
      <w:r w:rsidR="00284724">
        <w:t>.</w:t>
      </w:r>
    </w:p>
    <w:p w14:paraId="3AB0D953" w14:textId="3D2E9901" w:rsidR="001E78A9" w:rsidRDefault="001E78A9" w:rsidP="000A55AE">
      <w:pPr>
        <w:pStyle w:val="BodyText"/>
        <w:spacing w:after="0"/>
      </w:pPr>
    </w:p>
    <w:p w14:paraId="58C81FD1" w14:textId="0D44E9B6" w:rsidR="002673EE" w:rsidRDefault="002673EE" w:rsidP="002673EE">
      <w:pPr>
        <w:pStyle w:val="BodyText"/>
        <w:spacing w:after="0"/>
      </w:pPr>
      <w:r w:rsidRPr="002673EE">
        <w:rPr>
          <w:i/>
          <w:iCs/>
        </w:rPr>
        <w:t>Conversions of Preferred Stock</w:t>
      </w:r>
      <w:r>
        <w:t xml:space="preserve"> – As discussed under “Preferred Stock” above, during the nine months ended September 30, 2020, we issued 716,790 shares of our common stock pursuant to conversions of our Series H, Series I, and Series J Preferred Stock.  </w:t>
      </w:r>
    </w:p>
    <w:p w14:paraId="3B0449F2" w14:textId="77777777" w:rsidR="002673EE" w:rsidRDefault="002673EE" w:rsidP="000A55AE">
      <w:pPr>
        <w:pStyle w:val="BodyText"/>
        <w:spacing w:after="0"/>
      </w:pPr>
    </w:p>
    <w:p w14:paraId="301739DD" w14:textId="12F6256C" w:rsidR="00007757" w:rsidRDefault="00B55C99" w:rsidP="00B55C99">
      <w:pPr>
        <w:pStyle w:val="BodyText"/>
        <w:spacing w:after="0"/>
      </w:pPr>
      <w:bookmarkStart w:id="28" w:name="_Hlk53826292"/>
      <w:r w:rsidRPr="00B55C99">
        <w:rPr>
          <w:i/>
          <w:iCs/>
        </w:rPr>
        <w:t xml:space="preserve">Public Offering – </w:t>
      </w:r>
      <w:r w:rsidRPr="00B55C99">
        <w:t xml:space="preserve">On September 24, 2020, </w:t>
      </w:r>
      <w:r w:rsidR="00007757">
        <w:t>we</w:t>
      </w:r>
      <w:r w:rsidRPr="00B55C99">
        <w:t xml:space="preserve"> entered into an Underwriting Agreement (the “Underwriting Agreement”) with Maxim Group LLC, as representative of the underwriters (the “Representative”), for an underwritten public offering (the “Offering”) of an aggregate of 2,560,000 units </w:t>
      </w:r>
      <w:r w:rsidR="00851459">
        <w:t xml:space="preserve">of our equity securities </w:t>
      </w:r>
      <w:r w:rsidRPr="00B55C99">
        <w:t xml:space="preserve">(the “Units”). </w:t>
      </w:r>
      <w:r w:rsidR="00007757">
        <w:t xml:space="preserve">The Offering closed on September 29, 2020, with gross proceeds to us of </w:t>
      </w:r>
      <w:r w:rsidR="00007757" w:rsidRPr="00B55C99">
        <w:t>approximately $12.8 million</w:t>
      </w:r>
      <w:r w:rsidR="00231B45">
        <w:t xml:space="preserve">; net proceeds after </w:t>
      </w:r>
      <w:r w:rsidR="00007757" w:rsidRPr="00B55C99">
        <w:t>deducting underwriting discounts and commissions and other offering expenses</w:t>
      </w:r>
      <w:r w:rsidR="00231B45">
        <w:t xml:space="preserve"> were approximately $11.2 million.</w:t>
      </w:r>
    </w:p>
    <w:p w14:paraId="3A55E846" w14:textId="77777777" w:rsidR="00007757" w:rsidRDefault="00007757" w:rsidP="00B55C99">
      <w:pPr>
        <w:pStyle w:val="BodyText"/>
        <w:spacing w:after="0"/>
      </w:pPr>
    </w:p>
    <w:p w14:paraId="0032020C" w14:textId="1738FA4D" w:rsidR="00B55C99" w:rsidRPr="00B55C99" w:rsidRDefault="00B55C99" w:rsidP="00B55C99">
      <w:pPr>
        <w:pStyle w:val="BodyText"/>
        <w:spacing w:after="0"/>
      </w:pPr>
      <w:r w:rsidRPr="00B55C99">
        <w:t>Of the 2,560,000 Units</w:t>
      </w:r>
      <w:r w:rsidR="00007757">
        <w:t xml:space="preserve"> sold in the Offering</w:t>
      </w:r>
      <w:r w:rsidRPr="00B55C99">
        <w:t xml:space="preserve">: (a) 2,310,000 Units consist of one share </w:t>
      </w:r>
      <w:r w:rsidR="00007757">
        <w:t>of our</w:t>
      </w:r>
      <w:r w:rsidRPr="00B55C99">
        <w:t xml:space="preserve"> common stock, and a </w:t>
      </w:r>
      <w:r w:rsidR="00F64423">
        <w:t>Warrant</w:t>
      </w:r>
      <w:r w:rsidR="00007757">
        <w:t xml:space="preserve"> </w:t>
      </w:r>
      <w:r w:rsidRPr="00B55C99">
        <w:t xml:space="preserve">to purchase one share of </w:t>
      </w:r>
      <w:r w:rsidR="00007757">
        <w:t>c</w:t>
      </w:r>
      <w:r w:rsidRPr="00B55C99">
        <w:t xml:space="preserve">ommon </w:t>
      </w:r>
      <w:r w:rsidR="00007757">
        <w:t>s</w:t>
      </w:r>
      <w:r w:rsidRPr="00B55C99">
        <w:t>tock</w:t>
      </w:r>
      <w:r w:rsidR="007463EF">
        <w:t xml:space="preserve"> (each, a “Unit Warrant”)</w:t>
      </w:r>
      <w:r w:rsidRPr="00B55C99">
        <w:t>; and (b) 250,000 Units consist</w:t>
      </w:r>
      <w:r w:rsidR="007463EF">
        <w:t>ing</w:t>
      </w:r>
      <w:r w:rsidRPr="00B55C99">
        <w:t xml:space="preserve"> of</w:t>
      </w:r>
      <w:r w:rsidR="00851459">
        <w:t xml:space="preserve"> a</w:t>
      </w:r>
      <w:r w:rsidRPr="00B55C99">
        <w:t xml:space="preserve"> </w:t>
      </w:r>
      <w:r w:rsidR="00007757">
        <w:t>Pre-Funded Warrant</w:t>
      </w:r>
      <w:r w:rsidRPr="00B55C99">
        <w:t xml:space="preserve"> to purchase one share of </w:t>
      </w:r>
      <w:r w:rsidR="00007757">
        <w:t>c</w:t>
      </w:r>
      <w:r w:rsidRPr="00B55C99">
        <w:t xml:space="preserve">ommon </w:t>
      </w:r>
      <w:r w:rsidR="00007757">
        <w:t>s</w:t>
      </w:r>
      <w:r w:rsidRPr="00B55C99">
        <w:t xml:space="preserve">tock and </w:t>
      </w:r>
      <w:r w:rsidR="00007757">
        <w:t xml:space="preserve">a </w:t>
      </w:r>
      <w:r w:rsidR="00F64423">
        <w:t>Unit</w:t>
      </w:r>
      <w:r w:rsidR="00007757">
        <w:t xml:space="preserve"> W</w:t>
      </w:r>
      <w:r w:rsidRPr="00B55C99">
        <w:t xml:space="preserve">arrant. </w:t>
      </w:r>
      <w:r w:rsidR="00D520A0" w:rsidRPr="00FC7840">
        <w:t xml:space="preserve">The </w:t>
      </w:r>
      <w:r w:rsidR="00D520A0">
        <w:t>P</w:t>
      </w:r>
      <w:r w:rsidR="00D520A0" w:rsidRPr="00FC7840">
        <w:t>re-</w:t>
      </w:r>
      <w:r w:rsidR="00D520A0">
        <w:t>F</w:t>
      </w:r>
      <w:r w:rsidR="00D520A0" w:rsidRPr="00FC7840">
        <w:t xml:space="preserve">unded </w:t>
      </w:r>
      <w:r w:rsidR="00D520A0">
        <w:t>W</w:t>
      </w:r>
      <w:r w:rsidR="00D520A0" w:rsidRPr="00FC7840">
        <w:t xml:space="preserve">arrants provide the holder the right to purchase one share of </w:t>
      </w:r>
      <w:r w:rsidR="00D520A0">
        <w:t>c</w:t>
      </w:r>
      <w:r w:rsidR="00D520A0" w:rsidRPr="00FC7840">
        <w:t xml:space="preserve">ommon </w:t>
      </w:r>
      <w:r w:rsidR="00D520A0">
        <w:t>s</w:t>
      </w:r>
      <w:r w:rsidR="00D520A0" w:rsidRPr="00FC7840">
        <w:t xml:space="preserve">tock at an exercise price of $0.01 per share, are immediately exercisable and will not expire until exercised in full. The </w:t>
      </w:r>
      <w:r w:rsidR="00F64423">
        <w:t>Unit</w:t>
      </w:r>
      <w:r w:rsidR="00D520A0">
        <w:t xml:space="preserve"> W</w:t>
      </w:r>
      <w:r w:rsidR="00D520A0" w:rsidRPr="00FC7840">
        <w:t xml:space="preserve">arrants provide the holder the right to purchase one share of </w:t>
      </w:r>
      <w:r w:rsidR="00D520A0">
        <w:t>c</w:t>
      </w:r>
      <w:r w:rsidR="00D520A0" w:rsidRPr="00FC7840">
        <w:t xml:space="preserve">ommon </w:t>
      </w:r>
      <w:r w:rsidR="00D520A0">
        <w:t>s</w:t>
      </w:r>
      <w:r w:rsidR="00D520A0" w:rsidRPr="00FC7840">
        <w:t>tock</w:t>
      </w:r>
      <w:r w:rsidR="00D520A0">
        <w:t xml:space="preserve">, are </w:t>
      </w:r>
      <w:r w:rsidR="00D520A0" w:rsidRPr="00FC7840">
        <w:t>immediately exercisable at an exercise price of $5.00 per share and expire five years after the issuance date</w:t>
      </w:r>
      <w:r w:rsidR="00D520A0">
        <w:t xml:space="preserve">. </w:t>
      </w:r>
      <w:r w:rsidRPr="00B55C99">
        <w:t>The public offering price was $5.00 per Unit</w:t>
      </w:r>
      <w:r w:rsidR="00D520A0">
        <w:t xml:space="preserve"> (</w:t>
      </w:r>
      <w:r w:rsidR="00D520A0" w:rsidRPr="00B55C99">
        <w:t>$4.99</w:t>
      </w:r>
      <w:r w:rsidR="00D520A0">
        <w:t xml:space="preserve"> for each Unit including a Pre-Funded Warrant). </w:t>
      </w:r>
      <w:r w:rsidR="00007757">
        <w:t>We</w:t>
      </w:r>
      <w:r w:rsidRPr="00B55C99">
        <w:t xml:space="preserve"> granted the Representative a 45-day option to purchase up to 384,000 </w:t>
      </w:r>
      <w:r w:rsidR="00A76474">
        <w:t xml:space="preserve">Units </w:t>
      </w:r>
      <w:r w:rsidRPr="00B55C99">
        <w:t xml:space="preserve">to cover over-allotments, if any. </w:t>
      </w:r>
    </w:p>
    <w:p w14:paraId="35644CC3" w14:textId="77777777" w:rsidR="00B55C99" w:rsidRPr="00B55C99" w:rsidRDefault="00B55C99" w:rsidP="00B55C99">
      <w:pPr>
        <w:pStyle w:val="BodyText"/>
        <w:spacing w:after="0"/>
      </w:pPr>
    </w:p>
    <w:p w14:paraId="47413E75" w14:textId="591AAAB7" w:rsidR="00B55C99" w:rsidRPr="00B55C99" w:rsidRDefault="00B55C99" w:rsidP="00B55C99">
      <w:pPr>
        <w:pStyle w:val="BodyText"/>
        <w:spacing w:after="0"/>
      </w:pPr>
      <w:r w:rsidRPr="00B55C99">
        <w:t xml:space="preserve">Pursuant to the Underwriting Agreement, </w:t>
      </w:r>
      <w:r w:rsidR="00D520A0">
        <w:t>we</w:t>
      </w:r>
      <w:r w:rsidRPr="00B55C99">
        <w:t xml:space="preserve"> issue</w:t>
      </w:r>
      <w:r w:rsidR="005B3FDC">
        <w:t>d</w:t>
      </w:r>
      <w:r w:rsidRPr="00B55C99">
        <w:t xml:space="preserve"> to the Representative, as a portion of the underwriting compensation, warrants to purchase up to a total of 128,000 shares of </w:t>
      </w:r>
      <w:r w:rsidR="005B3FDC">
        <w:t>c</w:t>
      </w:r>
      <w:r w:rsidRPr="00B55C99">
        <w:t xml:space="preserve">ommon </w:t>
      </w:r>
      <w:r w:rsidR="005B3FDC">
        <w:t>s</w:t>
      </w:r>
      <w:r w:rsidRPr="00B55C99">
        <w:t xml:space="preserve">tock (the “Representative Warrants”). The Representative Warrants </w:t>
      </w:r>
      <w:r w:rsidR="00851459">
        <w:t>have an exercise price of</w:t>
      </w:r>
      <w:r w:rsidRPr="00B55C99">
        <w:t xml:space="preserve"> $5.50 per share, are initially exercisable 180 days after the effective date of the Offering and have a term of three years from their initial exercise date. </w:t>
      </w:r>
    </w:p>
    <w:bookmarkEnd w:id="28"/>
    <w:p w14:paraId="176780F3" w14:textId="4EE0D607" w:rsidR="00B55C99" w:rsidRDefault="00B55C99" w:rsidP="000A55AE">
      <w:pPr>
        <w:pStyle w:val="BodyText"/>
        <w:spacing w:after="0"/>
      </w:pPr>
    </w:p>
    <w:p w14:paraId="118B6DFE" w14:textId="4A23A6A7" w:rsidR="00E41BA6" w:rsidRPr="00E41BA6" w:rsidRDefault="00E41BA6" w:rsidP="00E41BA6">
      <w:pPr>
        <w:pStyle w:val="BodyText"/>
        <w:spacing w:after="0"/>
        <w:rPr>
          <w:i/>
          <w:iCs/>
        </w:rPr>
      </w:pPr>
      <w:r w:rsidRPr="001034BC">
        <w:rPr>
          <w:i/>
          <w:iCs/>
        </w:rPr>
        <w:t xml:space="preserve">Conversion of Deferred Compensation to Equity </w:t>
      </w:r>
      <w:r>
        <w:rPr>
          <w:i/>
          <w:iCs/>
        </w:rPr>
        <w:t xml:space="preserve">– </w:t>
      </w:r>
      <w:r w:rsidRPr="001034BC">
        <w:t xml:space="preserve">During 2016 and 2017, to help conserve the Company’s cash resources, each of our executive officers and non-employee directors agreed to defer receipt of all or a portion (at varying levels) of their respective cash compensation. </w:t>
      </w:r>
      <w:r w:rsidRPr="00FC7840">
        <w:t xml:space="preserve">On </w:t>
      </w:r>
      <w:r>
        <w:t>September</w:t>
      </w:r>
      <w:r w:rsidRPr="00FC7840">
        <w:t xml:space="preserve"> 2</w:t>
      </w:r>
      <w:r>
        <w:t>9</w:t>
      </w:r>
      <w:r w:rsidRPr="00FC7840">
        <w:t xml:space="preserve">, 2020, upon </w:t>
      </w:r>
      <w:r>
        <w:t xml:space="preserve">our </w:t>
      </w:r>
      <w:r w:rsidRPr="00FC7840">
        <w:t xml:space="preserve">consummation of the </w:t>
      </w:r>
      <w:r>
        <w:t>O</w:t>
      </w:r>
      <w:r w:rsidRPr="00FC7840">
        <w:t>ffering</w:t>
      </w:r>
      <w:r>
        <w:t xml:space="preserve">, $1,500,000 of the accumulated deferrals </w:t>
      </w:r>
      <w:r w:rsidRPr="00FC7840">
        <w:t xml:space="preserve">were converted at </w:t>
      </w:r>
      <w:r>
        <w:t>t</w:t>
      </w:r>
      <w:r w:rsidRPr="00FC7840">
        <w:t xml:space="preserve">he </w:t>
      </w:r>
      <w:r>
        <w:t>$5.00 offering price, resulting in the issuance of 300,001</w:t>
      </w:r>
      <w:r w:rsidRPr="00FC7840">
        <w:t xml:space="preserve"> </w:t>
      </w:r>
      <w:r>
        <w:t>u</w:t>
      </w:r>
      <w:r w:rsidRPr="001034BC">
        <w:t xml:space="preserve">nits substantially similar to the </w:t>
      </w:r>
      <w:r>
        <w:t>units</w:t>
      </w:r>
      <w:r w:rsidRPr="001034BC">
        <w:t xml:space="preserve"> </w:t>
      </w:r>
      <w:r>
        <w:t>sold in the public offering</w:t>
      </w:r>
      <w:r w:rsidRPr="001034BC">
        <w:t xml:space="preserve">, with each unit consisting of one share of our common stock and one </w:t>
      </w:r>
      <w:r w:rsidR="00DE5AC8">
        <w:t xml:space="preserve">warrant substantially similar to a Unit </w:t>
      </w:r>
      <w:r w:rsidR="00F64423">
        <w:t>W</w:t>
      </w:r>
      <w:r w:rsidRPr="001034BC">
        <w:t>arrant</w:t>
      </w:r>
      <w:r w:rsidR="003E540D">
        <w:t xml:space="preserve"> (a “Management Warrant”)</w:t>
      </w:r>
      <w:r w:rsidRPr="001034BC">
        <w:t xml:space="preserve">. </w:t>
      </w:r>
    </w:p>
    <w:p w14:paraId="227F9F10" w14:textId="1505FE75" w:rsidR="00E41BA6" w:rsidRDefault="00E41BA6" w:rsidP="000A55AE">
      <w:pPr>
        <w:pStyle w:val="BodyText"/>
        <w:spacing w:after="0"/>
      </w:pPr>
    </w:p>
    <w:p w14:paraId="1E5081E1" w14:textId="468F9031" w:rsidR="00E41BA6" w:rsidRPr="00EE2A50" w:rsidRDefault="00E41BA6" w:rsidP="00E41BA6">
      <w:pPr>
        <w:pStyle w:val="BodyTitle"/>
        <w:spacing w:after="0"/>
        <w:rPr>
          <w:u w:val="none"/>
        </w:rPr>
      </w:pPr>
      <w:r w:rsidRPr="00E41BA6">
        <w:rPr>
          <w:i/>
          <w:iCs/>
          <w:u w:val="none"/>
        </w:rPr>
        <w:t>Conversion of Convertible Debentures</w:t>
      </w:r>
      <w:r w:rsidR="002673EE">
        <w:rPr>
          <w:i/>
          <w:iCs/>
          <w:u w:val="none"/>
        </w:rPr>
        <w:t xml:space="preserve"> to Equity</w:t>
      </w:r>
      <w:r w:rsidRPr="00E41BA6">
        <w:rPr>
          <w:u w:val="none"/>
        </w:rPr>
        <w:t xml:space="preserve"> – As discussed in Note 8, </w:t>
      </w:r>
      <w:r>
        <w:rPr>
          <w:u w:val="none"/>
        </w:rPr>
        <w:t>upon our consummation of the Offering</w:t>
      </w:r>
      <w:r w:rsidRPr="00E41BA6">
        <w:rPr>
          <w:u w:val="none"/>
        </w:rPr>
        <w:t>, we issued an aggregate of</w:t>
      </w:r>
      <w:r>
        <w:rPr>
          <w:u w:val="none"/>
        </w:rPr>
        <w:t xml:space="preserve"> 177,625 shares of our common stock</w:t>
      </w:r>
      <w:r w:rsidR="00851459">
        <w:rPr>
          <w:u w:val="none"/>
        </w:rPr>
        <w:t xml:space="preserve">, 126,042 Pre-Funded Warrants and 303,667 </w:t>
      </w:r>
      <w:r w:rsidR="00522943">
        <w:rPr>
          <w:u w:val="none"/>
        </w:rPr>
        <w:t>Conversion</w:t>
      </w:r>
      <w:r w:rsidR="00851459">
        <w:rPr>
          <w:u w:val="none"/>
        </w:rPr>
        <w:t xml:space="preserve"> Warrants</w:t>
      </w:r>
      <w:r>
        <w:rPr>
          <w:u w:val="none"/>
        </w:rPr>
        <w:t xml:space="preserve"> upon the mandatory conversion of $1,214,667 of Convertible Debentures and accrued interest.</w:t>
      </w:r>
    </w:p>
    <w:p w14:paraId="1C026ADA" w14:textId="77777777" w:rsidR="00E41BA6" w:rsidRDefault="00E41BA6" w:rsidP="000A55AE">
      <w:pPr>
        <w:pStyle w:val="BodyText"/>
        <w:spacing w:after="0"/>
      </w:pPr>
    </w:p>
    <w:p w14:paraId="7509291D" w14:textId="5583F066" w:rsidR="0010573E" w:rsidRDefault="00B55C99" w:rsidP="0010573E">
      <w:pPr>
        <w:pStyle w:val="BodyText"/>
        <w:spacing w:after="0"/>
      </w:pPr>
      <w:r w:rsidRPr="00B55C99">
        <w:rPr>
          <w:i/>
          <w:iCs/>
        </w:rPr>
        <w:t>Other Common Stock Transactions</w:t>
      </w:r>
      <w:r w:rsidR="00753B86">
        <w:rPr>
          <w:i/>
          <w:iCs/>
        </w:rPr>
        <w:t xml:space="preserve"> –</w:t>
      </w:r>
      <w:r w:rsidR="002673EE">
        <w:t xml:space="preserve"> </w:t>
      </w:r>
      <w:r w:rsidR="003E6788" w:rsidRPr="003E6788">
        <w:t>During</w:t>
      </w:r>
      <w:r w:rsidR="0065681E">
        <w:t xml:space="preserve"> the</w:t>
      </w:r>
      <w:r w:rsidR="003E6788" w:rsidRPr="003E6788">
        <w:t xml:space="preserve"> </w:t>
      </w:r>
      <w:r w:rsidR="001C1A41">
        <w:t>nine</w:t>
      </w:r>
      <w:r w:rsidR="003E6788">
        <w:t xml:space="preserve"> months ended </w:t>
      </w:r>
      <w:r w:rsidR="001C1A41">
        <w:t>September</w:t>
      </w:r>
      <w:r w:rsidR="003E6788">
        <w:t xml:space="preserve"> 3</w:t>
      </w:r>
      <w:r w:rsidR="0010573E">
        <w:t>0</w:t>
      </w:r>
      <w:r w:rsidR="003E6788">
        <w:t>, 2020</w:t>
      </w:r>
      <w:r w:rsidR="003E6788" w:rsidRPr="003E6788">
        <w:t xml:space="preserve">, we issued an aggregate of </w:t>
      </w:r>
      <w:r w:rsidR="001C1A41">
        <w:t>3,162</w:t>
      </w:r>
      <w:r w:rsidR="003E6788" w:rsidRPr="003E6788">
        <w:t xml:space="preserve"> </w:t>
      </w:r>
      <w:r w:rsidR="00EF756C">
        <w:t xml:space="preserve">shares </w:t>
      </w:r>
      <w:r w:rsidR="003E6788" w:rsidRPr="003E6788">
        <w:t>of our common stock pursuant to a consulting agreement</w:t>
      </w:r>
      <w:r w:rsidR="0010573E">
        <w:t>.  See “Stock-Based Compensation Expense” below.</w:t>
      </w:r>
    </w:p>
    <w:p w14:paraId="5A3919D6" w14:textId="77777777" w:rsidR="00284724" w:rsidRDefault="00284724" w:rsidP="000A55AE">
      <w:pPr>
        <w:pStyle w:val="BodyTitle"/>
        <w:spacing w:after="0"/>
      </w:pPr>
    </w:p>
    <w:p w14:paraId="5151D8CB" w14:textId="3C40F22E" w:rsidR="00881E20" w:rsidRPr="001E78A9" w:rsidRDefault="00881E20" w:rsidP="000A55AE">
      <w:pPr>
        <w:pStyle w:val="BodyTitle"/>
        <w:spacing w:after="0"/>
        <w:rPr>
          <w:i/>
          <w:u w:val="none"/>
        </w:rPr>
      </w:pPr>
      <w:r w:rsidRPr="001E78A9">
        <w:rPr>
          <w:i/>
          <w:u w:val="none"/>
        </w:rPr>
        <w:t>Stock Options</w:t>
      </w:r>
    </w:p>
    <w:p w14:paraId="47DD24C7" w14:textId="77777777" w:rsidR="001E78A9" w:rsidRDefault="001E78A9" w:rsidP="000A55AE"/>
    <w:p w14:paraId="1A2B7A52" w14:textId="76221F5B" w:rsidR="000F6464" w:rsidRDefault="00125121" w:rsidP="005B58B3">
      <w:r>
        <w:t xml:space="preserve">As a result of the reverse stock splits </w:t>
      </w:r>
      <w:r w:rsidR="001C1A41">
        <w:t>of our common stock</w:t>
      </w:r>
      <w:r>
        <w:t xml:space="preserve"> all of our outstanding stock options </w:t>
      </w:r>
      <w:r w:rsidR="000B66B5">
        <w:t xml:space="preserve">were automatically adjusted </w:t>
      </w:r>
      <w:r>
        <w:t xml:space="preserve">such that </w:t>
      </w:r>
      <w:r w:rsidR="000B66B5">
        <w:t>all of such stock options</w:t>
      </w:r>
      <w:r>
        <w:t xml:space="preserve"> </w:t>
      </w:r>
      <w:r w:rsidR="001C1A41">
        <w:t xml:space="preserve">as of the beginning of 2020 were </w:t>
      </w:r>
      <w:r w:rsidR="000B66B5">
        <w:t>eliminated</w:t>
      </w:r>
      <w:r>
        <w:t>.</w:t>
      </w:r>
      <w:r w:rsidR="000276E7">
        <w:t xml:space="preserve"> </w:t>
      </w:r>
      <w:r w:rsidR="000F6464">
        <w:t>On June 19, 2020, our Board of Directors approved the GeoVax Labs, Inc. 2020 Stock Incentive Plan (the “2020 Plan</w:t>
      </w:r>
      <w:r w:rsidR="003E540D">
        <w:t>”</w:t>
      </w:r>
      <w:r w:rsidR="000F6464">
        <w:t xml:space="preserve">) to replace </w:t>
      </w:r>
      <w:r w:rsidR="000276E7">
        <w:t xml:space="preserve">our prior stock option plan and reserved up to </w:t>
      </w:r>
      <w:r w:rsidR="000B66B5">
        <w:t>250</w:t>
      </w:r>
      <w:r w:rsidR="000276E7">
        <w:t xml:space="preserve">,000 shares of our common stock for issuance pursuant to the 2020 Plan. No equity awards </w:t>
      </w:r>
      <w:r w:rsidR="00851459">
        <w:t>were</w:t>
      </w:r>
      <w:r w:rsidR="000276E7">
        <w:t xml:space="preserve"> made from the 2020 Plan during the </w:t>
      </w:r>
      <w:r w:rsidR="000B66B5">
        <w:t>nine</w:t>
      </w:r>
      <w:r w:rsidR="00C87AEF">
        <w:t xml:space="preserve"> </w:t>
      </w:r>
      <w:r w:rsidR="000276E7">
        <w:t xml:space="preserve">months ended </w:t>
      </w:r>
      <w:r w:rsidR="000B66B5">
        <w:t>September</w:t>
      </w:r>
      <w:r w:rsidR="000276E7">
        <w:t xml:space="preserve"> 30, 2020. </w:t>
      </w:r>
    </w:p>
    <w:p w14:paraId="24BB5F7F" w14:textId="77777777" w:rsidR="005B58B3" w:rsidRPr="008C287F" w:rsidRDefault="005B58B3" w:rsidP="005B58B3">
      <w:pPr>
        <w:rPr>
          <w:color w:val="000000"/>
        </w:rPr>
      </w:pPr>
    </w:p>
    <w:p w14:paraId="7BBD6D74" w14:textId="7A1C9E47" w:rsidR="00881E20" w:rsidRPr="008C287F" w:rsidRDefault="00881E20" w:rsidP="000A55AE">
      <w:pPr>
        <w:pStyle w:val="BodyTitle"/>
        <w:spacing w:after="0"/>
        <w:rPr>
          <w:rFonts w:eastAsia="Times New Roman"/>
          <w:i/>
          <w:color w:val="000000"/>
          <w:u w:val="none"/>
        </w:rPr>
      </w:pPr>
      <w:r w:rsidRPr="008C287F">
        <w:rPr>
          <w:rFonts w:eastAsia="Times New Roman"/>
          <w:i/>
          <w:color w:val="000000"/>
          <w:u w:val="none"/>
        </w:rPr>
        <w:t>Stock Purchase Warrants</w:t>
      </w:r>
    </w:p>
    <w:p w14:paraId="40560E09" w14:textId="3E6367D9" w:rsidR="000A55AE" w:rsidRDefault="000A55AE" w:rsidP="000A55AE">
      <w:pPr>
        <w:rPr>
          <w:color w:val="000000"/>
        </w:rPr>
      </w:pPr>
    </w:p>
    <w:p w14:paraId="0693D763" w14:textId="3B82A547" w:rsidR="00F21C06" w:rsidRDefault="00867367" w:rsidP="000A55AE">
      <w:pPr>
        <w:rPr>
          <w:color w:val="000000"/>
        </w:rPr>
      </w:pPr>
      <w:r w:rsidRPr="00867367">
        <w:rPr>
          <w:i/>
          <w:iCs/>
          <w:color w:val="000000"/>
        </w:rPr>
        <w:t>Series G Warrants</w:t>
      </w:r>
      <w:r>
        <w:rPr>
          <w:color w:val="000000"/>
        </w:rPr>
        <w:t xml:space="preserve"> –</w:t>
      </w:r>
      <w:r w:rsidR="00190CAC">
        <w:rPr>
          <w:color w:val="000000"/>
        </w:rPr>
        <w:t xml:space="preserve"> </w:t>
      </w:r>
      <w:r>
        <w:rPr>
          <w:color w:val="000000"/>
        </w:rPr>
        <w:t xml:space="preserve">In August 2020, the holders of the Series G Warrants agreed to their cancellation and there </w:t>
      </w:r>
      <w:r w:rsidR="00851459">
        <w:rPr>
          <w:color w:val="000000"/>
        </w:rPr>
        <w:t>were</w:t>
      </w:r>
      <w:r>
        <w:rPr>
          <w:color w:val="000000"/>
        </w:rPr>
        <w:t xml:space="preserve"> no Series G Warrants outstanding as of September 30, 2020.</w:t>
      </w:r>
      <w:r w:rsidR="00F21C06">
        <w:rPr>
          <w:color w:val="000000"/>
        </w:rPr>
        <w:t xml:space="preserve"> </w:t>
      </w:r>
    </w:p>
    <w:p w14:paraId="436B92EA" w14:textId="5BB0E571" w:rsidR="00F21C06" w:rsidRDefault="00F21C06" w:rsidP="000A55AE">
      <w:pPr>
        <w:rPr>
          <w:color w:val="000000"/>
        </w:rPr>
      </w:pPr>
    </w:p>
    <w:p w14:paraId="05874A74" w14:textId="7338961E" w:rsidR="00DE11FA" w:rsidRDefault="00867367" w:rsidP="00DE11FA">
      <w:pPr>
        <w:rPr>
          <w:color w:val="000000"/>
        </w:rPr>
      </w:pPr>
      <w:bookmarkStart w:id="29" w:name="_Hlk53597099"/>
      <w:r w:rsidRPr="00867367">
        <w:rPr>
          <w:i/>
          <w:iCs/>
          <w:color w:val="000000"/>
        </w:rPr>
        <w:t>Series H Warrants</w:t>
      </w:r>
      <w:r>
        <w:rPr>
          <w:color w:val="000000"/>
        </w:rPr>
        <w:t xml:space="preserve"> –</w:t>
      </w:r>
      <w:r w:rsidR="00190CAC">
        <w:rPr>
          <w:color w:val="000000"/>
        </w:rPr>
        <w:t xml:space="preserve"> </w:t>
      </w:r>
      <w:r w:rsidR="00DE11FA">
        <w:rPr>
          <w:color w:val="000000"/>
        </w:rPr>
        <w:t xml:space="preserve">During July 2020, all </w:t>
      </w:r>
      <w:r w:rsidR="00190CAC">
        <w:rPr>
          <w:color w:val="000000"/>
        </w:rPr>
        <w:t>outstanding</w:t>
      </w:r>
      <w:r w:rsidR="00DE11FA">
        <w:rPr>
          <w:color w:val="000000"/>
        </w:rPr>
        <w:t xml:space="preserve"> Series H Warrants were exercised using the “cashless” exercise feature of the warrants, resulting in the issuance of </w:t>
      </w:r>
      <w:r w:rsidR="00505499">
        <w:rPr>
          <w:color w:val="000000"/>
        </w:rPr>
        <w:t>7,147</w:t>
      </w:r>
      <w:r w:rsidR="00DE11FA">
        <w:rPr>
          <w:color w:val="000000"/>
        </w:rPr>
        <w:t xml:space="preserve"> shares of our common stock.  There </w:t>
      </w:r>
      <w:r w:rsidR="00851459">
        <w:rPr>
          <w:color w:val="000000"/>
        </w:rPr>
        <w:t>were</w:t>
      </w:r>
      <w:r w:rsidR="00DE11FA">
        <w:rPr>
          <w:color w:val="000000"/>
        </w:rPr>
        <w:t xml:space="preserve"> no Series H Warrants outstanding as of September 30, 2020. </w:t>
      </w:r>
    </w:p>
    <w:bookmarkEnd w:id="29"/>
    <w:p w14:paraId="3103121D" w14:textId="5A46B44C" w:rsidR="00E02787" w:rsidRDefault="00E02787" w:rsidP="000A55AE">
      <w:pPr>
        <w:rPr>
          <w:color w:val="000000"/>
        </w:rPr>
      </w:pPr>
    </w:p>
    <w:p w14:paraId="52B40F16" w14:textId="65DEB86E" w:rsidR="00190CAC" w:rsidRDefault="00505499" w:rsidP="00505499">
      <w:pPr>
        <w:rPr>
          <w:color w:val="000000"/>
        </w:rPr>
      </w:pPr>
      <w:r w:rsidRPr="00867367">
        <w:rPr>
          <w:i/>
          <w:iCs/>
          <w:color w:val="000000"/>
        </w:rPr>
        <w:t xml:space="preserve">Series </w:t>
      </w:r>
      <w:r>
        <w:rPr>
          <w:i/>
          <w:iCs/>
          <w:color w:val="000000"/>
        </w:rPr>
        <w:t>I</w:t>
      </w:r>
      <w:r w:rsidRPr="00867367">
        <w:rPr>
          <w:i/>
          <w:iCs/>
          <w:color w:val="000000"/>
        </w:rPr>
        <w:t xml:space="preserve"> Warrants</w:t>
      </w:r>
      <w:r>
        <w:rPr>
          <w:color w:val="000000"/>
        </w:rPr>
        <w:t xml:space="preserve"> –</w:t>
      </w:r>
      <w:r w:rsidR="00190CAC">
        <w:rPr>
          <w:color w:val="000000"/>
        </w:rPr>
        <w:t xml:space="preserve"> </w:t>
      </w:r>
      <w:r>
        <w:rPr>
          <w:color w:val="000000"/>
        </w:rPr>
        <w:t xml:space="preserve">During July 2020, Series I Warrants were exercised using the “cashless” exercise feature of the warrants, resulting in the issuance of </w:t>
      </w:r>
      <w:r w:rsidR="006212A5">
        <w:rPr>
          <w:color w:val="000000"/>
        </w:rPr>
        <w:t>29,755</w:t>
      </w:r>
      <w:r>
        <w:rPr>
          <w:color w:val="000000"/>
        </w:rPr>
        <w:t xml:space="preserve"> shares of our common stock</w:t>
      </w:r>
      <w:r w:rsidR="00190CAC">
        <w:rPr>
          <w:color w:val="000000"/>
        </w:rPr>
        <w:t xml:space="preserve">.  As of September 30, 2020, there </w:t>
      </w:r>
      <w:r w:rsidR="00851459">
        <w:rPr>
          <w:color w:val="000000"/>
        </w:rPr>
        <w:t>were</w:t>
      </w:r>
      <w:r w:rsidR="00190CAC">
        <w:rPr>
          <w:color w:val="000000"/>
        </w:rPr>
        <w:t xml:space="preserve"> 62,626 Series I Warrants outstanding, with an exercise price of $5.00 per share, reflective of anti-dilution adjustments resulting from </w:t>
      </w:r>
      <w:r w:rsidR="00637543">
        <w:rPr>
          <w:color w:val="000000"/>
        </w:rPr>
        <w:t>the Offering.</w:t>
      </w:r>
    </w:p>
    <w:p w14:paraId="67ACD603" w14:textId="77777777" w:rsidR="00190CAC" w:rsidRDefault="00190CAC" w:rsidP="00505499">
      <w:pPr>
        <w:rPr>
          <w:color w:val="000000"/>
        </w:rPr>
      </w:pPr>
    </w:p>
    <w:p w14:paraId="6CF72B9A" w14:textId="634237DB" w:rsidR="00E02787" w:rsidRDefault="003A47F2" w:rsidP="000A55AE">
      <w:pPr>
        <w:rPr>
          <w:color w:val="000000"/>
        </w:rPr>
      </w:pPr>
      <w:r>
        <w:rPr>
          <w:i/>
          <w:iCs/>
          <w:color w:val="000000"/>
        </w:rPr>
        <w:t>June 2020 Warrants</w:t>
      </w:r>
      <w:r w:rsidR="00BC08D2">
        <w:rPr>
          <w:color w:val="000000"/>
        </w:rPr>
        <w:t xml:space="preserve"> </w:t>
      </w:r>
      <w:r w:rsidR="00C3411C">
        <w:rPr>
          <w:color w:val="000000"/>
        </w:rPr>
        <w:t xml:space="preserve">– </w:t>
      </w:r>
      <w:r w:rsidR="00F64423">
        <w:rPr>
          <w:color w:val="000000"/>
        </w:rPr>
        <w:t>As discussed in Note 8, o</w:t>
      </w:r>
      <w:r>
        <w:rPr>
          <w:color w:val="000000"/>
        </w:rPr>
        <w:t xml:space="preserve">n June 26, 2020, in connection with the issuance of the Convertible Debentures, we issued warrants </w:t>
      </w:r>
      <w:bookmarkStart w:id="30" w:name="_Hlk53599984"/>
      <w:r>
        <w:rPr>
          <w:color w:val="000000"/>
        </w:rPr>
        <w:t>to purchase 120,000 shares of common stock, with a five-year term and an exercise price of $10.00</w:t>
      </w:r>
      <w:bookmarkEnd w:id="30"/>
      <w:r>
        <w:rPr>
          <w:color w:val="000000"/>
        </w:rPr>
        <w:t>.  As a result of the Offering, on September 29, 2020 the exercise price was reduced to $5.00.</w:t>
      </w:r>
    </w:p>
    <w:p w14:paraId="6DE1C28D" w14:textId="69B0D21D" w:rsidR="00E02787" w:rsidRDefault="00E02787" w:rsidP="000A55AE">
      <w:pPr>
        <w:rPr>
          <w:color w:val="000000"/>
        </w:rPr>
      </w:pPr>
    </w:p>
    <w:p w14:paraId="7C85DE0E" w14:textId="075F1BD3" w:rsidR="003A47F2" w:rsidRPr="003A47F2" w:rsidRDefault="00C3411C" w:rsidP="003A47F2">
      <w:pPr>
        <w:rPr>
          <w:color w:val="000000"/>
        </w:rPr>
      </w:pPr>
      <w:r w:rsidRPr="003A47F2">
        <w:rPr>
          <w:i/>
          <w:iCs/>
          <w:color w:val="000000"/>
        </w:rPr>
        <w:t xml:space="preserve">Warrants Issued </w:t>
      </w:r>
      <w:r w:rsidR="00BC08D2" w:rsidRPr="003A47F2">
        <w:rPr>
          <w:i/>
          <w:iCs/>
          <w:color w:val="000000"/>
        </w:rPr>
        <w:t>Upon</w:t>
      </w:r>
      <w:r w:rsidRPr="003A47F2">
        <w:rPr>
          <w:i/>
          <w:iCs/>
          <w:color w:val="000000"/>
        </w:rPr>
        <w:t xml:space="preserve"> Conversion of Convertible Debentures</w:t>
      </w:r>
      <w:r w:rsidR="003A47F2">
        <w:rPr>
          <w:color w:val="000000"/>
        </w:rPr>
        <w:t xml:space="preserve"> – </w:t>
      </w:r>
      <w:r w:rsidR="00F64423">
        <w:rPr>
          <w:color w:val="000000"/>
        </w:rPr>
        <w:t xml:space="preserve">As discussed in Note 8, </w:t>
      </w:r>
      <w:r w:rsidR="00F64423">
        <w:t>o</w:t>
      </w:r>
      <w:r w:rsidR="003A47F2" w:rsidRPr="00FC7840">
        <w:t xml:space="preserve">n </w:t>
      </w:r>
      <w:r w:rsidR="003A47F2">
        <w:t>September</w:t>
      </w:r>
      <w:r w:rsidR="003A47F2" w:rsidRPr="00FC7840">
        <w:t xml:space="preserve"> 2</w:t>
      </w:r>
      <w:r w:rsidR="003A47F2">
        <w:t>9</w:t>
      </w:r>
      <w:r w:rsidR="003A47F2" w:rsidRPr="00FC7840">
        <w:t xml:space="preserve">, 2020, upon </w:t>
      </w:r>
      <w:r w:rsidR="003A47F2">
        <w:t xml:space="preserve">the conversion of the Convertible Debentures into our equity securities, we issued 126,042 </w:t>
      </w:r>
      <w:r w:rsidR="00F64423">
        <w:t>P</w:t>
      </w:r>
      <w:r w:rsidR="003A47F2">
        <w:t>re-</w:t>
      </w:r>
      <w:r w:rsidR="00F64423">
        <w:t>F</w:t>
      </w:r>
      <w:r w:rsidR="003A47F2">
        <w:t xml:space="preserve">unded </w:t>
      </w:r>
      <w:r w:rsidR="00F64423">
        <w:t>W</w:t>
      </w:r>
      <w:r w:rsidR="003A47F2">
        <w:t>arrants and 303,66</w:t>
      </w:r>
      <w:r w:rsidR="009F771E">
        <w:t>8</w:t>
      </w:r>
      <w:r w:rsidR="003A47F2">
        <w:t xml:space="preserve"> </w:t>
      </w:r>
      <w:r w:rsidR="007463EF">
        <w:t>Conversion</w:t>
      </w:r>
      <w:r w:rsidR="00F64423">
        <w:t xml:space="preserve"> W</w:t>
      </w:r>
      <w:r w:rsidR="003A47F2">
        <w:t xml:space="preserve">arrants to purchase our common stock. </w:t>
      </w:r>
      <w:r w:rsidR="003A47F2" w:rsidRPr="00FC7840">
        <w:t xml:space="preserve"> </w:t>
      </w:r>
    </w:p>
    <w:p w14:paraId="5F532CDA" w14:textId="14EC88D4" w:rsidR="003A47F2" w:rsidRDefault="003A47F2" w:rsidP="000A55AE">
      <w:pPr>
        <w:rPr>
          <w:color w:val="000000"/>
        </w:rPr>
      </w:pPr>
    </w:p>
    <w:p w14:paraId="3DC314DB" w14:textId="2AC3A6A2" w:rsidR="00C3411C" w:rsidRDefault="00C3411C" w:rsidP="000A55AE">
      <w:pPr>
        <w:rPr>
          <w:color w:val="000000"/>
        </w:rPr>
      </w:pPr>
      <w:r w:rsidRPr="003A47F2">
        <w:rPr>
          <w:i/>
          <w:iCs/>
          <w:color w:val="000000"/>
        </w:rPr>
        <w:t xml:space="preserve">Warrants Issued </w:t>
      </w:r>
      <w:r w:rsidR="00BC08D2" w:rsidRPr="003A47F2">
        <w:rPr>
          <w:i/>
          <w:iCs/>
          <w:color w:val="000000"/>
        </w:rPr>
        <w:t>Upon</w:t>
      </w:r>
      <w:r w:rsidRPr="003A47F2">
        <w:rPr>
          <w:i/>
          <w:iCs/>
          <w:color w:val="000000"/>
        </w:rPr>
        <w:t xml:space="preserve"> Conversion of Deferred Compensation</w:t>
      </w:r>
      <w:r w:rsidR="003A47F2">
        <w:rPr>
          <w:color w:val="000000"/>
        </w:rPr>
        <w:t xml:space="preserve"> – </w:t>
      </w:r>
      <w:r w:rsidR="00F64423">
        <w:rPr>
          <w:color w:val="000000"/>
        </w:rPr>
        <w:t>As discussed above under “</w:t>
      </w:r>
      <w:r w:rsidR="00F64423" w:rsidRPr="00F64423">
        <w:rPr>
          <w:i/>
          <w:iCs/>
          <w:color w:val="000000"/>
        </w:rPr>
        <w:t>Common Stock</w:t>
      </w:r>
      <w:r w:rsidR="00F64423">
        <w:rPr>
          <w:i/>
          <w:iCs/>
        </w:rPr>
        <w:t xml:space="preserve"> – </w:t>
      </w:r>
      <w:r w:rsidR="00F64423" w:rsidRPr="001034BC">
        <w:rPr>
          <w:i/>
          <w:iCs/>
        </w:rPr>
        <w:t>Conversion of Deferred Compensation to Equity</w:t>
      </w:r>
      <w:r w:rsidR="00F64423">
        <w:rPr>
          <w:color w:val="000000"/>
        </w:rPr>
        <w:t>”, o</w:t>
      </w:r>
      <w:r w:rsidR="007C2D4E">
        <w:rPr>
          <w:color w:val="000000"/>
        </w:rPr>
        <w:t>n September</w:t>
      </w:r>
      <w:r w:rsidR="00F64423">
        <w:rPr>
          <w:color w:val="000000"/>
        </w:rPr>
        <w:t> </w:t>
      </w:r>
      <w:r w:rsidR="007C2D4E">
        <w:rPr>
          <w:color w:val="000000"/>
        </w:rPr>
        <w:t xml:space="preserve">29, 2020, upon the conversion of amounts owed to current and former executive officers and directors, we </w:t>
      </w:r>
      <w:r w:rsidR="003E540D">
        <w:rPr>
          <w:color w:val="000000"/>
        </w:rPr>
        <w:t>issued Management Warrants</w:t>
      </w:r>
      <w:r w:rsidR="007C2D4E">
        <w:rPr>
          <w:color w:val="000000"/>
        </w:rPr>
        <w:t xml:space="preserve"> to purchase 300,001 shares of common stock</w:t>
      </w:r>
      <w:r w:rsidR="00F64423">
        <w:rPr>
          <w:color w:val="000000"/>
        </w:rPr>
        <w:t>.</w:t>
      </w:r>
    </w:p>
    <w:p w14:paraId="71D88BFD" w14:textId="0446E1A0" w:rsidR="00C3411C" w:rsidRDefault="00C3411C" w:rsidP="000A55AE">
      <w:pPr>
        <w:rPr>
          <w:color w:val="000000"/>
        </w:rPr>
      </w:pPr>
    </w:p>
    <w:p w14:paraId="452A5E36" w14:textId="3E430D4E" w:rsidR="007C2D4E" w:rsidRDefault="00C3411C" w:rsidP="007C2D4E">
      <w:pPr>
        <w:rPr>
          <w:color w:val="000000"/>
        </w:rPr>
      </w:pPr>
      <w:r w:rsidRPr="009B353E">
        <w:rPr>
          <w:i/>
          <w:iCs/>
          <w:color w:val="000000"/>
        </w:rPr>
        <w:t>Warrants Issued in Connection with Public Offering</w:t>
      </w:r>
      <w:r w:rsidR="003A47F2">
        <w:rPr>
          <w:color w:val="000000"/>
        </w:rPr>
        <w:t xml:space="preserve"> – </w:t>
      </w:r>
      <w:r w:rsidR="00F64423">
        <w:rPr>
          <w:color w:val="000000"/>
        </w:rPr>
        <w:t>As discussed above under “</w:t>
      </w:r>
      <w:r w:rsidR="00F64423" w:rsidRPr="00F64423">
        <w:rPr>
          <w:i/>
          <w:iCs/>
          <w:color w:val="000000"/>
        </w:rPr>
        <w:t>Common Stock – Public Offering</w:t>
      </w:r>
      <w:r w:rsidR="00F64423">
        <w:rPr>
          <w:color w:val="000000"/>
        </w:rPr>
        <w:t>”, o</w:t>
      </w:r>
      <w:r w:rsidR="007C2D4E">
        <w:rPr>
          <w:color w:val="000000"/>
        </w:rPr>
        <w:t xml:space="preserve">n September 29, 2020, in connection with the Offering, we issued </w:t>
      </w:r>
      <w:r w:rsidR="00F64423">
        <w:rPr>
          <w:color w:val="000000"/>
        </w:rPr>
        <w:t>Unit</w:t>
      </w:r>
      <w:r w:rsidR="007C2D4E">
        <w:rPr>
          <w:color w:val="000000"/>
        </w:rPr>
        <w:t xml:space="preserve"> Warrants to purchase 2,560,000 shares of common stock; Pre-Funded Warrants to purchase 250,000 shares of common stock</w:t>
      </w:r>
      <w:r w:rsidR="00D8111A">
        <w:rPr>
          <w:color w:val="000000"/>
        </w:rPr>
        <w:t>; and Representative Warrants to</w:t>
      </w:r>
      <w:r w:rsidR="00D8111A" w:rsidRPr="00D8111A">
        <w:rPr>
          <w:color w:val="000000"/>
        </w:rPr>
        <w:t xml:space="preserve"> </w:t>
      </w:r>
      <w:r w:rsidR="00D8111A">
        <w:rPr>
          <w:color w:val="000000"/>
        </w:rPr>
        <w:t>purchase 128,000 shares of common stock.</w:t>
      </w:r>
    </w:p>
    <w:p w14:paraId="2E7995D5" w14:textId="056D27A5" w:rsidR="00E11088" w:rsidRDefault="00E11088" w:rsidP="000A55AE">
      <w:pPr>
        <w:rPr>
          <w:color w:val="000000"/>
        </w:rPr>
      </w:pPr>
    </w:p>
    <w:p w14:paraId="00E0F981" w14:textId="2C564F5F" w:rsidR="00E11088" w:rsidRDefault="00E11088" w:rsidP="00F7580E">
      <w:pPr>
        <w:rPr>
          <w:color w:val="000000"/>
        </w:rPr>
      </w:pPr>
      <w:r w:rsidRPr="009B353E">
        <w:rPr>
          <w:i/>
          <w:iCs/>
          <w:color w:val="000000"/>
        </w:rPr>
        <w:t>Summary of Warrants Ou</w:t>
      </w:r>
      <w:r w:rsidR="00E20882" w:rsidRPr="009B353E">
        <w:rPr>
          <w:i/>
          <w:iCs/>
          <w:color w:val="000000"/>
        </w:rPr>
        <w:t>tst</w:t>
      </w:r>
      <w:r w:rsidRPr="009B353E">
        <w:rPr>
          <w:i/>
          <w:iCs/>
          <w:color w:val="000000"/>
        </w:rPr>
        <w:t>anding</w:t>
      </w:r>
      <w:r w:rsidR="00205B64">
        <w:rPr>
          <w:i/>
          <w:iCs/>
          <w:color w:val="000000"/>
        </w:rPr>
        <w:t xml:space="preserve"> </w:t>
      </w:r>
      <w:r w:rsidR="009B353E">
        <w:rPr>
          <w:color w:val="000000"/>
        </w:rPr>
        <w:t>–</w:t>
      </w:r>
      <w:r w:rsidR="00F7580E">
        <w:rPr>
          <w:color w:val="000000"/>
        </w:rPr>
        <w:t xml:space="preserve"> The following table </w:t>
      </w:r>
      <w:r w:rsidR="00205B64">
        <w:rPr>
          <w:color w:val="000000"/>
        </w:rPr>
        <w:t>presents summary information about our warrants outstanding as of September 30, 2020</w:t>
      </w:r>
      <w:r w:rsidR="00851459">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F7580E" w14:paraId="3C0D9719" w14:textId="77777777" w:rsidTr="00205B64">
        <w:tc>
          <w:tcPr>
            <w:tcW w:w="5850" w:type="dxa"/>
            <w:tcBorders>
              <w:bottom w:val="single" w:sz="4" w:space="0" w:color="auto"/>
            </w:tcBorders>
          </w:tcPr>
          <w:p w14:paraId="43AEE125" w14:textId="77777777" w:rsidR="00E87E59" w:rsidRDefault="00E87E59" w:rsidP="00F7580E">
            <w:pPr>
              <w:rPr>
                <w:color w:val="000000"/>
              </w:rPr>
            </w:pPr>
          </w:p>
          <w:p w14:paraId="3CF91A99" w14:textId="7ECAC528" w:rsidR="00205B64" w:rsidRDefault="00205B64" w:rsidP="00F7580E">
            <w:pPr>
              <w:rPr>
                <w:color w:val="000000"/>
              </w:rPr>
            </w:pPr>
            <w:r>
              <w:rPr>
                <w:color w:val="000000"/>
              </w:rPr>
              <w:t>Warrant Description</w:t>
            </w:r>
          </w:p>
        </w:tc>
        <w:tc>
          <w:tcPr>
            <w:tcW w:w="1260" w:type="dxa"/>
            <w:tcBorders>
              <w:bottom w:val="single" w:sz="4" w:space="0" w:color="auto"/>
            </w:tcBorders>
          </w:tcPr>
          <w:p w14:paraId="5859755F" w14:textId="77777777" w:rsidR="00E87E59" w:rsidRDefault="00E87E59" w:rsidP="00F7580E">
            <w:pPr>
              <w:jc w:val="center"/>
              <w:rPr>
                <w:color w:val="000000"/>
              </w:rPr>
            </w:pPr>
            <w:r>
              <w:rPr>
                <w:color w:val="000000"/>
              </w:rPr>
              <w:t>Number</w:t>
            </w:r>
          </w:p>
          <w:p w14:paraId="3B7E2C3C" w14:textId="34FC9779" w:rsidR="00E87E59" w:rsidRDefault="00E87E59" w:rsidP="00F7580E">
            <w:pPr>
              <w:jc w:val="center"/>
              <w:rPr>
                <w:color w:val="000000"/>
              </w:rPr>
            </w:pPr>
            <w:r>
              <w:rPr>
                <w:color w:val="000000"/>
              </w:rPr>
              <w:t>of Shares</w:t>
            </w:r>
          </w:p>
        </w:tc>
        <w:tc>
          <w:tcPr>
            <w:tcW w:w="1191" w:type="dxa"/>
            <w:tcBorders>
              <w:bottom w:val="single" w:sz="4" w:space="0" w:color="auto"/>
            </w:tcBorders>
          </w:tcPr>
          <w:p w14:paraId="4BF77E64" w14:textId="77777777" w:rsidR="00E87E59" w:rsidRDefault="00E87E59" w:rsidP="00F7580E">
            <w:pPr>
              <w:jc w:val="center"/>
              <w:rPr>
                <w:color w:val="000000"/>
              </w:rPr>
            </w:pPr>
            <w:r>
              <w:rPr>
                <w:color w:val="000000"/>
              </w:rPr>
              <w:t>Exercise</w:t>
            </w:r>
          </w:p>
          <w:p w14:paraId="7273CCAA" w14:textId="2950402C" w:rsidR="00E87E59" w:rsidRDefault="00E87E59" w:rsidP="00F7580E">
            <w:pPr>
              <w:jc w:val="center"/>
              <w:rPr>
                <w:color w:val="000000"/>
              </w:rPr>
            </w:pPr>
            <w:r>
              <w:rPr>
                <w:color w:val="000000"/>
              </w:rPr>
              <w:t>Price</w:t>
            </w:r>
          </w:p>
        </w:tc>
        <w:tc>
          <w:tcPr>
            <w:tcW w:w="1625" w:type="dxa"/>
            <w:tcBorders>
              <w:bottom w:val="single" w:sz="4" w:space="0" w:color="auto"/>
            </w:tcBorders>
          </w:tcPr>
          <w:p w14:paraId="3FA726F8" w14:textId="77777777" w:rsidR="00E87E59" w:rsidRDefault="00E87E59" w:rsidP="00F7580E">
            <w:pPr>
              <w:jc w:val="center"/>
              <w:rPr>
                <w:color w:val="000000"/>
              </w:rPr>
            </w:pPr>
          </w:p>
          <w:p w14:paraId="5F7F91EA" w14:textId="109137B1" w:rsidR="00E87E59" w:rsidRDefault="00E87E59" w:rsidP="00F7580E">
            <w:pPr>
              <w:jc w:val="center"/>
              <w:rPr>
                <w:color w:val="000000"/>
              </w:rPr>
            </w:pPr>
            <w:r>
              <w:rPr>
                <w:color w:val="000000"/>
              </w:rPr>
              <w:t>Expiration</w:t>
            </w:r>
          </w:p>
        </w:tc>
      </w:tr>
      <w:tr w:rsidR="00F7580E" w14:paraId="5A3AB1B9" w14:textId="77777777" w:rsidTr="00205B64">
        <w:tc>
          <w:tcPr>
            <w:tcW w:w="5850" w:type="dxa"/>
            <w:tcBorders>
              <w:top w:val="single" w:sz="4" w:space="0" w:color="auto"/>
            </w:tcBorders>
          </w:tcPr>
          <w:p w14:paraId="706A72CB" w14:textId="1231568B" w:rsidR="00E87E59" w:rsidRDefault="00E87E59" w:rsidP="00F7580E">
            <w:pPr>
              <w:rPr>
                <w:color w:val="000000"/>
              </w:rPr>
            </w:pPr>
            <w:r>
              <w:rPr>
                <w:color w:val="000000"/>
              </w:rPr>
              <w:t>Series I Warrants</w:t>
            </w:r>
          </w:p>
        </w:tc>
        <w:tc>
          <w:tcPr>
            <w:tcW w:w="1260" w:type="dxa"/>
            <w:tcBorders>
              <w:top w:val="single" w:sz="4" w:space="0" w:color="auto"/>
            </w:tcBorders>
          </w:tcPr>
          <w:p w14:paraId="3EC2D859" w14:textId="7C72326D" w:rsidR="00E87E59" w:rsidRDefault="00E87E59" w:rsidP="00F7580E">
            <w:pPr>
              <w:tabs>
                <w:tab w:val="decimal" w:pos="877"/>
              </w:tabs>
              <w:rPr>
                <w:color w:val="000000"/>
              </w:rPr>
            </w:pPr>
            <w:r>
              <w:rPr>
                <w:color w:val="000000"/>
              </w:rPr>
              <w:t>62,626</w:t>
            </w:r>
          </w:p>
        </w:tc>
        <w:tc>
          <w:tcPr>
            <w:tcW w:w="1191" w:type="dxa"/>
            <w:tcBorders>
              <w:top w:val="single" w:sz="4" w:space="0" w:color="auto"/>
            </w:tcBorders>
          </w:tcPr>
          <w:p w14:paraId="53F298E3" w14:textId="382DB547" w:rsidR="00E87E59" w:rsidRDefault="00F7580E" w:rsidP="00F7580E">
            <w:pPr>
              <w:tabs>
                <w:tab w:val="left" w:pos="247"/>
                <w:tab w:val="decimal" w:pos="607"/>
              </w:tabs>
              <w:rPr>
                <w:color w:val="000000"/>
              </w:rPr>
            </w:pPr>
            <w:r>
              <w:rPr>
                <w:color w:val="000000"/>
              </w:rPr>
              <w:tab/>
            </w:r>
            <w:r w:rsidR="00E87E59">
              <w:rPr>
                <w:color w:val="000000"/>
              </w:rPr>
              <w:t>$</w:t>
            </w:r>
            <w:r>
              <w:rPr>
                <w:color w:val="000000"/>
              </w:rPr>
              <w:tab/>
            </w:r>
            <w:r w:rsidR="00E87E59">
              <w:rPr>
                <w:color w:val="000000"/>
              </w:rPr>
              <w:t>5.00</w:t>
            </w:r>
          </w:p>
        </w:tc>
        <w:tc>
          <w:tcPr>
            <w:tcW w:w="1625" w:type="dxa"/>
            <w:tcBorders>
              <w:top w:val="single" w:sz="4" w:space="0" w:color="auto"/>
            </w:tcBorders>
          </w:tcPr>
          <w:p w14:paraId="1CE00C0B" w14:textId="6F50CB75" w:rsidR="00E87E59" w:rsidRDefault="00E87E59" w:rsidP="00F7580E">
            <w:pPr>
              <w:jc w:val="center"/>
              <w:rPr>
                <w:color w:val="000000"/>
              </w:rPr>
            </w:pPr>
            <w:r>
              <w:rPr>
                <w:color w:val="000000"/>
              </w:rPr>
              <w:t>Oct-Dec 2024</w:t>
            </w:r>
          </w:p>
        </w:tc>
      </w:tr>
      <w:tr w:rsidR="00F7580E" w14:paraId="703FC0B3" w14:textId="77777777" w:rsidTr="00F7580E">
        <w:tc>
          <w:tcPr>
            <w:tcW w:w="5850" w:type="dxa"/>
          </w:tcPr>
          <w:p w14:paraId="18C0FB19" w14:textId="4BB5B074" w:rsidR="00E87E59" w:rsidRDefault="00E87E59" w:rsidP="00F7580E">
            <w:pPr>
              <w:rPr>
                <w:color w:val="000000"/>
              </w:rPr>
            </w:pPr>
            <w:r>
              <w:rPr>
                <w:color w:val="000000"/>
              </w:rPr>
              <w:t>June 2020 Warrants</w:t>
            </w:r>
          </w:p>
        </w:tc>
        <w:tc>
          <w:tcPr>
            <w:tcW w:w="1260" w:type="dxa"/>
          </w:tcPr>
          <w:p w14:paraId="3E6DAF58" w14:textId="44056E1E" w:rsidR="00E87E59" w:rsidRDefault="00E87E59" w:rsidP="00F7580E">
            <w:pPr>
              <w:tabs>
                <w:tab w:val="decimal" w:pos="877"/>
              </w:tabs>
              <w:rPr>
                <w:color w:val="000000"/>
              </w:rPr>
            </w:pPr>
            <w:r>
              <w:rPr>
                <w:color w:val="000000"/>
              </w:rPr>
              <w:t>120,000</w:t>
            </w:r>
          </w:p>
        </w:tc>
        <w:tc>
          <w:tcPr>
            <w:tcW w:w="1191" w:type="dxa"/>
          </w:tcPr>
          <w:p w14:paraId="10ECA4D4" w14:textId="7E6D6088" w:rsidR="00E87E59" w:rsidRDefault="00E87E59" w:rsidP="00F7580E">
            <w:pPr>
              <w:tabs>
                <w:tab w:val="decimal" w:pos="607"/>
              </w:tabs>
              <w:rPr>
                <w:color w:val="000000"/>
              </w:rPr>
            </w:pPr>
            <w:r>
              <w:rPr>
                <w:color w:val="000000"/>
              </w:rPr>
              <w:t>5.00</w:t>
            </w:r>
          </w:p>
        </w:tc>
        <w:tc>
          <w:tcPr>
            <w:tcW w:w="1625" w:type="dxa"/>
          </w:tcPr>
          <w:p w14:paraId="617C1508" w14:textId="2D291F55" w:rsidR="00E87E59" w:rsidRDefault="00E87E59" w:rsidP="00F7580E">
            <w:pPr>
              <w:jc w:val="center"/>
              <w:rPr>
                <w:color w:val="000000"/>
              </w:rPr>
            </w:pPr>
            <w:r>
              <w:rPr>
                <w:color w:val="000000"/>
              </w:rPr>
              <w:t>Jun 2025</w:t>
            </w:r>
          </w:p>
        </w:tc>
      </w:tr>
      <w:tr w:rsidR="00F7580E" w14:paraId="3316825D" w14:textId="77777777" w:rsidTr="00F7580E">
        <w:tc>
          <w:tcPr>
            <w:tcW w:w="5850" w:type="dxa"/>
          </w:tcPr>
          <w:p w14:paraId="58D08957" w14:textId="481470F8" w:rsidR="00E87E59" w:rsidRDefault="00E87E59" w:rsidP="00F7580E">
            <w:pPr>
              <w:rPr>
                <w:color w:val="000000"/>
              </w:rPr>
            </w:pPr>
            <w:r>
              <w:rPr>
                <w:color w:val="000000"/>
              </w:rPr>
              <w:t>Pre-Funded Warrants</w:t>
            </w:r>
          </w:p>
        </w:tc>
        <w:tc>
          <w:tcPr>
            <w:tcW w:w="1260" w:type="dxa"/>
          </w:tcPr>
          <w:p w14:paraId="5331A140" w14:textId="1F5E4BBE" w:rsidR="00E87E59" w:rsidRDefault="00E87E59" w:rsidP="00F7580E">
            <w:pPr>
              <w:tabs>
                <w:tab w:val="decimal" w:pos="877"/>
              </w:tabs>
              <w:rPr>
                <w:color w:val="000000"/>
              </w:rPr>
            </w:pPr>
            <w:r>
              <w:rPr>
                <w:color w:val="000000"/>
              </w:rPr>
              <w:t>376,042</w:t>
            </w:r>
          </w:p>
        </w:tc>
        <w:tc>
          <w:tcPr>
            <w:tcW w:w="1191" w:type="dxa"/>
          </w:tcPr>
          <w:p w14:paraId="3203FB81" w14:textId="451D3612" w:rsidR="00E87E59" w:rsidRDefault="00E87E59" w:rsidP="00F7580E">
            <w:pPr>
              <w:tabs>
                <w:tab w:val="decimal" w:pos="607"/>
              </w:tabs>
              <w:rPr>
                <w:color w:val="000000"/>
              </w:rPr>
            </w:pPr>
            <w:r>
              <w:rPr>
                <w:color w:val="000000"/>
              </w:rPr>
              <w:t>0.01</w:t>
            </w:r>
          </w:p>
        </w:tc>
        <w:tc>
          <w:tcPr>
            <w:tcW w:w="1625" w:type="dxa"/>
          </w:tcPr>
          <w:p w14:paraId="5DD442E0" w14:textId="38615414" w:rsidR="00E87E59" w:rsidRDefault="00E87E59" w:rsidP="00F7580E">
            <w:pPr>
              <w:jc w:val="center"/>
              <w:rPr>
                <w:color w:val="000000"/>
              </w:rPr>
            </w:pPr>
            <w:r>
              <w:rPr>
                <w:color w:val="000000"/>
              </w:rPr>
              <w:t>Perpetual</w:t>
            </w:r>
          </w:p>
        </w:tc>
      </w:tr>
      <w:tr w:rsidR="00F7580E" w14:paraId="62EAF3A3" w14:textId="77777777" w:rsidTr="00F7580E">
        <w:tc>
          <w:tcPr>
            <w:tcW w:w="5850" w:type="dxa"/>
          </w:tcPr>
          <w:p w14:paraId="0193EE59" w14:textId="3A938453" w:rsidR="00DE5AC8" w:rsidRDefault="003E540D" w:rsidP="00F7580E">
            <w:pPr>
              <w:rPr>
                <w:color w:val="000000"/>
              </w:rPr>
            </w:pPr>
            <w:r>
              <w:rPr>
                <w:color w:val="000000"/>
              </w:rPr>
              <w:t>Unit, Conversion and Management</w:t>
            </w:r>
            <w:r w:rsidR="000D402A">
              <w:rPr>
                <w:color w:val="000000"/>
              </w:rPr>
              <w:t xml:space="preserve"> Warrants</w:t>
            </w:r>
          </w:p>
        </w:tc>
        <w:tc>
          <w:tcPr>
            <w:tcW w:w="1260" w:type="dxa"/>
          </w:tcPr>
          <w:p w14:paraId="232B8787" w14:textId="3F1D458C" w:rsidR="00E87E59" w:rsidRDefault="00E87E59" w:rsidP="00F7580E">
            <w:pPr>
              <w:tabs>
                <w:tab w:val="decimal" w:pos="877"/>
              </w:tabs>
              <w:rPr>
                <w:color w:val="000000"/>
              </w:rPr>
            </w:pPr>
            <w:r>
              <w:rPr>
                <w:color w:val="000000"/>
              </w:rPr>
              <w:t>3,163,669</w:t>
            </w:r>
          </w:p>
        </w:tc>
        <w:tc>
          <w:tcPr>
            <w:tcW w:w="1191" w:type="dxa"/>
          </w:tcPr>
          <w:p w14:paraId="57FB0C8D" w14:textId="2090D8CE" w:rsidR="00E87E59" w:rsidRDefault="00E87E59" w:rsidP="00F7580E">
            <w:pPr>
              <w:tabs>
                <w:tab w:val="decimal" w:pos="607"/>
              </w:tabs>
              <w:rPr>
                <w:color w:val="000000"/>
              </w:rPr>
            </w:pPr>
            <w:r>
              <w:rPr>
                <w:color w:val="000000"/>
              </w:rPr>
              <w:t>5.00</w:t>
            </w:r>
          </w:p>
        </w:tc>
        <w:tc>
          <w:tcPr>
            <w:tcW w:w="1625" w:type="dxa"/>
          </w:tcPr>
          <w:p w14:paraId="551D5FA4" w14:textId="1E0C0B3B" w:rsidR="00E87E59" w:rsidRDefault="00E87E59" w:rsidP="000D402A">
            <w:pPr>
              <w:jc w:val="center"/>
              <w:rPr>
                <w:color w:val="000000"/>
              </w:rPr>
            </w:pPr>
            <w:r>
              <w:rPr>
                <w:color w:val="000000"/>
              </w:rPr>
              <w:t>Sep 2025</w:t>
            </w:r>
          </w:p>
        </w:tc>
      </w:tr>
      <w:tr w:rsidR="00F7580E" w14:paraId="365538E9" w14:textId="77777777" w:rsidTr="00F7580E">
        <w:tc>
          <w:tcPr>
            <w:tcW w:w="5850" w:type="dxa"/>
          </w:tcPr>
          <w:p w14:paraId="6A91A4FB" w14:textId="169533BA" w:rsidR="00E87E59" w:rsidRDefault="00E87E59" w:rsidP="00F7580E">
            <w:pPr>
              <w:rPr>
                <w:color w:val="000000"/>
              </w:rPr>
            </w:pPr>
            <w:r>
              <w:rPr>
                <w:color w:val="000000"/>
              </w:rPr>
              <w:t>Representative Warrants</w:t>
            </w:r>
          </w:p>
        </w:tc>
        <w:tc>
          <w:tcPr>
            <w:tcW w:w="1260" w:type="dxa"/>
            <w:tcBorders>
              <w:bottom w:val="single" w:sz="4" w:space="0" w:color="auto"/>
            </w:tcBorders>
          </w:tcPr>
          <w:p w14:paraId="7073192E" w14:textId="4C045CA4" w:rsidR="00E87E59" w:rsidRDefault="00E87E59" w:rsidP="00F7580E">
            <w:pPr>
              <w:tabs>
                <w:tab w:val="decimal" w:pos="877"/>
              </w:tabs>
              <w:rPr>
                <w:color w:val="000000"/>
              </w:rPr>
            </w:pPr>
            <w:r>
              <w:rPr>
                <w:color w:val="000000"/>
              </w:rPr>
              <w:t>128,000</w:t>
            </w:r>
          </w:p>
        </w:tc>
        <w:tc>
          <w:tcPr>
            <w:tcW w:w="1191" w:type="dxa"/>
          </w:tcPr>
          <w:p w14:paraId="0A99FE6A" w14:textId="5C486911" w:rsidR="00E87E59" w:rsidRDefault="00E87E59" w:rsidP="00F7580E">
            <w:pPr>
              <w:tabs>
                <w:tab w:val="decimal" w:pos="607"/>
              </w:tabs>
              <w:rPr>
                <w:color w:val="000000"/>
              </w:rPr>
            </w:pPr>
            <w:r>
              <w:rPr>
                <w:color w:val="000000"/>
              </w:rPr>
              <w:t>5.50</w:t>
            </w:r>
          </w:p>
        </w:tc>
        <w:tc>
          <w:tcPr>
            <w:tcW w:w="1625" w:type="dxa"/>
          </w:tcPr>
          <w:p w14:paraId="50C1CFFF" w14:textId="7AD28D6D" w:rsidR="00E87E59" w:rsidRDefault="00E87E59" w:rsidP="00F7580E">
            <w:pPr>
              <w:jc w:val="center"/>
              <w:rPr>
                <w:color w:val="000000"/>
              </w:rPr>
            </w:pPr>
            <w:r>
              <w:rPr>
                <w:color w:val="000000"/>
              </w:rPr>
              <w:t>Mar 2024</w:t>
            </w:r>
          </w:p>
        </w:tc>
      </w:tr>
      <w:tr w:rsidR="00F7580E" w14:paraId="3E750B03" w14:textId="77777777" w:rsidTr="00F7580E">
        <w:tc>
          <w:tcPr>
            <w:tcW w:w="5850" w:type="dxa"/>
          </w:tcPr>
          <w:p w14:paraId="7E752339" w14:textId="41D01F2A" w:rsidR="00E87E59" w:rsidRDefault="00E87E59" w:rsidP="00F7580E">
            <w:pPr>
              <w:rPr>
                <w:color w:val="000000"/>
              </w:rPr>
            </w:pPr>
            <w:r>
              <w:rPr>
                <w:color w:val="000000"/>
              </w:rPr>
              <w:t>Total Warrants Outstanding at September 30, 2020</w:t>
            </w:r>
          </w:p>
        </w:tc>
        <w:tc>
          <w:tcPr>
            <w:tcW w:w="1260" w:type="dxa"/>
            <w:tcBorders>
              <w:top w:val="single" w:sz="4" w:space="0" w:color="auto"/>
              <w:bottom w:val="double" w:sz="4" w:space="0" w:color="auto"/>
            </w:tcBorders>
          </w:tcPr>
          <w:p w14:paraId="6ED54714" w14:textId="5E62E541" w:rsidR="00E87E59" w:rsidRDefault="00E87E59" w:rsidP="00F7580E">
            <w:pPr>
              <w:tabs>
                <w:tab w:val="decimal" w:pos="877"/>
              </w:tabs>
              <w:rPr>
                <w:color w:val="000000"/>
              </w:rPr>
            </w:pPr>
            <w:r>
              <w:rPr>
                <w:color w:val="000000"/>
              </w:rPr>
              <w:t>3,850,337</w:t>
            </w:r>
          </w:p>
        </w:tc>
        <w:tc>
          <w:tcPr>
            <w:tcW w:w="1191" w:type="dxa"/>
          </w:tcPr>
          <w:p w14:paraId="0714B066" w14:textId="77777777" w:rsidR="00E87E59" w:rsidRDefault="00E87E59" w:rsidP="00F7580E">
            <w:pPr>
              <w:tabs>
                <w:tab w:val="decimal" w:pos="793"/>
              </w:tabs>
              <w:rPr>
                <w:color w:val="000000"/>
              </w:rPr>
            </w:pPr>
          </w:p>
        </w:tc>
        <w:tc>
          <w:tcPr>
            <w:tcW w:w="1625" w:type="dxa"/>
          </w:tcPr>
          <w:p w14:paraId="3FBFDC59" w14:textId="77777777" w:rsidR="00E87E59" w:rsidRDefault="00E87E59" w:rsidP="00F7580E">
            <w:pPr>
              <w:rPr>
                <w:color w:val="000000"/>
              </w:rPr>
            </w:pPr>
          </w:p>
        </w:tc>
      </w:tr>
      <w:tr w:rsidR="00F7580E" w14:paraId="3EE5802A" w14:textId="77777777" w:rsidTr="00F7580E">
        <w:tc>
          <w:tcPr>
            <w:tcW w:w="5850" w:type="dxa"/>
          </w:tcPr>
          <w:p w14:paraId="2B345346" w14:textId="77777777" w:rsidR="00E87E59" w:rsidRDefault="00E87E59" w:rsidP="00F7580E">
            <w:pPr>
              <w:rPr>
                <w:color w:val="000000"/>
              </w:rPr>
            </w:pPr>
          </w:p>
        </w:tc>
        <w:tc>
          <w:tcPr>
            <w:tcW w:w="1260" w:type="dxa"/>
            <w:tcBorders>
              <w:top w:val="double" w:sz="4" w:space="0" w:color="auto"/>
            </w:tcBorders>
          </w:tcPr>
          <w:p w14:paraId="116B6E76" w14:textId="77777777" w:rsidR="00E87E59" w:rsidRDefault="00E87E59" w:rsidP="00F7580E">
            <w:pPr>
              <w:rPr>
                <w:color w:val="000000"/>
              </w:rPr>
            </w:pPr>
          </w:p>
        </w:tc>
        <w:tc>
          <w:tcPr>
            <w:tcW w:w="1191" w:type="dxa"/>
          </w:tcPr>
          <w:p w14:paraId="61796A06" w14:textId="77777777" w:rsidR="00E87E59" w:rsidRDefault="00E87E59" w:rsidP="00F7580E">
            <w:pPr>
              <w:rPr>
                <w:color w:val="000000"/>
              </w:rPr>
            </w:pPr>
          </w:p>
        </w:tc>
        <w:tc>
          <w:tcPr>
            <w:tcW w:w="1625" w:type="dxa"/>
          </w:tcPr>
          <w:p w14:paraId="09E55B20" w14:textId="77777777" w:rsidR="00E87E59" w:rsidRDefault="00E87E59" w:rsidP="00F7580E">
            <w:pPr>
              <w:rPr>
                <w:color w:val="000000"/>
              </w:rPr>
            </w:pPr>
          </w:p>
        </w:tc>
      </w:tr>
      <w:tr w:rsidR="00F7580E" w14:paraId="3C457428" w14:textId="77777777" w:rsidTr="00F7580E">
        <w:tc>
          <w:tcPr>
            <w:tcW w:w="5850" w:type="dxa"/>
          </w:tcPr>
          <w:p w14:paraId="46615403" w14:textId="497A0A6F" w:rsidR="00E87E59" w:rsidRDefault="00F7580E" w:rsidP="00F7580E">
            <w:pPr>
              <w:rPr>
                <w:color w:val="000000"/>
              </w:rPr>
            </w:pPr>
            <w:r>
              <w:rPr>
                <w:color w:val="000000"/>
              </w:rPr>
              <w:t>Weighted-Average Exercise Price</w:t>
            </w:r>
          </w:p>
        </w:tc>
        <w:tc>
          <w:tcPr>
            <w:tcW w:w="1260" w:type="dxa"/>
          </w:tcPr>
          <w:p w14:paraId="1EE0E41D" w14:textId="3A648B37" w:rsidR="00E87E59" w:rsidRDefault="00F7580E" w:rsidP="00F7580E">
            <w:pPr>
              <w:tabs>
                <w:tab w:val="left" w:pos="157"/>
                <w:tab w:val="decimal" w:pos="607"/>
              </w:tabs>
              <w:rPr>
                <w:color w:val="000000"/>
              </w:rPr>
            </w:pPr>
            <w:r>
              <w:rPr>
                <w:color w:val="000000"/>
              </w:rPr>
              <w:tab/>
              <w:t>$</w:t>
            </w:r>
            <w:r>
              <w:rPr>
                <w:color w:val="000000"/>
              </w:rPr>
              <w:tab/>
              <w:t>4.53</w:t>
            </w:r>
          </w:p>
        </w:tc>
        <w:tc>
          <w:tcPr>
            <w:tcW w:w="1191" w:type="dxa"/>
          </w:tcPr>
          <w:p w14:paraId="349BEB07" w14:textId="77777777" w:rsidR="00E87E59" w:rsidRDefault="00E87E59" w:rsidP="00F7580E">
            <w:pPr>
              <w:rPr>
                <w:color w:val="000000"/>
              </w:rPr>
            </w:pPr>
          </w:p>
        </w:tc>
        <w:tc>
          <w:tcPr>
            <w:tcW w:w="1625" w:type="dxa"/>
          </w:tcPr>
          <w:p w14:paraId="5C9431C0" w14:textId="77777777" w:rsidR="00E87E59" w:rsidRDefault="00E87E59" w:rsidP="00F7580E">
            <w:pPr>
              <w:rPr>
                <w:color w:val="000000"/>
              </w:rPr>
            </w:pPr>
          </w:p>
        </w:tc>
      </w:tr>
      <w:tr w:rsidR="00F7580E" w14:paraId="45BFD42B" w14:textId="77777777" w:rsidTr="00F7580E">
        <w:tc>
          <w:tcPr>
            <w:tcW w:w="5850" w:type="dxa"/>
          </w:tcPr>
          <w:p w14:paraId="5D1A4764" w14:textId="1411FDE1" w:rsidR="00E87E59" w:rsidRDefault="00F7580E" w:rsidP="00F7580E">
            <w:pPr>
              <w:rPr>
                <w:color w:val="000000"/>
              </w:rPr>
            </w:pPr>
            <w:r>
              <w:rPr>
                <w:color w:val="000000"/>
              </w:rPr>
              <w:t>Weighted-Average Remaining Life (exclud</w:t>
            </w:r>
            <w:r w:rsidR="00851459">
              <w:rPr>
                <w:color w:val="000000"/>
              </w:rPr>
              <w:t>ing</w:t>
            </w:r>
            <w:r>
              <w:rPr>
                <w:color w:val="000000"/>
              </w:rPr>
              <w:t xml:space="preserve"> Pre-Funded Warrants)</w:t>
            </w:r>
          </w:p>
        </w:tc>
        <w:tc>
          <w:tcPr>
            <w:tcW w:w="1260" w:type="dxa"/>
          </w:tcPr>
          <w:p w14:paraId="54319F38" w14:textId="22DB92B9" w:rsidR="00E87E59" w:rsidRDefault="00F7580E" w:rsidP="00F7580E">
            <w:pPr>
              <w:tabs>
                <w:tab w:val="right" w:pos="877"/>
              </w:tabs>
              <w:rPr>
                <w:color w:val="000000"/>
              </w:rPr>
            </w:pPr>
            <w:r>
              <w:rPr>
                <w:color w:val="000000"/>
              </w:rPr>
              <w:tab/>
              <w:t>4.9 yrs</w:t>
            </w:r>
          </w:p>
        </w:tc>
        <w:tc>
          <w:tcPr>
            <w:tcW w:w="1191" w:type="dxa"/>
          </w:tcPr>
          <w:p w14:paraId="0EB603A9" w14:textId="77777777" w:rsidR="00E87E59" w:rsidRDefault="00E87E59" w:rsidP="00F7580E">
            <w:pPr>
              <w:rPr>
                <w:color w:val="000000"/>
              </w:rPr>
            </w:pPr>
          </w:p>
        </w:tc>
        <w:tc>
          <w:tcPr>
            <w:tcW w:w="1625" w:type="dxa"/>
          </w:tcPr>
          <w:p w14:paraId="77B7157A" w14:textId="77777777" w:rsidR="00E87E59" w:rsidRDefault="00E87E59" w:rsidP="00F7580E">
            <w:pPr>
              <w:rPr>
                <w:color w:val="000000"/>
              </w:rPr>
            </w:pPr>
          </w:p>
        </w:tc>
      </w:tr>
    </w:tbl>
    <w:p w14:paraId="4820C525" w14:textId="77777777" w:rsidR="000D402A" w:rsidRDefault="000D402A" w:rsidP="000A55AE">
      <w:pPr>
        <w:rPr>
          <w:color w:val="000000"/>
        </w:rPr>
      </w:pPr>
    </w:p>
    <w:p w14:paraId="78E20A9F" w14:textId="77777777" w:rsidR="005B58B3" w:rsidRPr="00312A9D" w:rsidRDefault="005B58B3" w:rsidP="005B58B3">
      <w:pPr>
        <w:pStyle w:val="BodyTitle"/>
        <w:spacing w:after="0"/>
        <w:rPr>
          <w:rFonts w:eastAsia="Times New Roman"/>
          <w:i/>
          <w:color w:val="000000"/>
          <w:u w:val="none"/>
        </w:rPr>
      </w:pPr>
      <w:r w:rsidRPr="00312A9D">
        <w:rPr>
          <w:rFonts w:eastAsia="Times New Roman"/>
          <w:i/>
          <w:color w:val="000000"/>
          <w:u w:val="none"/>
        </w:rPr>
        <w:t>Stock-Based Compensation Expense</w:t>
      </w:r>
    </w:p>
    <w:p w14:paraId="12BE80FB" w14:textId="77777777" w:rsidR="005B58B3" w:rsidRDefault="005B58B3" w:rsidP="005B58B3"/>
    <w:p w14:paraId="376AD159" w14:textId="194AAA50" w:rsidR="00E02787" w:rsidRPr="006D2594" w:rsidRDefault="00EE147A" w:rsidP="00E02787">
      <w:bookmarkStart w:id="31" w:name="_Hlk45568696"/>
      <w:r>
        <w:t>There was no</w:t>
      </w:r>
      <w:r w:rsidRPr="00125121">
        <w:t xml:space="preserve"> stock-based compensation expense </w:t>
      </w:r>
      <w:r>
        <w:t xml:space="preserve">related to our stock option plan </w:t>
      </w:r>
      <w:r w:rsidRPr="00125121">
        <w:t xml:space="preserve">recognized in the consolidated statement of operations for the </w:t>
      </w:r>
      <w:r>
        <w:t xml:space="preserve">three-month or </w:t>
      </w:r>
      <w:r w:rsidR="006D2594">
        <w:t>nine</w:t>
      </w:r>
      <w:r>
        <w:t>-month periods</w:t>
      </w:r>
      <w:r w:rsidRPr="00125121">
        <w:t xml:space="preserve"> ended </w:t>
      </w:r>
      <w:r w:rsidR="006D2594">
        <w:t>September</w:t>
      </w:r>
      <w:r w:rsidRPr="00125121">
        <w:t xml:space="preserve"> 3</w:t>
      </w:r>
      <w:r>
        <w:t>0</w:t>
      </w:r>
      <w:r w:rsidRPr="00125121">
        <w:t>, 20</w:t>
      </w:r>
      <w:r>
        <w:t>20</w:t>
      </w:r>
      <w:r w:rsidR="006D2594">
        <w:t xml:space="preserve"> and</w:t>
      </w:r>
      <w:r w:rsidR="00691227">
        <w:t xml:space="preserve"> there </w:t>
      </w:r>
      <w:r w:rsidR="00691227">
        <w:rPr>
          <w:color w:val="000000"/>
        </w:rPr>
        <w:t>was no</w:t>
      </w:r>
      <w:r w:rsidR="00691227" w:rsidRPr="00214555">
        <w:rPr>
          <w:color w:val="000000"/>
        </w:rPr>
        <w:t xml:space="preserve"> unrecognized compensation expense related to stock options</w:t>
      </w:r>
      <w:r w:rsidR="00691227">
        <w:rPr>
          <w:color w:val="000000"/>
        </w:rPr>
        <w:t xml:space="preserve"> as of </w:t>
      </w:r>
      <w:r w:rsidR="006D2594">
        <w:rPr>
          <w:color w:val="000000"/>
        </w:rPr>
        <w:t>September</w:t>
      </w:r>
      <w:r w:rsidR="00691227">
        <w:rPr>
          <w:color w:val="000000"/>
        </w:rPr>
        <w:t xml:space="preserve"> 30, 2020.</w:t>
      </w:r>
      <w:r w:rsidR="006D2594">
        <w:t xml:space="preserve"> </w:t>
      </w:r>
      <w:r w:rsidR="00E02787">
        <w:t>D</w:t>
      </w:r>
      <w:r w:rsidR="00E02787" w:rsidRPr="00E0278C">
        <w:t>uring the three</w:t>
      </w:r>
      <w:r w:rsidR="00E02787">
        <w:t>-</w:t>
      </w:r>
      <w:r w:rsidR="00E02787" w:rsidRPr="00E0278C">
        <w:t>month</w:t>
      </w:r>
      <w:r w:rsidR="00E02787">
        <w:t xml:space="preserve"> and </w:t>
      </w:r>
      <w:r w:rsidR="006D2594">
        <w:t>nine</w:t>
      </w:r>
      <w:r w:rsidR="00E02787">
        <w:t xml:space="preserve">-month </w:t>
      </w:r>
      <w:r w:rsidR="00E02787" w:rsidRPr="00E0278C">
        <w:t>period</w:t>
      </w:r>
      <w:r w:rsidR="00E02787">
        <w:t>s</w:t>
      </w:r>
      <w:r w:rsidR="00E02787" w:rsidRPr="00E0278C">
        <w:t xml:space="preserve"> ended </w:t>
      </w:r>
      <w:r w:rsidR="006D2594">
        <w:t>September</w:t>
      </w:r>
      <w:r w:rsidR="00E02787">
        <w:t xml:space="preserve"> 30</w:t>
      </w:r>
      <w:r w:rsidR="00E02787" w:rsidRPr="00E0278C">
        <w:t>, 20</w:t>
      </w:r>
      <w:r w:rsidR="00E02787">
        <w:t>20</w:t>
      </w:r>
      <w:r w:rsidR="00E02787" w:rsidRPr="00E0278C">
        <w:t xml:space="preserve"> we recorded stock-based compensation expense of $</w:t>
      </w:r>
      <w:r w:rsidR="006D2594">
        <w:t>6</w:t>
      </w:r>
      <w:r w:rsidR="00636F30">
        <w:t>,000</w:t>
      </w:r>
      <w:r w:rsidR="00E02787">
        <w:t xml:space="preserve"> and $</w:t>
      </w:r>
      <w:r w:rsidR="006D2594">
        <w:t>24</w:t>
      </w:r>
      <w:r w:rsidR="00636F30">
        <w:t>,000</w:t>
      </w:r>
      <w:r w:rsidR="00E02787">
        <w:t>, respectively,</w:t>
      </w:r>
      <w:r w:rsidR="00E02787" w:rsidRPr="00E0278C">
        <w:t xml:space="preserve"> associated with common stock issued for </w:t>
      </w:r>
      <w:r w:rsidR="00E02787">
        <w:t>a consulting agreement</w:t>
      </w:r>
      <w:r w:rsidR="006D2594">
        <w:t>.</w:t>
      </w:r>
    </w:p>
    <w:bookmarkEnd w:id="31"/>
    <w:p w14:paraId="0DBF2458" w14:textId="77777777" w:rsidR="005B58B3" w:rsidRDefault="005B58B3" w:rsidP="000A55AE">
      <w:pPr>
        <w:rPr>
          <w:color w:val="000000"/>
        </w:rPr>
      </w:pPr>
    </w:p>
    <w:p w14:paraId="45163D60" w14:textId="3321253C" w:rsidR="00881E20" w:rsidRPr="001C6303" w:rsidRDefault="00346823" w:rsidP="000A55AE">
      <w:pPr>
        <w:pStyle w:val="ListNumbering"/>
        <w:spacing w:after="0"/>
      </w:pPr>
      <w:r>
        <w:t>1</w:t>
      </w:r>
      <w:r w:rsidR="005E38F4">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5C9594C1"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64C852FA" w14:textId="4D1E2519" w:rsidR="00FD6A4F" w:rsidRDefault="00FD6A4F">
      <w:pPr>
        <w:rPr>
          <w:b/>
        </w:rPr>
      </w:pPr>
    </w:p>
    <w:p w14:paraId="34FCCEE9" w14:textId="0A331564" w:rsidR="00653E5F" w:rsidRDefault="000E74A1" w:rsidP="000A55AE">
      <w:pPr>
        <w:pStyle w:val="ListNumbering"/>
        <w:spacing w:after="0"/>
      </w:pPr>
      <w:r>
        <w:t>1</w:t>
      </w:r>
      <w:r w:rsidR="005E38F4">
        <w:t>2</w:t>
      </w:r>
      <w:r w:rsidR="00881E20" w:rsidRPr="001C6303">
        <w:t>.</w:t>
      </w:r>
      <w:r w:rsidR="00881E20" w:rsidRPr="001C6303">
        <w:tab/>
      </w:r>
      <w:r w:rsidR="00881E20">
        <w:t>Grant</w:t>
      </w:r>
      <w:r w:rsidR="003E2B17">
        <w:t xml:space="preserve"> and </w:t>
      </w:r>
      <w:r w:rsidR="00E37E28">
        <w:t>Collaboration Revenue</w:t>
      </w:r>
    </w:p>
    <w:p w14:paraId="44D85234" w14:textId="69220D38" w:rsidR="000A55AE" w:rsidRDefault="000A55AE" w:rsidP="000A55AE"/>
    <w:p w14:paraId="0B34DF99" w14:textId="7612AC74" w:rsidR="001F207F" w:rsidRDefault="001F207F" w:rsidP="001F207F">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and </w:t>
      </w:r>
      <w:r w:rsidR="00E646DC">
        <w:t>nine</w:t>
      </w:r>
      <w:r>
        <w:t xml:space="preserve">-month periods ended </w:t>
      </w:r>
      <w:r w:rsidR="00E646DC">
        <w:t>September</w:t>
      </w:r>
      <w:r>
        <w:t xml:space="preserve"> 30, 2020, we recorded $</w:t>
      </w:r>
      <w:r w:rsidR="00E646DC">
        <w:t>231,330</w:t>
      </w:r>
      <w:r>
        <w:t xml:space="preserve"> and $</w:t>
      </w:r>
      <w:r w:rsidR="00E646DC">
        <w:t>1,186,844</w:t>
      </w:r>
      <w:r>
        <w:t>, respectively, of revenues associated with these grants and contracts, as compared to $</w:t>
      </w:r>
      <w:r w:rsidR="00E646DC">
        <w:t>214,765</w:t>
      </w:r>
      <w:r>
        <w:t xml:space="preserve"> and $</w:t>
      </w:r>
      <w:r w:rsidR="00E646DC">
        <w:t>754,022</w:t>
      </w:r>
      <w:r>
        <w:t xml:space="preserve">, respectively, for the comparable periods of 2019. As of </w:t>
      </w:r>
      <w:r w:rsidR="00E646DC">
        <w:t>September</w:t>
      </w:r>
      <w:r>
        <w:t xml:space="preserve"> 30, 2020, there </w:t>
      </w:r>
      <w:r w:rsidR="00453D31">
        <w:t>was</w:t>
      </w:r>
      <w:r>
        <w:t xml:space="preserve"> an aggregate of </w:t>
      </w:r>
      <w:r w:rsidR="00691227">
        <w:t>$</w:t>
      </w:r>
      <w:r w:rsidR="00E646DC">
        <w:t>417,121</w:t>
      </w:r>
      <w:r w:rsidR="00691227">
        <w:t xml:space="preserve"> </w:t>
      </w:r>
      <w:r w:rsidRPr="00700CEA">
        <w:t>in</w:t>
      </w:r>
      <w:r w:rsidRPr="00640BA0">
        <w:t xml:space="preserve"> approved grant funds available for use</w:t>
      </w:r>
      <w:r>
        <w:t xml:space="preserve"> through September 2021.</w:t>
      </w:r>
    </w:p>
    <w:p w14:paraId="06729B5F" w14:textId="77777777" w:rsidR="001F207F" w:rsidRDefault="001F207F" w:rsidP="001F207F"/>
    <w:p w14:paraId="75BF341F" w14:textId="020F922A" w:rsidR="001F207F" w:rsidRDefault="001F207F" w:rsidP="001F207F">
      <w:r>
        <w:t xml:space="preserve">During the three-month and </w:t>
      </w:r>
      <w:r w:rsidR="00E646DC">
        <w:t>nine</w:t>
      </w:r>
      <w:r>
        <w:t xml:space="preserve">-month periods ended </w:t>
      </w:r>
      <w:r w:rsidR="00E646DC">
        <w:t>September</w:t>
      </w:r>
      <w:r>
        <w:t xml:space="preserve"> 30, 2020, we recorded $</w:t>
      </w:r>
      <w:r w:rsidR="00E646DC">
        <w:t>184,127</w:t>
      </w:r>
      <w:r>
        <w:t xml:space="preserve"> and $</w:t>
      </w:r>
      <w:r w:rsidR="00E646DC">
        <w:t>385,193</w:t>
      </w:r>
      <w:r>
        <w:t>, respectively, of revenues associated with research collaboration agreements with third parties, as compared to $</w:t>
      </w:r>
      <w:r w:rsidR="00E646DC">
        <w:t>118,44</w:t>
      </w:r>
      <w:r w:rsidR="002D42AA">
        <w:t>4</w:t>
      </w:r>
      <w:r>
        <w:t xml:space="preserve"> and $</w:t>
      </w:r>
      <w:r w:rsidR="00E646DC">
        <w:t>153,360</w:t>
      </w:r>
      <w:r>
        <w:t>, respectively, for the comparable periods of 2019.</w:t>
      </w:r>
    </w:p>
    <w:p w14:paraId="6B96973D" w14:textId="637E9BBD" w:rsidR="001F207F" w:rsidRDefault="001F207F" w:rsidP="000A55AE"/>
    <w:p w14:paraId="0B298AA3" w14:textId="48D5EFBC" w:rsidR="00FF69AE" w:rsidRPr="00FF69AE" w:rsidRDefault="00FF69AE" w:rsidP="000A55AE">
      <w:pPr>
        <w:rPr>
          <w:b/>
          <w:bCs/>
        </w:rPr>
      </w:pPr>
      <w:r w:rsidRPr="00FF69AE">
        <w:rPr>
          <w:b/>
          <w:bCs/>
        </w:rPr>
        <w:t>13.</w:t>
      </w:r>
      <w:r w:rsidRPr="00FF69AE">
        <w:rPr>
          <w:b/>
          <w:bCs/>
        </w:rPr>
        <w:tab/>
        <w:t>Subsequent Events</w:t>
      </w:r>
    </w:p>
    <w:p w14:paraId="61A39249" w14:textId="6D88D8AB" w:rsidR="00FF69AE" w:rsidRDefault="00FF69AE" w:rsidP="000A55AE"/>
    <w:p w14:paraId="35ECFC14" w14:textId="08F687CD" w:rsidR="000B66B5" w:rsidRDefault="00EB11F5" w:rsidP="000A55AE">
      <w:r>
        <w:t>During October 2020, holders of our Pre-Funded Warrants exercised 250,000 of such warrants, resulting in the issuance of 250,000 shares of our common stock for an aggregate exercise price of $2,500.</w:t>
      </w:r>
    </w:p>
    <w:p w14:paraId="1732BC02" w14:textId="77777777" w:rsidR="000B66B5" w:rsidRDefault="000B66B5" w:rsidP="000A55AE"/>
    <w:p w14:paraId="52DAA18C" w14:textId="77777777" w:rsidR="001F207F" w:rsidRDefault="001F207F">
      <w:pPr>
        <w:rPr>
          <w:i/>
        </w:rPr>
      </w:pPr>
    </w:p>
    <w:p w14:paraId="6E1EAA53" w14:textId="77777777" w:rsidR="00A76F92" w:rsidRDefault="00A76F92">
      <w:pPr>
        <w:rPr>
          <w:b/>
        </w:rPr>
      </w:pPr>
      <w:r>
        <w:br w:type="page"/>
      </w:r>
    </w:p>
    <w:p w14:paraId="511152B0" w14:textId="2757CB4A"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 xml:space="preserve">s Discussion and Analysis of Financial Condition </w:t>
      </w:r>
      <w:r w:rsidR="00C87AEF">
        <w:t>a</w:t>
      </w:r>
      <w:r w:rsidR="00BD6BBE" w:rsidRPr="001C6303">
        <w:t>nd Results of Operations</w:t>
      </w:r>
      <w:bookmarkEnd w:id="24"/>
    </w:p>
    <w:p w14:paraId="10D16227" w14:textId="77777777" w:rsidR="000A55AE" w:rsidRDefault="000A55AE" w:rsidP="000A55AE">
      <w:pPr>
        <w:pStyle w:val="Subtitle"/>
        <w:spacing w:after="0"/>
      </w:pPr>
    </w:p>
    <w:p w14:paraId="209E002F" w14:textId="072049DA" w:rsidR="00BD6BBE" w:rsidRPr="001C6303" w:rsidRDefault="007F5D4D" w:rsidP="000A55AE">
      <w:pPr>
        <w:pStyle w:val="Subtitle"/>
        <w:spacing w:after="0"/>
      </w:pPr>
      <w:r w:rsidRPr="001C6303">
        <w:t>FORWARD</w:t>
      </w:r>
      <w:r w:rsidR="00613F1F">
        <w:t>-</w:t>
      </w:r>
      <w:r w:rsidRPr="001C6303">
        <w:t>LOOKING STATEMENTS</w:t>
      </w:r>
    </w:p>
    <w:p w14:paraId="1C7FD75F" w14:textId="77777777" w:rsidR="000A55AE" w:rsidRDefault="000A55AE" w:rsidP="000A55AE">
      <w:pPr>
        <w:pStyle w:val="BodyItalic"/>
        <w:spacing w:after="0"/>
      </w:pPr>
    </w:p>
    <w:p w14:paraId="6879CCA2" w14:textId="5C01340B"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w:t>
      </w:r>
      <w:r w:rsidR="00DE5AC8">
        <w:t>Item 1A</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whether we can raise additional capital as and when we need it;</w:t>
      </w:r>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r w:rsidR="00BD6BBE" w:rsidRPr="001C6303">
        <w:t>product</w:t>
      </w:r>
      <w:r w:rsidR="00B9332C" w:rsidRPr="001C6303">
        <w:t>s</w:t>
      </w:r>
      <w:r w:rsidRPr="001C6303">
        <w:t>;</w:t>
      </w:r>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product</w:t>
      </w:r>
      <w:r w:rsidR="00B9332C" w:rsidRPr="001C6303">
        <w:t>s</w:t>
      </w:r>
      <w:r w:rsidRPr="001C6303">
        <w:t>;</w:t>
      </w:r>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2BA4062F" w14:textId="5236F1B0" w:rsidR="002113C3" w:rsidRPr="00E576BB" w:rsidRDefault="0025217A" w:rsidP="002113C3">
      <w:r w:rsidRPr="0025217A">
        <w:t xml:space="preserve">GeoVax </w:t>
      </w:r>
      <w:r w:rsidR="002113C3" w:rsidRPr="00E576BB">
        <w:t xml:space="preserve">is a clinical-stage biotechnology company developing </w:t>
      </w:r>
      <w:r w:rsidR="002113C3">
        <w:t xml:space="preserve">immunotherapies and </w:t>
      </w:r>
      <w:r w:rsidR="002113C3" w:rsidRPr="00E576BB">
        <w:t xml:space="preserve">vaccines against infectious diseases and cancers using a novel </w:t>
      </w:r>
      <w:r w:rsidR="002113C3">
        <w:t>vector vaccine platform</w:t>
      </w:r>
      <w:r w:rsidR="002113C3" w:rsidRPr="00E576BB">
        <w:t xml:space="preserve"> </w:t>
      </w:r>
      <w:r w:rsidR="002113C3">
        <w:t>(</w:t>
      </w:r>
      <w:r w:rsidR="002113C3" w:rsidRPr="00E576BB">
        <w:t>Modified Vaccinia Ankara</w:t>
      </w:r>
      <w:r w:rsidR="002113C3">
        <w:t xml:space="preserve"> (MVA)</w:t>
      </w:r>
      <w:r w:rsidR="002113C3" w:rsidRPr="00E576BB">
        <w:t xml:space="preserve"> Virus-Like Particle</w:t>
      </w:r>
      <w:r w:rsidR="002113C3">
        <w:t>, or “GV-MVA-VLP</w:t>
      </w:r>
      <w:r w:rsidR="002113C3" w:rsidRPr="002D1A5A">
        <w:rPr>
          <w:vertAlign w:val="superscript"/>
        </w:rPr>
        <w:t>TM</w:t>
      </w:r>
      <w:r w:rsidR="002113C3">
        <w:t>”)</w:t>
      </w:r>
      <w:r w:rsidR="002113C3" w:rsidRPr="00E576BB">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w:t>
      </w:r>
      <w:r w:rsidR="00A76F92">
        <w:t xml:space="preserve">can </w:t>
      </w:r>
      <w:r w:rsidR="002113C3" w:rsidRPr="00E576BB">
        <w:t>elicit durable immune responses in the host similar to a live attenuated virus, while providing the safety characteristics of a replication-defective vector.</w:t>
      </w:r>
    </w:p>
    <w:p w14:paraId="4E8E087F" w14:textId="77777777" w:rsidR="002113C3" w:rsidRPr="00E576BB" w:rsidRDefault="002113C3" w:rsidP="002113C3"/>
    <w:p w14:paraId="39E8DEA8" w14:textId="77777777" w:rsidR="002113C3" w:rsidRPr="00E576BB" w:rsidRDefault="002113C3" w:rsidP="002113C3">
      <w:r w:rsidRPr="00E576BB">
        <w:t>Our current development programs are focused on preventive</w:t>
      </w:r>
      <w:r>
        <w:t xml:space="preserve"> </w:t>
      </w:r>
      <w:r w:rsidRPr="00E576BB">
        <w:t>vaccines against</w:t>
      </w:r>
      <w:r>
        <w:t xml:space="preserve"> novel</w:t>
      </w:r>
      <w:r w:rsidRPr="00E576BB">
        <w:t xml:space="preserve"> coronavirus (COVID-19), Human Immunodeficiency Virus (HIV), Zika Virus, hemorrhagic fever viruses (Ebola, Sudan, Marburg, Lassa), and malaria, as well as </w:t>
      </w:r>
      <w:r>
        <w:t>immunotherapies</w:t>
      </w:r>
      <w:r w:rsidRPr="00E576BB">
        <w:t xml:space="preserve"> for </w:t>
      </w:r>
      <w:r>
        <w:t>HIV</w:t>
      </w:r>
      <w:r w:rsidRPr="00E576BB">
        <w:t xml:space="preserve"> and </w:t>
      </w:r>
      <w:r>
        <w:t xml:space="preserve">solid tumor </w:t>
      </w:r>
      <w:r w:rsidRPr="00E576BB">
        <w:t xml:space="preserve">cancers. </w:t>
      </w:r>
    </w:p>
    <w:p w14:paraId="45E020CF" w14:textId="77777777" w:rsidR="002113C3" w:rsidRPr="0025217A" w:rsidRDefault="002113C3" w:rsidP="002113C3"/>
    <w:p w14:paraId="42579165" w14:textId="77777777" w:rsidR="002113C3" w:rsidRPr="002A5063" w:rsidRDefault="002113C3" w:rsidP="002113C3">
      <w:r w:rsidRPr="002A5063">
        <w:t>Our corporate strategy is to advance, protect and exploit our differentiated vaccine</w:t>
      </w:r>
      <w:r>
        <w:t xml:space="preserve"> </w:t>
      </w:r>
      <w:r w:rsidRPr="002A5063">
        <w:t>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14D8F573" w14:textId="77777777" w:rsidR="002113C3" w:rsidRDefault="002113C3" w:rsidP="000A55AE"/>
    <w:p w14:paraId="6F0D9798" w14:textId="2228DDFD" w:rsidR="003C73D3" w:rsidRDefault="0025217A" w:rsidP="000A55AE">
      <w:r w:rsidRPr="0025217A">
        <w:t>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24A80E60" w:rsidR="004A028C" w:rsidRDefault="004A028C" w:rsidP="000A55AE">
      <w:r w:rsidRPr="004A028C">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w:t>
      </w:r>
      <w:r>
        <w:t xml:space="preserve"> on Form 10-K for the year ended December 31, 201</w:t>
      </w:r>
      <w:r w:rsidR="00925E4B">
        <w:t>9</w:t>
      </w:r>
      <w:r w:rsidRPr="004A028C">
        <w:t xml:space="preserve">. </w:t>
      </w:r>
      <w:r>
        <w:t>T</w:t>
      </w:r>
      <w:r w:rsidRPr="004A028C">
        <w:t>here have been no significant changes to our critical accounting policies from those disclosed in our 201</w:t>
      </w:r>
      <w:r w:rsidR="00925E4B">
        <w:t>9</w:t>
      </w:r>
      <w:r w:rsidRPr="004A028C">
        <w:t xml:space="preserve"> Annual Report</w:t>
      </w:r>
      <w:r>
        <w:t>.</w:t>
      </w:r>
    </w:p>
    <w:p w14:paraId="26D8200B" w14:textId="77777777" w:rsidR="000A55AE" w:rsidRDefault="000A55AE" w:rsidP="000A55AE">
      <w:pPr>
        <w:pStyle w:val="BodyTitle"/>
        <w:spacing w:after="0"/>
        <w:rPr>
          <w:b/>
          <w:u w:val="none"/>
        </w:rPr>
      </w:pPr>
    </w:p>
    <w:p w14:paraId="611126D7" w14:textId="2EE1C891" w:rsidR="004A028C" w:rsidRPr="001C6303" w:rsidRDefault="004A028C" w:rsidP="000A55AE">
      <w:pPr>
        <w:pStyle w:val="BodyTitle"/>
        <w:spacing w:after="0"/>
        <w:rPr>
          <w:b/>
          <w:u w:val="none"/>
        </w:rPr>
      </w:pPr>
      <w:r>
        <w:rPr>
          <w:b/>
          <w:u w:val="none"/>
        </w:rPr>
        <w:t>Recent Accounting Pronouncements</w:t>
      </w:r>
    </w:p>
    <w:p w14:paraId="04405611" w14:textId="77777777" w:rsidR="000A55AE" w:rsidRDefault="000A55AE" w:rsidP="000A55AE"/>
    <w:p w14:paraId="2694DDD8" w14:textId="1B72538E"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3327D21" w:rsidR="00A420E8" w:rsidRPr="001C6303" w:rsidRDefault="00A420E8" w:rsidP="000A55AE">
      <w:pPr>
        <w:pStyle w:val="BodyTitle"/>
        <w:spacing w:after="0"/>
        <w:rPr>
          <w:b/>
          <w:u w:val="none"/>
        </w:rPr>
      </w:pPr>
      <w:r w:rsidRPr="001C6303">
        <w:rPr>
          <w:b/>
          <w:u w:val="none"/>
        </w:rPr>
        <w:t>Liquidity and Capital Resources</w:t>
      </w:r>
    </w:p>
    <w:p w14:paraId="15E2F672" w14:textId="77777777" w:rsidR="000A55AE" w:rsidRDefault="000A55AE" w:rsidP="000A55AE"/>
    <w:p w14:paraId="604FE554" w14:textId="491E3BA8" w:rsidR="00925E4B" w:rsidRDefault="00925E4B" w:rsidP="00925E4B">
      <w:r>
        <w:t>O</w:t>
      </w:r>
      <w:r w:rsidRPr="00612B10">
        <w:t xml:space="preserve">ur </w:t>
      </w:r>
      <w:r>
        <w:t>principal</w:t>
      </w:r>
      <w:r w:rsidRPr="00612B10">
        <w:t xml:space="preserve"> uses of cash </w:t>
      </w:r>
      <w:r>
        <w:t>are</w:t>
      </w:r>
      <w:r w:rsidRPr="00612B10">
        <w:t xml:space="preserve"> to finance our resear</w:t>
      </w:r>
      <w:r>
        <w:t xml:space="preserve">ch and development activities. </w:t>
      </w:r>
      <w:r w:rsidRPr="00612B10">
        <w:t>Since inception, we have funded these activities primarily from government grants and clinical trial assistance, and from sales of our equity securities.</w:t>
      </w:r>
      <w:r>
        <w:t xml:space="preserve"> </w:t>
      </w:r>
      <w:r w:rsidRPr="00612B10">
        <w:t xml:space="preserve">At </w:t>
      </w:r>
      <w:r w:rsidR="002113C3">
        <w:t>September</w:t>
      </w:r>
      <w:r w:rsidR="00271E59">
        <w:t> </w:t>
      </w:r>
      <w:r>
        <w:t>3</w:t>
      </w:r>
      <w:r w:rsidR="001F207F">
        <w:t>0</w:t>
      </w:r>
      <w:r>
        <w:t>, 2020</w:t>
      </w:r>
      <w:r w:rsidRPr="00612B10">
        <w:t>, we had cash and cash equivalents of $</w:t>
      </w:r>
      <w:r w:rsidR="002113C3">
        <w:t>11,580,594</w:t>
      </w:r>
      <w:r w:rsidRPr="00612B10">
        <w:t xml:space="preserve"> and total assets of $</w:t>
      </w:r>
      <w:r w:rsidR="002113C3">
        <w:t>11,755,</w:t>
      </w:r>
      <w:r w:rsidR="00EB5262">
        <w:t>897</w:t>
      </w:r>
      <w:r w:rsidRPr="00612B10">
        <w:t>, as compared to $</w:t>
      </w:r>
      <w:r>
        <w:t>283,341</w:t>
      </w:r>
      <w:r w:rsidRPr="00612B10">
        <w:t xml:space="preserve"> and $</w:t>
      </w:r>
      <w:r>
        <w:t>468,880</w:t>
      </w:r>
      <w:r w:rsidRPr="00612B10">
        <w:t xml:space="preserve">, respectively, at </w:t>
      </w:r>
      <w:r>
        <w:t>December 31, 2019</w:t>
      </w:r>
      <w:r w:rsidRPr="00612B10">
        <w:t xml:space="preserve">. </w:t>
      </w:r>
      <w:r>
        <w:t xml:space="preserve">At </w:t>
      </w:r>
      <w:r w:rsidR="00EB5262">
        <w:t>September</w:t>
      </w:r>
      <w:r>
        <w:t xml:space="preserve"> 3</w:t>
      </w:r>
      <w:r w:rsidR="001F207F">
        <w:t>0</w:t>
      </w:r>
      <w:r>
        <w:t xml:space="preserve">, 2020, we had </w:t>
      </w:r>
      <w:r w:rsidR="00EB5262">
        <w:t xml:space="preserve">positive </w:t>
      </w:r>
      <w:r>
        <w:t>w</w:t>
      </w:r>
      <w:r w:rsidRPr="00612B10">
        <w:t xml:space="preserve">orking capital </w:t>
      </w:r>
      <w:r w:rsidRPr="00271E59">
        <w:t>of $</w:t>
      </w:r>
      <w:r w:rsidR="00D3101C">
        <w:t>1</w:t>
      </w:r>
      <w:r w:rsidR="00EB5262">
        <w:t>0,811,147</w:t>
      </w:r>
      <w:r w:rsidRPr="00271E59">
        <w:t>, compared to</w:t>
      </w:r>
      <w:r w:rsidR="00EB5262">
        <w:t xml:space="preserve"> a working capital deficit of</w:t>
      </w:r>
      <w:r w:rsidRPr="00271E59">
        <w:t xml:space="preserve"> $1,568,929 at December 31, 2019.</w:t>
      </w:r>
    </w:p>
    <w:p w14:paraId="741DAFBD" w14:textId="77777777" w:rsidR="00925E4B" w:rsidRDefault="00925E4B" w:rsidP="00925E4B"/>
    <w:p w14:paraId="31EBD8E7" w14:textId="50B33858" w:rsidR="00925E4B" w:rsidRPr="007A4B96" w:rsidRDefault="00925E4B" w:rsidP="00925E4B">
      <w:r w:rsidRPr="00612B10">
        <w:t>Net cash used in operating activities was</w:t>
      </w:r>
      <w:r>
        <w:t xml:space="preserve"> </w:t>
      </w:r>
      <w:r w:rsidRPr="00612B10">
        <w:t>$</w:t>
      </w:r>
      <w:r w:rsidR="0025712E">
        <w:t>1,208,619</w:t>
      </w:r>
      <w:r>
        <w:t xml:space="preserve"> </w:t>
      </w:r>
      <w:r w:rsidRPr="00612B10">
        <w:t xml:space="preserve">and </w:t>
      </w:r>
      <w:r>
        <w:t>$</w:t>
      </w:r>
      <w:r w:rsidR="0025712E">
        <w:t>1,117,737</w:t>
      </w:r>
      <w:r>
        <w:t xml:space="preserve"> </w:t>
      </w:r>
      <w:r w:rsidRPr="00612B10">
        <w:t xml:space="preserve">for the </w:t>
      </w:r>
      <w:r w:rsidR="0025712E">
        <w:t>nine</w:t>
      </w:r>
      <w:r>
        <w:t>-month periods</w:t>
      </w:r>
      <w:r w:rsidRPr="00612B10">
        <w:t xml:space="preserve"> ended </w:t>
      </w:r>
      <w:r w:rsidR="0025712E">
        <w:t>September</w:t>
      </w:r>
      <w:r>
        <w:t> 3</w:t>
      </w:r>
      <w:r w:rsidR="001F207F">
        <w:t>0</w:t>
      </w:r>
      <w:r>
        <w:t>, 2020 and 2019</w:t>
      </w:r>
      <w:r w:rsidRPr="00612B10">
        <w:t>, respectively.</w:t>
      </w:r>
      <w:r>
        <w:t xml:space="preserve"> Generally, t</w:t>
      </w:r>
      <w:r w:rsidRPr="00612B10">
        <w: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w:t>
      </w:r>
      <w:r>
        <w:t xml:space="preserve"> </w:t>
      </w:r>
      <w:r w:rsidRPr="007A4B96">
        <w:t xml:space="preserve">As of </w:t>
      </w:r>
      <w:r w:rsidR="0025712E">
        <w:t>September</w:t>
      </w:r>
      <w:r w:rsidRPr="007A4B96">
        <w:t xml:space="preserve"> 3</w:t>
      </w:r>
      <w:r w:rsidR="001F207F">
        <w:t>0</w:t>
      </w:r>
      <w:r w:rsidRPr="007A4B96">
        <w:t>, 20</w:t>
      </w:r>
      <w:r w:rsidR="00D503C2">
        <w:t>20</w:t>
      </w:r>
      <w:r w:rsidRPr="007A4B96">
        <w:t xml:space="preserve">, there </w:t>
      </w:r>
      <w:r w:rsidR="00453D31">
        <w:t>was</w:t>
      </w:r>
      <w:r>
        <w:t xml:space="preserve"> $</w:t>
      </w:r>
      <w:r w:rsidR="0025712E">
        <w:t xml:space="preserve">417,121 </w:t>
      </w:r>
      <w:r w:rsidRPr="007A4B96">
        <w:t xml:space="preserve">in approved grant funds available for use </w:t>
      </w:r>
      <w:r w:rsidR="001F207F">
        <w:t>through September 2021</w:t>
      </w:r>
      <w:r w:rsidRPr="007A4B96">
        <w:t>.</w:t>
      </w:r>
      <w:r w:rsidRPr="007A4B96">
        <w:rPr>
          <w:rFonts w:ascii="CG Times (WN)" w:hAnsi="CG Times (WN)"/>
        </w:rPr>
        <w:t xml:space="preserve"> </w:t>
      </w:r>
      <w:r w:rsidRPr="000504C2">
        <w:rPr>
          <w:rFonts w:ascii="CG Times (WN)" w:hAnsi="CG Times (WN)"/>
        </w:rPr>
        <w:t>Of th</w:t>
      </w:r>
      <w:r w:rsidR="000504C2" w:rsidRPr="000504C2">
        <w:rPr>
          <w:rFonts w:ascii="CG Times (WN)" w:hAnsi="CG Times (WN)"/>
        </w:rPr>
        <w:t>ese</w:t>
      </w:r>
      <w:r w:rsidRPr="007A4B96">
        <w:rPr>
          <w:rFonts w:ascii="CG Times (WN)" w:hAnsi="CG Times (WN)"/>
        </w:rPr>
        <w:t xml:space="preserve"> amount</w:t>
      </w:r>
      <w:r w:rsidR="000504C2">
        <w:rPr>
          <w:rFonts w:ascii="CG Times (WN)" w:hAnsi="CG Times (WN)"/>
        </w:rPr>
        <w:t>s</w:t>
      </w:r>
      <w:r w:rsidRPr="007A4B96">
        <w:rPr>
          <w:rFonts w:ascii="CG Times (WN)" w:hAnsi="CG Times (WN)"/>
        </w:rPr>
        <w:t>, we expect that</w:t>
      </w:r>
      <w:r>
        <w:rPr>
          <w:rFonts w:ascii="CG Times (WN)" w:hAnsi="CG Times (WN)"/>
        </w:rPr>
        <w:t xml:space="preserve"> </w:t>
      </w:r>
      <w:r w:rsidR="004C4EDD">
        <w:rPr>
          <w:rFonts w:ascii="CG Times (WN)" w:hAnsi="CG Times (WN)"/>
        </w:rPr>
        <w:t xml:space="preserve">approximately </w:t>
      </w:r>
      <w:r>
        <w:rPr>
          <w:rFonts w:ascii="CG Times (WN)" w:hAnsi="CG Times (WN)"/>
        </w:rPr>
        <w:t>$</w:t>
      </w:r>
      <w:r w:rsidR="0025712E">
        <w:rPr>
          <w:rFonts w:ascii="CG Times (WN)" w:hAnsi="CG Times (WN)"/>
        </w:rPr>
        <w:t xml:space="preserve">290,500 </w:t>
      </w:r>
      <w:r w:rsidRPr="007A4B96">
        <w:rPr>
          <w:rFonts w:ascii="CG Times (WN)" w:hAnsi="CG Times (WN)"/>
        </w:rPr>
        <w:t xml:space="preserve">will be used by us to reimburse third parties who will provide services covered by </w:t>
      </w:r>
      <w:r w:rsidR="000504C2">
        <w:rPr>
          <w:rFonts w:ascii="CG Times (WN)" w:hAnsi="CG Times (WN)"/>
        </w:rPr>
        <w:t xml:space="preserve">our </w:t>
      </w:r>
      <w:r w:rsidRPr="007A4B96">
        <w:rPr>
          <w:rFonts w:ascii="CG Times (WN)" w:hAnsi="CG Times (WN)"/>
        </w:rPr>
        <w:t>grants. See “Results of Operations – Grant and Collaboration Revenues” below for additional details concerning our government grants.</w:t>
      </w:r>
    </w:p>
    <w:p w14:paraId="2897AA1D" w14:textId="77777777" w:rsidR="00A34115" w:rsidRPr="001B5698" w:rsidRDefault="00A34115" w:rsidP="00A34115"/>
    <w:p w14:paraId="0EE9BCED" w14:textId="77777777" w:rsidR="00481222" w:rsidRPr="00481222" w:rsidRDefault="00481222" w:rsidP="00481222">
      <w:r w:rsidRPr="00481222">
        <w:t>NIAID has funded the costs of conducting all of our human clinical trials (Phase 1 and Phase 2a) to date for our preventive HIV vaccines, with GeoVax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We expect HVTN 132 to commence patient enrollment in early 2021. Additionally, we are party to a collaboration with American Gene Technologies International, Inc. (AGT) whereby AGT intends to conduct a Phase 1 human clinical trial with our combined technologies, with the ultimate goal of developing a functional cure for HIV infection. We expect that AGT will begin the Phase 1 trial during 2020, with the addition of our vaccine into the trial in early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as a result of the ongoing COVID-19 pandemic.</w:t>
      </w:r>
    </w:p>
    <w:p w14:paraId="0096338F" w14:textId="77777777" w:rsidR="007A4B96" w:rsidRDefault="007A4B96" w:rsidP="000A55AE"/>
    <w:p w14:paraId="5643FAFF" w14:textId="3F4F6151" w:rsidR="00612B10" w:rsidRDefault="00612B10" w:rsidP="000A55AE">
      <w:r w:rsidRPr="00612B10">
        <w:t xml:space="preserve">Net cash used in investing activities was </w:t>
      </w:r>
      <w:r w:rsidR="00D503C2">
        <w:t>$</w:t>
      </w:r>
      <w:r w:rsidR="00F837E1">
        <w:t>2,470</w:t>
      </w:r>
      <w:r w:rsidR="00D503C2">
        <w:t xml:space="preserve"> and </w:t>
      </w:r>
      <w:r w:rsidR="0024365D">
        <w:t>$</w:t>
      </w:r>
      <w:r w:rsidR="00CA7960">
        <w:t>4,272</w:t>
      </w:r>
      <w:r w:rsidRPr="00612B10">
        <w:t xml:space="preserve"> for t</w:t>
      </w:r>
      <w:r>
        <w:t xml:space="preserve">he </w:t>
      </w:r>
      <w:r w:rsidR="00F837E1">
        <w:t>nine</w:t>
      </w:r>
      <w:r>
        <w:t>-month periods</w:t>
      </w:r>
      <w:r w:rsidRPr="00612B10">
        <w:t xml:space="preserve"> ended </w:t>
      </w:r>
      <w:r w:rsidR="00F837E1">
        <w:t>September</w:t>
      </w:r>
      <w:r>
        <w:t> 3</w:t>
      </w:r>
      <w:r w:rsidR="00B02073">
        <w:t>0</w:t>
      </w:r>
      <w:r>
        <w:t>, 20</w:t>
      </w:r>
      <w:r w:rsidR="00D503C2">
        <w:t>20</w:t>
      </w:r>
      <w:r>
        <w:t xml:space="preserve"> and 201</w:t>
      </w:r>
      <w:r w:rsidR="00D503C2">
        <w:t>9</w:t>
      </w:r>
      <w:r w:rsidRPr="00612B10">
        <w:t>, respectively. Our investing activities have consisted predominantly of capital expenditures.</w:t>
      </w:r>
    </w:p>
    <w:p w14:paraId="71C14A4D" w14:textId="77777777" w:rsidR="000A55AE" w:rsidRPr="00612B10" w:rsidRDefault="000A55AE" w:rsidP="000A55AE"/>
    <w:p w14:paraId="0CB09D15" w14:textId="6B1264D0" w:rsidR="00A6350E" w:rsidRDefault="00612B10" w:rsidP="000A55AE">
      <w:r w:rsidRPr="00612B10">
        <w:t>Net cash provided by financing activities was</w:t>
      </w:r>
      <w:r w:rsidR="0024365D">
        <w:t xml:space="preserve"> </w:t>
      </w:r>
      <w:r w:rsidR="00D503C2">
        <w:t>$</w:t>
      </w:r>
      <w:r w:rsidR="00F837E1">
        <w:t>12,508,342</w:t>
      </w:r>
      <w:r w:rsidR="00D503C2">
        <w:t xml:space="preserve"> and </w:t>
      </w:r>
      <w:r w:rsidR="0024365D">
        <w:t>$</w:t>
      </w:r>
      <w:r w:rsidR="00F837E1">
        <w:t>1,431,667</w:t>
      </w:r>
      <w:r w:rsidRPr="00612B10">
        <w:t xml:space="preserve"> for t</w:t>
      </w:r>
      <w:r>
        <w:t xml:space="preserve">he </w:t>
      </w:r>
      <w:r w:rsidR="00F837E1">
        <w:t>nine</w:t>
      </w:r>
      <w:r>
        <w:t>-month periods</w:t>
      </w:r>
      <w:r w:rsidRPr="00612B10">
        <w:t xml:space="preserve"> ended </w:t>
      </w:r>
      <w:r w:rsidR="00F837E1">
        <w:t>September</w:t>
      </w:r>
      <w:r>
        <w:t> 3</w:t>
      </w:r>
      <w:r w:rsidR="00B02073">
        <w:t>0</w:t>
      </w:r>
      <w:r>
        <w:t>, 20</w:t>
      </w:r>
      <w:r w:rsidR="00D503C2">
        <w:t>20</w:t>
      </w:r>
      <w:r>
        <w:t xml:space="preserve"> and 201</w:t>
      </w:r>
      <w:r w:rsidR="00D503C2">
        <w:t>9</w:t>
      </w:r>
      <w:r w:rsidRPr="00612B10">
        <w:t>, respectively</w:t>
      </w:r>
      <w:r>
        <w:t xml:space="preserve">. </w:t>
      </w:r>
      <w:r w:rsidR="007227E4">
        <w:t xml:space="preserve">Net cash provided by financing activities during the </w:t>
      </w:r>
      <w:r w:rsidR="00D503C2">
        <w:t>2020</w:t>
      </w:r>
      <w:r w:rsidR="007227E4">
        <w:t xml:space="preserve"> period relates to </w:t>
      </w:r>
      <w:r w:rsidR="00481222">
        <w:t xml:space="preserve">(i) the </w:t>
      </w:r>
      <w:r w:rsidR="007227E4">
        <w:t>sale</w:t>
      </w:r>
      <w:r w:rsidR="00481222">
        <w:t xml:space="preserve"> in January 2020</w:t>
      </w:r>
      <w:r w:rsidR="007227E4">
        <w:t xml:space="preserve"> of shares of our Series </w:t>
      </w:r>
      <w:r w:rsidR="00D503C2">
        <w:t>J</w:t>
      </w:r>
      <w:r w:rsidR="007227E4">
        <w:t xml:space="preserve"> convertible preferred stock </w:t>
      </w:r>
      <w:r w:rsidR="00D503C2">
        <w:t xml:space="preserve">for net proceeds of </w:t>
      </w:r>
      <w:r w:rsidR="007227E4">
        <w:t>$</w:t>
      </w:r>
      <w:r w:rsidR="00D503C2">
        <w:t>300</w:t>
      </w:r>
      <w:r w:rsidR="007227E4">
        <w:t>,000</w:t>
      </w:r>
      <w:r w:rsidR="00682A5E">
        <w:t>,</w:t>
      </w:r>
      <w:r w:rsidR="00481222">
        <w:t xml:space="preserve"> (ii)</w:t>
      </w:r>
      <w:r w:rsidR="00682A5E">
        <w:t xml:space="preserve"> $170,200 of PPP loan proceeds </w:t>
      </w:r>
      <w:r w:rsidR="00481222">
        <w:t xml:space="preserve">received in April 2020 </w:t>
      </w:r>
      <w:r w:rsidR="00682A5E">
        <w:t xml:space="preserve">(see discussion below), </w:t>
      </w:r>
      <w:r w:rsidR="00481222">
        <w:t xml:space="preserve">(iii) </w:t>
      </w:r>
      <w:r w:rsidR="00682A5E">
        <w:t>$</w:t>
      </w:r>
      <w:r w:rsidR="00D3101C">
        <w:t>888,500</w:t>
      </w:r>
      <w:r w:rsidR="00682A5E">
        <w:t xml:space="preserve"> of net proceeds </w:t>
      </w:r>
      <w:r w:rsidR="00481222">
        <w:t xml:space="preserve">received in June 2020 </w:t>
      </w:r>
      <w:r w:rsidR="00682A5E">
        <w:t xml:space="preserve">from </w:t>
      </w:r>
      <w:r w:rsidR="00F529F1">
        <w:t>our issuance of Convertible Debentures</w:t>
      </w:r>
      <w:r w:rsidR="00682A5E">
        <w:t xml:space="preserve"> (see discussion below),</w:t>
      </w:r>
      <w:r w:rsidR="007227E4">
        <w:t xml:space="preserve"> </w:t>
      </w:r>
      <w:r w:rsidR="00481222">
        <w:t>(iv) net proceeds of</w:t>
      </w:r>
      <w:r w:rsidR="00F2760D">
        <w:t xml:space="preserve"> </w:t>
      </w:r>
      <w:r w:rsidR="00FD064F">
        <w:t xml:space="preserve">approximately </w:t>
      </w:r>
      <w:r w:rsidR="00F2760D">
        <w:t>$</w:t>
      </w:r>
      <w:r w:rsidR="00231B45">
        <w:t>11.2 million</w:t>
      </w:r>
      <w:r w:rsidR="00F2760D">
        <w:t xml:space="preserve"> received in September 2020 from the public offering of our equity securities (see discussion below),</w:t>
      </w:r>
      <w:r w:rsidR="00481222">
        <w:t xml:space="preserve">  </w:t>
      </w:r>
      <w:r w:rsidR="007227E4">
        <w:t>and</w:t>
      </w:r>
      <w:r w:rsidR="00481222">
        <w:t xml:space="preserve"> (v)</w:t>
      </w:r>
      <w:r w:rsidR="007227E4">
        <w:t xml:space="preserve"> </w:t>
      </w:r>
      <w:r w:rsidR="00D503C2">
        <w:t>$</w:t>
      </w:r>
      <w:r w:rsidR="00DD4CEE">
        <w:t>8,854</w:t>
      </w:r>
      <w:r w:rsidR="00D503C2">
        <w:t xml:space="preserve"> in principal repayments toward </w:t>
      </w:r>
      <w:r w:rsidR="007227E4">
        <w:rPr>
          <w:rFonts w:ascii="CG Times (WN)" w:hAnsi="CG Times (WN)"/>
        </w:rPr>
        <w:t>the GRA Note</w:t>
      </w:r>
      <w:r w:rsidR="007227E4" w:rsidRPr="007A4B96">
        <w:t>.</w:t>
      </w:r>
      <w:r w:rsidR="007227E4">
        <w:t xml:space="preserve">  Net cash provided by financing activities during the 2019 period relates to the sale of shares of our Series G </w:t>
      </w:r>
      <w:r w:rsidR="00DD4CEE">
        <w:t xml:space="preserve">and Series I </w:t>
      </w:r>
      <w:r w:rsidR="007227E4">
        <w:t xml:space="preserve">convertible preferred stock </w:t>
      </w:r>
      <w:r w:rsidR="003705E9">
        <w:t xml:space="preserve">for </w:t>
      </w:r>
      <w:r w:rsidR="00DD4CEE">
        <w:t xml:space="preserve">aggregate </w:t>
      </w:r>
      <w:r w:rsidR="003705E9">
        <w:t xml:space="preserve">net proceeds of </w:t>
      </w:r>
      <w:r w:rsidR="007227E4">
        <w:t>$</w:t>
      </w:r>
      <w:r w:rsidR="00DD4CEE">
        <w:t>1,4</w:t>
      </w:r>
      <w:r w:rsidR="007227E4">
        <w:t>40,000</w:t>
      </w:r>
      <w:r w:rsidR="003705E9">
        <w:t xml:space="preserve"> </w:t>
      </w:r>
      <w:r w:rsidR="007227E4">
        <w:t>and $</w:t>
      </w:r>
      <w:r w:rsidR="00DD4CEE">
        <w:t>8,333</w:t>
      </w:r>
      <w:r w:rsidR="007227E4">
        <w:t xml:space="preserve"> in </w:t>
      </w:r>
      <w:r w:rsidR="00A34115">
        <w:t xml:space="preserve">principal </w:t>
      </w:r>
      <w:r w:rsidR="007227E4">
        <w:t>repayments toward the GRA Note.</w:t>
      </w:r>
    </w:p>
    <w:p w14:paraId="124DDA0C" w14:textId="77777777" w:rsidR="00481222" w:rsidRDefault="00481222" w:rsidP="000A55AE"/>
    <w:p w14:paraId="2A9A9664" w14:textId="06855BF8" w:rsidR="00074805" w:rsidRDefault="00481222" w:rsidP="00074805">
      <w:r w:rsidRPr="00481222">
        <w:rPr>
          <w:i/>
        </w:rPr>
        <w:t>PPP Loan</w:t>
      </w:r>
      <w:r>
        <w:rPr>
          <w:iCs/>
        </w:rPr>
        <w:t xml:space="preserve"> – </w:t>
      </w:r>
      <w:r w:rsidR="00074805">
        <w:rPr>
          <w:iCs/>
        </w:rPr>
        <w:t xml:space="preserve">On April 17, 2020, we received a $170,200 bank loan backed by the United States Small Business Administration pursuant to the Paycheck Protection Program (PPP) provisions of the CARES Act. </w:t>
      </w:r>
      <w:r w:rsidR="00074805">
        <w:t xml:space="preserve">The loan bears an annual interest rate of one percent and is due April 17, 2022. Commencing November 17, 2020, monthly payments of $9,578.16 will be due. Amounts due may be prepaid without penalty. </w:t>
      </w:r>
      <w:r w:rsidR="00DD4CEE">
        <w:t>In October 2020, we</w:t>
      </w:r>
      <w:r w:rsidR="00074805">
        <w:t xml:space="preserve"> appl</w:t>
      </w:r>
      <w:r w:rsidR="00DD4CEE">
        <w:t>ied</w:t>
      </w:r>
      <w:r w:rsidR="00074805">
        <w:t xml:space="preserve"> to the lender to have the </w:t>
      </w:r>
      <w:r w:rsidR="00DD4CEE">
        <w:t xml:space="preserve">full </w:t>
      </w:r>
      <w:r w:rsidR="00074805">
        <w:t xml:space="preserve">principal amount </w:t>
      </w:r>
      <w:r w:rsidR="00DD4CEE">
        <w:t>forgiven</w:t>
      </w:r>
      <w:r w:rsidR="00074805">
        <w:t xml:space="preserve"> </w:t>
      </w:r>
      <w:r w:rsidR="00DD4CEE">
        <w:t>based upon our</w:t>
      </w:r>
      <w:r w:rsidR="00074805">
        <w:t xml:space="preserve"> providing qualifying information regarding eligible expenses</w:t>
      </w:r>
      <w:r w:rsidR="00FD064F">
        <w:t>; as of the date of this report our application has not been processed.</w:t>
      </w:r>
    </w:p>
    <w:p w14:paraId="547F0790" w14:textId="20D7F34D" w:rsidR="00074805" w:rsidRDefault="00074805" w:rsidP="000A55AE"/>
    <w:p w14:paraId="51A7381F" w14:textId="656C25C4" w:rsidR="00E41BA6" w:rsidRPr="00E41BA6" w:rsidRDefault="00E41BA6" w:rsidP="00E41BA6">
      <w:pPr>
        <w:pStyle w:val="BodyText"/>
        <w:spacing w:after="0"/>
        <w:rPr>
          <w:i/>
          <w:iCs/>
        </w:rPr>
      </w:pPr>
      <w:r w:rsidRPr="001034BC">
        <w:rPr>
          <w:i/>
          <w:iCs/>
        </w:rPr>
        <w:t xml:space="preserve">Conversion of Deferred Compensation to Equity </w:t>
      </w:r>
      <w:r>
        <w:rPr>
          <w:i/>
          <w:iCs/>
        </w:rPr>
        <w:t xml:space="preserve">– </w:t>
      </w:r>
      <w:r w:rsidRPr="001034BC">
        <w:t>During 2016 and 2017, to help conserve the Company’s cash resources, each of our executive officers and non-employee directors agreed to defer receipt of all or a portion (at varying levels) of their respective cash compensation</w:t>
      </w:r>
      <w:r w:rsidR="00D045A9">
        <w:t>; the deferrals continued during 2018, 2019 and 2020</w:t>
      </w:r>
      <w:r w:rsidRPr="001034BC">
        <w:t>. As of August</w:t>
      </w:r>
      <w:r>
        <w:t> </w:t>
      </w:r>
      <w:r w:rsidRPr="001034BC">
        <w:t xml:space="preserve">31, 2020, the aggregate accumulated deferrals were approximately $2,025,198. </w:t>
      </w:r>
      <w:r w:rsidRPr="00FC7840">
        <w:t xml:space="preserve">On </w:t>
      </w:r>
      <w:r>
        <w:t>September</w:t>
      </w:r>
      <w:r w:rsidRPr="00FC7840">
        <w:t xml:space="preserve"> 2</w:t>
      </w:r>
      <w:r>
        <w:t>9</w:t>
      </w:r>
      <w:r w:rsidRPr="00FC7840">
        <w:t xml:space="preserve">, 2020, upon </w:t>
      </w:r>
      <w:r>
        <w:t xml:space="preserve">our </w:t>
      </w:r>
      <w:r w:rsidRPr="00FC7840">
        <w:t xml:space="preserve">consummation of the </w:t>
      </w:r>
      <w:r w:rsidR="00D71560">
        <w:t>public offering discussed below</w:t>
      </w:r>
      <w:r>
        <w:t xml:space="preserve">, $1,500,000 of the accumulated deferrals </w:t>
      </w:r>
      <w:r w:rsidRPr="00FC7840">
        <w:t xml:space="preserve">were converted at </w:t>
      </w:r>
      <w:r>
        <w:t>t</w:t>
      </w:r>
      <w:r w:rsidRPr="00FC7840">
        <w:t xml:space="preserve">he </w:t>
      </w:r>
      <w:r>
        <w:t>$5.00 offering price, resulting in the issuance of 300,001</w:t>
      </w:r>
      <w:r w:rsidRPr="00FC7840">
        <w:t xml:space="preserve"> </w:t>
      </w:r>
      <w:r>
        <w:t>u</w:t>
      </w:r>
      <w:r w:rsidRPr="001034BC">
        <w:t xml:space="preserve">nits substantially similar to the </w:t>
      </w:r>
      <w:r>
        <w:t>units</w:t>
      </w:r>
      <w:r w:rsidRPr="001034BC">
        <w:t xml:space="preserve"> </w:t>
      </w:r>
      <w:r>
        <w:t>sold in the public offering</w:t>
      </w:r>
      <w:r w:rsidR="00D71560">
        <w:t xml:space="preserve">. </w:t>
      </w:r>
      <w:r>
        <w:t xml:space="preserve">The remaining </w:t>
      </w:r>
      <w:r w:rsidR="00D71560">
        <w:t xml:space="preserve">$525,198 of </w:t>
      </w:r>
      <w:r>
        <w:t>deferred compensation</w:t>
      </w:r>
      <w:r w:rsidR="00D71560">
        <w:t xml:space="preserve"> owed as of August 31, 2020 </w:t>
      </w:r>
      <w:r w:rsidR="00B65441">
        <w:t>will be paid in cash</w:t>
      </w:r>
      <w:r>
        <w:t>. Subsequent to the public offering all deferred compensation arrangements have been discontinued.</w:t>
      </w:r>
    </w:p>
    <w:p w14:paraId="6DCD8945" w14:textId="25EB5B27" w:rsidR="00B02073" w:rsidRDefault="00B02073" w:rsidP="000A55AE"/>
    <w:p w14:paraId="7FCEECCE" w14:textId="1DE588DA" w:rsidR="008E0FBD" w:rsidRPr="00861C2F" w:rsidRDefault="00F529F1" w:rsidP="008E0FBD">
      <w:r w:rsidRPr="00F529F1">
        <w:rPr>
          <w:i/>
          <w:iCs/>
        </w:rPr>
        <w:t>Issuance of Convertible Debentures and Subsequent Conversion to Equity</w:t>
      </w:r>
      <w:r>
        <w:t xml:space="preserve"> – </w:t>
      </w:r>
      <w:r w:rsidR="008E0FBD" w:rsidRPr="00210E53">
        <w:t xml:space="preserve">On June </w:t>
      </w:r>
      <w:r w:rsidR="008E0FBD">
        <w:t>26</w:t>
      </w:r>
      <w:r w:rsidR="008E0FBD" w:rsidRPr="00210E53">
        <w:t xml:space="preserve"> 2020, </w:t>
      </w:r>
      <w:r w:rsidR="008E0FBD">
        <w:t>we</w:t>
      </w:r>
      <w:r w:rsidR="008E0FBD" w:rsidRPr="00210E53">
        <w:t xml:space="preserve"> entered into a Securities Purchase Agreement with </w:t>
      </w:r>
      <w:r w:rsidR="008E0FBD">
        <w:t>two institutional investors,</w:t>
      </w:r>
      <w:r w:rsidR="008E0FBD" w:rsidRPr="00210E53">
        <w:t xml:space="preserve"> pursuant to which </w:t>
      </w:r>
      <w:r w:rsidR="008E0FBD">
        <w:t>we</w:t>
      </w:r>
      <w:r w:rsidR="008E0FBD" w:rsidRPr="00210E53">
        <w:t xml:space="preserve"> received </w:t>
      </w:r>
      <w:r w:rsidR="008E0FBD">
        <w:t xml:space="preserve">gross proceeds of </w:t>
      </w:r>
      <w:r w:rsidR="008E0FBD" w:rsidRPr="00210E53">
        <w:t>$1,050,000 in exchange for the issuance of:</w:t>
      </w:r>
      <w:r w:rsidR="008E0FBD">
        <w:t xml:space="preserve">(i) </w:t>
      </w:r>
      <w:r w:rsidR="008E0FBD" w:rsidRPr="00B10608">
        <w:t>5% Original Issue Discount Senior Secured Convertible Debenture</w:t>
      </w:r>
      <w:r w:rsidR="008E0FBD">
        <w:t>s</w:t>
      </w:r>
      <w:r w:rsidR="008E0FBD" w:rsidRPr="00B10608">
        <w:t xml:space="preserve"> in the </w:t>
      </w:r>
      <w:r w:rsidR="008E0FBD">
        <w:t xml:space="preserve">aggregate </w:t>
      </w:r>
      <w:r w:rsidR="008E0FBD" w:rsidRPr="00B10608">
        <w:t>principal amount of $1,200,000; and</w:t>
      </w:r>
      <w:r w:rsidR="008E0FBD">
        <w:t xml:space="preserve"> (ii) </w:t>
      </w:r>
      <w:r w:rsidR="008E0FBD" w:rsidRPr="00B10608">
        <w:t>warrant</w:t>
      </w:r>
      <w:r w:rsidR="008E0FBD">
        <w:t>s</w:t>
      </w:r>
      <w:r w:rsidR="008E0FBD" w:rsidRPr="00B10608">
        <w:t xml:space="preserve"> to purchase</w:t>
      </w:r>
      <w:r w:rsidR="008E0FBD">
        <w:t xml:space="preserve"> an aggregate of</w:t>
      </w:r>
      <w:r w:rsidR="008E0FBD" w:rsidRPr="00B10608">
        <w:t xml:space="preserve"> </w:t>
      </w:r>
      <w:r w:rsidR="008E0FBD">
        <w:t>120</w:t>
      </w:r>
      <w:r w:rsidR="008E0FBD" w:rsidRPr="00B10608">
        <w:t xml:space="preserve">,000 shares of </w:t>
      </w:r>
      <w:r w:rsidR="008E0FBD">
        <w:t>our</w:t>
      </w:r>
      <w:r w:rsidR="008E0FBD" w:rsidRPr="00B10608">
        <w:t xml:space="preserve"> common stock </w:t>
      </w:r>
      <w:r w:rsidR="008E0FBD" w:rsidRPr="00210E53">
        <w:t xml:space="preserve">The </w:t>
      </w:r>
      <w:r w:rsidR="008E0FBD">
        <w:t xml:space="preserve">Convertible </w:t>
      </w:r>
      <w:r w:rsidR="008E0FBD" w:rsidRPr="00210E53">
        <w:t>Debenture</w:t>
      </w:r>
      <w:r w:rsidR="008E0FBD">
        <w:t>s</w:t>
      </w:r>
      <w:r w:rsidR="008E0FBD" w:rsidRPr="00210E53">
        <w:t xml:space="preserve"> </w:t>
      </w:r>
      <w:r w:rsidR="008E0FBD">
        <w:t>had an original maturity</w:t>
      </w:r>
      <w:r w:rsidR="008E0FBD" w:rsidRPr="00210E53">
        <w:t xml:space="preserve"> </w:t>
      </w:r>
      <w:r w:rsidR="008E0FBD">
        <w:t>of</w:t>
      </w:r>
      <w:r w:rsidR="008E0FBD" w:rsidRPr="00210E53">
        <w:t xml:space="preserve"> </w:t>
      </w:r>
      <w:r w:rsidR="008E0FBD">
        <w:t>twelve</w:t>
      </w:r>
      <w:r w:rsidR="008E0FBD" w:rsidRPr="00210E53">
        <w:t xml:space="preserve"> months</w:t>
      </w:r>
      <w:r w:rsidR="008E0FBD">
        <w:t xml:space="preserve">, bore </w:t>
      </w:r>
      <w:r w:rsidR="008E0FBD" w:rsidRPr="00210E53">
        <w:t xml:space="preserve">interest </w:t>
      </w:r>
      <w:r w:rsidR="008E0FBD">
        <w:t xml:space="preserve">at a </w:t>
      </w:r>
      <w:r w:rsidR="008E0FBD" w:rsidRPr="00210E53">
        <w:t>rate of 5% per annum</w:t>
      </w:r>
      <w:r w:rsidR="008E0FBD">
        <w:t>, and were secured by substantially all of the Company’s assets until such time as they were paid or converted in full.</w:t>
      </w:r>
    </w:p>
    <w:p w14:paraId="332C0435" w14:textId="77777777" w:rsidR="008E0FBD" w:rsidRPr="00210E53" w:rsidRDefault="008E0FBD" w:rsidP="008E0FBD"/>
    <w:p w14:paraId="3AAA2B76" w14:textId="410B3001" w:rsidR="008E0FBD" w:rsidRDefault="008E0FBD" w:rsidP="008E0FBD">
      <w:r w:rsidRPr="00FC7840">
        <w:t xml:space="preserve">On </w:t>
      </w:r>
      <w:r>
        <w:t>September</w:t>
      </w:r>
      <w:r w:rsidRPr="00FC7840">
        <w:t xml:space="preserve"> 2</w:t>
      </w:r>
      <w:r>
        <w:t>9</w:t>
      </w:r>
      <w:r w:rsidRPr="00FC7840">
        <w:t xml:space="preserve">, 2020, upon </w:t>
      </w:r>
      <w:r>
        <w:t xml:space="preserve">our </w:t>
      </w:r>
      <w:r w:rsidRPr="00FC7840">
        <w:t xml:space="preserve">consummation of the public offering </w:t>
      </w:r>
      <w:r>
        <w:t xml:space="preserve">discussed </w:t>
      </w:r>
      <w:r w:rsidR="007B4759">
        <w:t>below</w:t>
      </w:r>
      <w:r w:rsidRPr="00FC7840">
        <w:t xml:space="preserve">, </w:t>
      </w:r>
      <w:r w:rsidR="007B4759">
        <w:t xml:space="preserve">pursuant to the terms of the Convertible Debentures, </w:t>
      </w:r>
      <w:r w:rsidRPr="00FC7840">
        <w:t xml:space="preserve">the </w:t>
      </w:r>
      <w:r>
        <w:t xml:space="preserve">$1,200,000 maturity value and $14,667 of accrued interest </w:t>
      </w:r>
      <w:r w:rsidRPr="00FC7840">
        <w:t>were automatically converted at $</w:t>
      </w:r>
      <w:r>
        <w:t xml:space="preserve">4.00, resulting in the issuance of </w:t>
      </w:r>
      <w:r w:rsidRPr="00FC7840">
        <w:t>303,667 conversion units</w:t>
      </w:r>
      <w:r>
        <w:t>.</w:t>
      </w:r>
      <w:r w:rsidRPr="00FC7840">
        <w:t xml:space="preserve"> </w:t>
      </w:r>
      <w:r>
        <w:t>Of the 303,667 conversion units: (a) 177,625 consist of one share of common stock and a warrant to purchase one share of common stock (a “</w:t>
      </w:r>
      <w:r w:rsidR="00A76F92">
        <w:t>Conversion</w:t>
      </w:r>
      <w:r>
        <w:t xml:space="preserve"> Warrant”), and (b) 126,042 consist of one pre-funded warrant to purchase one share of common stock (a “Pre-Funded Warrant”) and a </w:t>
      </w:r>
      <w:r w:rsidR="00A76F92">
        <w:t>Conversion</w:t>
      </w:r>
      <w:r>
        <w:t xml:space="preserve"> Warrant.</w:t>
      </w:r>
      <w:r w:rsidRPr="00FC7840">
        <w:t xml:space="preserve"> The</w:t>
      </w:r>
      <w:r>
        <w:t xml:space="preserve"> P</w:t>
      </w:r>
      <w:r w:rsidRPr="00FC7840">
        <w:t>re-</w:t>
      </w:r>
      <w:r>
        <w:t>F</w:t>
      </w:r>
      <w:r w:rsidRPr="00FC7840">
        <w:t xml:space="preserve">unded </w:t>
      </w:r>
      <w:r>
        <w:t>W</w:t>
      </w:r>
      <w:r w:rsidRPr="00FC7840">
        <w:t xml:space="preserve">arrants provide the holder the right to purchase one share of Common Stock at an exercise price of $0.01 per share, are immediately exercisable and will not expire until exercised in full. The </w:t>
      </w:r>
      <w:r w:rsidR="00A76F92">
        <w:t>Conversion</w:t>
      </w:r>
      <w:r>
        <w:t xml:space="preserve"> Warrants</w:t>
      </w:r>
      <w:r w:rsidRPr="00FC7840">
        <w:t xml:space="preserve"> provide the holder the right to purchase one share of </w:t>
      </w:r>
      <w:r>
        <w:t>c</w:t>
      </w:r>
      <w:r w:rsidRPr="00FC7840">
        <w:t xml:space="preserve">ommon </w:t>
      </w:r>
      <w:r>
        <w:t>s</w:t>
      </w:r>
      <w:r w:rsidRPr="00FC7840">
        <w:t>tock</w:t>
      </w:r>
      <w:r>
        <w:t xml:space="preserve">, are </w:t>
      </w:r>
      <w:r w:rsidRPr="00FC7840">
        <w:t>immediately exercisable at an exercise price of $5.00 per share and expire five years after the issuance date.</w:t>
      </w:r>
    </w:p>
    <w:p w14:paraId="2ACFC540" w14:textId="77777777" w:rsidR="008E0FBD" w:rsidRDefault="008E0FBD" w:rsidP="000A55AE"/>
    <w:p w14:paraId="3D3D447F" w14:textId="4E21F7BA" w:rsidR="00481222" w:rsidRDefault="00481222" w:rsidP="00481222">
      <w:pPr>
        <w:pStyle w:val="BodyText"/>
        <w:spacing w:after="0"/>
      </w:pPr>
      <w:r w:rsidRPr="00B55C99">
        <w:rPr>
          <w:i/>
          <w:iCs/>
        </w:rPr>
        <w:t xml:space="preserve">Public Offering – </w:t>
      </w:r>
      <w:r w:rsidRPr="00B55C99">
        <w:t xml:space="preserve">On September 24, 2020, </w:t>
      </w:r>
      <w:r>
        <w:t>we</w:t>
      </w:r>
      <w:r w:rsidRPr="00B55C99">
        <w:t xml:space="preserve"> entered into an Underwriting Agreement (the “Underwriting Agreement”) with Maxim Group LLC, as representative of the underwriters (the “Representative”), for an underwritten public offering (the “Offering”) of an aggregate of 2,560,000 units</w:t>
      </w:r>
      <w:r w:rsidR="00453D31">
        <w:t xml:space="preserve"> of our equity securities</w:t>
      </w:r>
      <w:r w:rsidRPr="00B55C99">
        <w:t xml:space="preserve"> (the “Units”). </w:t>
      </w:r>
      <w:r>
        <w:t xml:space="preserve">The Offering closed on September 29, 2020, with gross proceeds to us of </w:t>
      </w:r>
      <w:r w:rsidRPr="00B55C99">
        <w:t>approximately $12.8 million</w:t>
      </w:r>
      <w:r w:rsidR="00B94116">
        <w:t xml:space="preserve">; net proceeds after </w:t>
      </w:r>
      <w:r w:rsidRPr="00B55C99">
        <w:t>deducting underwriting discounts and commissions and other offering expenses</w:t>
      </w:r>
      <w:r w:rsidR="00B94116">
        <w:t xml:space="preserve"> were approximately $11.2 million.</w:t>
      </w:r>
    </w:p>
    <w:p w14:paraId="72798D6E" w14:textId="77777777" w:rsidR="00481222" w:rsidRDefault="00481222" w:rsidP="00481222">
      <w:pPr>
        <w:pStyle w:val="BodyText"/>
        <w:spacing w:after="0"/>
      </w:pPr>
    </w:p>
    <w:p w14:paraId="6CCAC25D" w14:textId="477E167A" w:rsidR="00481222" w:rsidRPr="00B55C99" w:rsidRDefault="00481222" w:rsidP="00481222">
      <w:pPr>
        <w:pStyle w:val="BodyText"/>
        <w:spacing w:after="0"/>
      </w:pPr>
      <w:r w:rsidRPr="00B55C99">
        <w:t>Of the 2,560,000 Units</w:t>
      </w:r>
      <w:r>
        <w:t xml:space="preserve"> sold in the Offering</w:t>
      </w:r>
      <w:r w:rsidRPr="00B55C99">
        <w:t xml:space="preserve">: (a) 2,310,000 Units consist of one share </w:t>
      </w:r>
      <w:r>
        <w:t>of our</w:t>
      </w:r>
      <w:r w:rsidRPr="00B55C99">
        <w:t xml:space="preserve"> common stock, and a </w:t>
      </w:r>
      <w:r w:rsidR="00A76F92">
        <w:t>w</w:t>
      </w:r>
      <w:r>
        <w:t xml:space="preserve">arrant </w:t>
      </w:r>
      <w:r w:rsidRPr="00B55C99">
        <w:t xml:space="preserve">to purchase one share of </w:t>
      </w:r>
      <w:r>
        <w:t>c</w:t>
      </w:r>
      <w:r w:rsidRPr="00B55C99">
        <w:t xml:space="preserve">ommon </w:t>
      </w:r>
      <w:r>
        <w:t>s</w:t>
      </w:r>
      <w:r w:rsidRPr="00B55C99">
        <w:t>tock</w:t>
      </w:r>
      <w:r w:rsidR="00A76F92">
        <w:t xml:space="preserve"> (</w:t>
      </w:r>
      <w:r w:rsidR="00522943">
        <w:t>each, a</w:t>
      </w:r>
      <w:r w:rsidR="00A76F92">
        <w:t xml:space="preserve"> “Unit Warrant”)</w:t>
      </w:r>
      <w:r w:rsidRPr="00B55C99">
        <w:t xml:space="preserve">; and (b) 250,000 Units consist of </w:t>
      </w:r>
      <w:r w:rsidR="00453D31">
        <w:t xml:space="preserve">a </w:t>
      </w:r>
      <w:r>
        <w:t>Pre-Funded Warrant</w:t>
      </w:r>
      <w:r w:rsidRPr="00B55C99">
        <w:t xml:space="preserve"> to purchase one share of </w:t>
      </w:r>
      <w:r>
        <w:t>c</w:t>
      </w:r>
      <w:r w:rsidRPr="00B55C99">
        <w:t xml:space="preserve">ommon </w:t>
      </w:r>
      <w:r>
        <w:t>s</w:t>
      </w:r>
      <w:r w:rsidRPr="00B55C99">
        <w:t xml:space="preserve">tock and </w:t>
      </w:r>
      <w:r>
        <w:t>a Unit W</w:t>
      </w:r>
      <w:r w:rsidRPr="00B55C99">
        <w:t xml:space="preserve">arrant. </w:t>
      </w:r>
      <w:r w:rsidRPr="00FC7840">
        <w:t xml:space="preserve">The </w:t>
      </w:r>
      <w:r>
        <w:t>P</w:t>
      </w:r>
      <w:r w:rsidRPr="00FC7840">
        <w:t>re-</w:t>
      </w:r>
      <w:r>
        <w:t>F</w:t>
      </w:r>
      <w:r w:rsidRPr="00FC7840">
        <w:t xml:space="preserve">unded </w:t>
      </w:r>
      <w:r>
        <w:t>W</w:t>
      </w:r>
      <w:r w:rsidRPr="00FC7840">
        <w:t xml:space="preserve">arrants provide the holder the right to purchase one share of </w:t>
      </w:r>
      <w:r>
        <w:t>c</w:t>
      </w:r>
      <w:r w:rsidRPr="00FC7840">
        <w:t xml:space="preserve">ommon </w:t>
      </w:r>
      <w:r>
        <w:t>s</w:t>
      </w:r>
      <w:r w:rsidRPr="00FC7840">
        <w:t xml:space="preserve">tock at an exercise price of $0.01 per share, are immediately exercisable and will not expire until exercised in full. The </w:t>
      </w:r>
      <w:r>
        <w:t>Unit W</w:t>
      </w:r>
      <w:r w:rsidRPr="00FC7840">
        <w:t xml:space="preserve">arrants provide the holder the right to purchase one share of </w:t>
      </w:r>
      <w:r>
        <w:t>c</w:t>
      </w:r>
      <w:r w:rsidRPr="00FC7840">
        <w:t xml:space="preserve">ommon </w:t>
      </w:r>
      <w:r>
        <w:t>s</w:t>
      </w:r>
      <w:r w:rsidRPr="00FC7840">
        <w:t>tock</w:t>
      </w:r>
      <w:r>
        <w:t xml:space="preserve">, are </w:t>
      </w:r>
      <w:r w:rsidRPr="00FC7840">
        <w:t>immediately exercisable at an exercise price of $5.00 per share and expire five years after the issuance date</w:t>
      </w:r>
      <w:r>
        <w:t xml:space="preserve">. </w:t>
      </w:r>
      <w:r w:rsidRPr="00B55C99">
        <w:t>The public offering price was $5.00 per Unit</w:t>
      </w:r>
      <w:r>
        <w:t xml:space="preserve"> (</w:t>
      </w:r>
      <w:r w:rsidRPr="00B55C99">
        <w:t>$4.99</w:t>
      </w:r>
      <w:r>
        <w:t xml:space="preserve"> for each Unit including a Pre-Funded Warrant). We</w:t>
      </w:r>
      <w:r w:rsidRPr="00B55C99">
        <w:t xml:space="preserve"> granted the Representative a 45-day option to purchase up to 384,000 </w:t>
      </w:r>
      <w:r>
        <w:t xml:space="preserve">Units </w:t>
      </w:r>
      <w:r w:rsidRPr="00B55C99">
        <w:t xml:space="preserve">to cover over-allotments, if any. Pursuant to the Underwriting Agreement, </w:t>
      </w:r>
      <w:r>
        <w:t>we</w:t>
      </w:r>
      <w:r w:rsidRPr="00B55C99">
        <w:t xml:space="preserve"> issue</w:t>
      </w:r>
      <w:r>
        <w:t>d</w:t>
      </w:r>
      <w:r w:rsidRPr="00B55C99">
        <w:t xml:space="preserve"> to the Representative, as a portion of the underwriting compensation, warrants to purchase up to a total of 128,000 shares of </w:t>
      </w:r>
      <w:r>
        <w:t>c</w:t>
      </w:r>
      <w:r w:rsidRPr="00B55C99">
        <w:t xml:space="preserve">ommon </w:t>
      </w:r>
      <w:r>
        <w:t>s</w:t>
      </w:r>
      <w:r w:rsidRPr="00B55C99">
        <w:t xml:space="preserve">tock (the “Representative Warrants”). The Representative Warrants </w:t>
      </w:r>
      <w:r w:rsidR="00453D31">
        <w:t>have an exercise price of</w:t>
      </w:r>
      <w:r w:rsidRPr="00B55C99">
        <w:t xml:space="preserve"> $5.50 per share, are initially exercisable 180 days after the effective date of the Offering and have a term of three years from their initial exercise date. </w:t>
      </w:r>
    </w:p>
    <w:p w14:paraId="7D4D12F4" w14:textId="77777777" w:rsidR="00481222" w:rsidRDefault="00481222" w:rsidP="000A55AE"/>
    <w:p w14:paraId="253ECD13" w14:textId="56E17F03" w:rsidR="00BC5080" w:rsidRPr="00BC5080" w:rsidRDefault="00BC5080" w:rsidP="00BC5080">
      <w:pPr>
        <w:autoSpaceDE w:val="0"/>
        <w:autoSpaceDN w:val="0"/>
        <w:adjustRightInd w:val="0"/>
      </w:pPr>
      <w:r w:rsidRPr="00BC5080">
        <w:t xml:space="preserve">We intend to use the net proceeds from </w:t>
      </w:r>
      <w:r>
        <w:t>the Offering</w:t>
      </w:r>
      <w:r w:rsidRPr="00BC5080">
        <w:t xml:space="preserve"> to advance our product candidates, including research and technical development, manufacturing, clinical studies, capital expenditures, and working capital. Our primary use of proceeds with respect to advancing our product candidates will be to focus on our COVID-19 and immuno-oncology programs. Certain of our vaccine programs are currently advancing under funding and/or collaboration agreements with government agencies and others; these include our HIV, Lassa Fever, and malaria vaccine programs.</w:t>
      </w:r>
      <w:r>
        <w:t xml:space="preserve"> </w:t>
      </w:r>
      <w:r w:rsidRPr="00BC5080">
        <w:t xml:space="preserve">We may also use the net proceeds from </w:t>
      </w:r>
      <w:r>
        <w:t>the Offering</w:t>
      </w:r>
      <w:r w:rsidRPr="00BC5080">
        <w:t xml:space="preserve"> to acquire and invest in complementary products, technologies or businesses; however, we currently have no agreements or commitments to complete any such transaction.</w:t>
      </w:r>
      <w:r>
        <w:t xml:space="preserve"> </w:t>
      </w:r>
      <w:r w:rsidRPr="00BC5080">
        <w:t>These plans may change to the extent that other funding is secured for these programs from government agencies and others.</w:t>
      </w:r>
    </w:p>
    <w:p w14:paraId="0ACCB58A" w14:textId="7892E874" w:rsidR="00BC5080" w:rsidRDefault="00BC5080" w:rsidP="00DE7280"/>
    <w:p w14:paraId="38379790" w14:textId="0DE64B40" w:rsidR="007A22F2" w:rsidRPr="0059257C" w:rsidRDefault="00BC5080" w:rsidP="00BC5080">
      <w:r w:rsidRPr="00BC4931">
        <w:t xml:space="preserve">As of </w:t>
      </w:r>
      <w:r>
        <w:t>September</w:t>
      </w:r>
      <w:r w:rsidRPr="00BC4931">
        <w:t xml:space="preserve"> 3</w:t>
      </w:r>
      <w:r>
        <w:t>0, 2020</w:t>
      </w:r>
      <w:r w:rsidRPr="00BC4931">
        <w:t>, we had an accumulated deficit of $</w:t>
      </w:r>
      <w:r>
        <w:t>44.5</w:t>
      </w:r>
      <w:r w:rsidRPr="00BC4931">
        <w:t xml:space="preserve"> million.</w:t>
      </w:r>
      <w:r w:rsidRPr="00DD1724">
        <w:t xml:space="preserve"> </w:t>
      </w:r>
      <w:r>
        <w:t>We</w:t>
      </w:r>
      <w:r w:rsidRPr="0059257C">
        <w:t xml:space="preserve"> expect </w:t>
      </w:r>
      <w:r>
        <w:t>to</w:t>
      </w:r>
      <w:r w:rsidRPr="0059257C">
        <w:t xml:space="preserve"> incur future net losses as </w:t>
      </w:r>
      <w:r>
        <w:t>we</w:t>
      </w:r>
      <w:r w:rsidRPr="0059257C">
        <w:t xml:space="preserve"> continue to fund the development of </w:t>
      </w:r>
      <w:r>
        <w:t>our</w:t>
      </w:r>
      <w:r w:rsidRPr="0059257C">
        <w:t xml:space="preserve"> product candidates. To date, </w:t>
      </w:r>
      <w:r>
        <w:t>we have</w:t>
      </w:r>
      <w:r w:rsidRPr="0059257C">
        <w:t xml:space="preserve"> financed </w:t>
      </w:r>
      <w:r>
        <w:t>our</w:t>
      </w:r>
      <w:r w:rsidRPr="0059257C">
        <w:t xml:space="preserve"> operations primarily with proceeds from multiple sales of equity and debt securities</w:t>
      </w:r>
      <w:r>
        <w:t>, government grants and clinical trial assistance, and corporate collaborations</w:t>
      </w:r>
      <w:r w:rsidRPr="0059257C">
        <w:t xml:space="preserve">. </w:t>
      </w:r>
      <w:r w:rsidR="007A22F2" w:rsidRPr="00C5141A">
        <w:t>We believe that our existing cash resources</w:t>
      </w:r>
      <w:r w:rsidR="007A22F2">
        <w:t xml:space="preserve"> </w:t>
      </w:r>
      <w:r w:rsidR="007A22F2" w:rsidRPr="004872E4">
        <w:t xml:space="preserve">together with </w:t>
      </w:r>
      <w:r w:rsidR="007A22F2">
        <w:t>current</w:t>
      </w:r>
      <w:r w:rsidR="007A22F2" w:rsidRPr="004872E4">
        <w:t xml:space="preserve"> government funding commitments, will be sufficient to continue our planned operations into </w:t>
      </w:r>
      <w:r w:rsidR="007A22F2">
        <w:t xml:space="preserve">early </w:t>
      </w:r>
      <w:r w:rsidR="007A22F2" w:rsidRPr="004872E4">
        <w:t>202</w:t>
      </w:r>
      <w:r w:rsidR="007A22F2">
        <w:t>2</w:t>
      </w:r>
      <w:r w:rsidR="007A22F2" w:rsidRPr="004872E4">
        <w:t xml:space="preserve">. </w:t>
      </w:r>
      <w:r w:rsidRPr="00F52137">
        <w:t xml:space="preserve">We will require additional funds to continue our planned operations beyond that date. </w:t>
      </w:r>
      <w:r w:rsidR="007A22F2">
        <w:t>Our</w:t>
      </w:r>
      <w:r w:rsidR="007A22F2" w:rsidRPr="0059257C">
        <w:t xml:space="preserve"> transition to profitability </w:t>
      </w:r>
      <w:r w:rsidR="007A22F2">
        <w:t>will be</w:t>
      </w:r>
      <w:r w:rsidR="007A22F2" w:rsidRPr="0059257C">
        <w:t xml:space="preserve"> dependent upon, among other things, the successful development and commercialization of </w:t>
      </w:r>
      <w:r w:rsidR="007A22F2">
        <w:t>our</w:t>
      </w:r>
      <w:r w:rsidR="007A22F2" w:rsidRPr="0059257C">
        <w:t xml:space="preserve"> product candidates. </w:t>
      </w:r>
      <w:r w:rsidR="007A22F2">
        <w:t>We</w:t>
      </w:r>
      <w:r w:rsidR="007A22F2" w:rsidRPr="0059257C">
        <w:t xml:space="preserve"> may never achieve profitability or positive cash flows, and unless and until </w:t>
      </w:r>
      <w:r w:rsidR="007A22F2">
        <w:t>we</w:t>
      </w:r>
      <w:r w:rsidR="007A22F2" w:rsidRPr="0059257C">
        <w:t xml:space="preserve"> do, </w:t>
      </w:r>
      <w:r w:rsidR="007A22F2">
        <w:t>we</w:t>
      </w:r>
      <w:r w:rsidR="007A22F2" w:rsidRPr="0059257C">
        <w:t xml:space="preserve"> will continue to need to raise additional </w:t>
      </w:r>
      <w:r w:rsidR="007A22F2">
        <w:t>funding</w:t>
      </w:r>
      <w:r w:rsidR="007A22F2" w:rsidRPr="0059257C">
        <w:t xml:space="preserve">. </w:t>
      </w:r>
      <w:r>
        <w:t>We intend</w:t>
      </w:r>
      <w:r w:rsidR="007A22F2" w:rsidRPr="0059257C">
        <w:t xml:space="preserve"> to fund future operations through additional private and/or public offerings of debt or equity securities.</w:t>
      </w:r>
      <w:r w:rsidR="007A22F2">
        <w:t xml:space="preserve">  </w:t>
      </w:r>
      <w:r w:rsidR="007A22F2" w:rsidRPr="0059257C">
        <w:t xml:space="preserve">In addition, </w:t>
      </w:r>
      <w:r w:rsidR="007A22F2">
        <w:t xml:space="preserve">we </w:t>
      </w:r>
      <w:r w:rsidR="007A22F2" w:rsidRPr="0059257C">
        <w:t>may seek additional capital through arrangements with strategic partners or from other sources.</w:t>
      </w:r>
      <w:r w:rsidR="007A22F2">
        <w:t xml:space="preserve"> T</w:t>
      </w:r>
      <w:r w:rsidR="007A22F2" w:rsidRPr="0059257C">
        <w:t xml:space="preserve">here can be no assurance that </w:t>
      </w:r>
      <w:r w:rsidR="007A22F2">
        <w:t>we</w:t>
      </w:r>
      <w:r w:rsidR="007A22F2" w:rsidRPr="0059257C">
        <w:t xml:space="preserve"> will be able to raise additional funds or achieve or sustain profitability or positive cash flows from operations. </w:t>
      </w:r>
    </w:p>
    <w:p w14:paraId="19C137E1" w14:textId="77777777" w:rsidR="007A22F2" w:rsidRDefault="007A22F2"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056008B7" w14:textId="503B08B4" w:rsidR="00AC34FC" w:rsidRDefault="00AC34FC" w:rsidP="000A55AE"/>
    <w:p w14:paraId="6DC10263" w14:textId="7018B1FF"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365E393A" w14:textId="77777777" w:rsidR="000A55AE" w:rsidRDefault="000A55AE" w:rsidP="000A55AE">
      <w:pPr>
        <w:pStyle w:val="BodyText"/>
        <w:spacing w:after="0"/>
      </w:pPr>
    </w:p>
    <w:p w14:paraId="634B040F" w14:textId="4C15C9F2" w:rsidR="00B02073" w:rsidRPr="00EA0483" w:rsidRDefault="00B02073" w:rsidP="00B02073">
      <w:pPr>
        <w:pStyle w:val="BodyText"/>
        <w:spacing w:after="0"/>
        <w:rPr>
          <w:rStyle w:val="BodySubtitleChar"/>
          <w:i w:val="0"/>
          <w:iCs w:val="0"/>
        </w:rPr>
      </w:pPr>
      <w:r w:rsidRPr="001C6303">
        <w:t>We recorded a net loss of $</w:t>
      </w:r>
      <w:r w:rsidR="00C16ABA">
        <w:t>570,648</w:t>
      </w:r>
      <w:r w:rsidRPr="001C6303">
        <w:t xml:space="preserve"> for the three</w:t>
      </w:r>
      <w:r>
        <w:t>-</w:t>
      </w:r>
      <w:r w:rsidRPr="001C6303">
        <w:t>month</w:t>
      </w:r>
      <w:r>
        <w:t xml:space="preserve"> period</w:t>
      </w:r>
      <w:r w:rsidRPr="001C6303">
        <w:t xml:space="preserve"> ended </w:t>
      </w:r>
      <w:r w:rsidR="00C16ABA">
        <w:t>September</w:t>
      </w:r>
      <w:r>
        <w:t xml:space="preserve"> 30, 2020, as compared to $</w:t>
      </w:r>
      <w:r w:rsidR="00C16ABA">
        <w:t>424,434</w:t>
      </w:r>
      <w:r w:rsidRPr="001C6303">
        <w:t xml:space="preserve"> for the three</w:t>
      </w:r>
      <w:r>
        <w:t>-</w:t>
      </w:r>
      <w:r w:rsidRPr="001C6303">
        <w:t>month</w:t>
      </w:r>
      <w:r>
        <w:t xml:space="preserve"> period</w:t>
      </w:r>
      <w:r w:rsidRPr="001C6303">
        <w:t xml:space="preserve"> ended </w:t>
      </w:r>
      <w:r w:rsidR="00C16ABA">
        <w:t>September</w:t>
      </w:r>
      <w:r>
        <w:t xml:space="preserve"> 30, 2019</w:t>
      </w:r>
      <w:r w:rsidRPr="001C6303">
        <w:t>.</w:t>
      </w:r>
      <w:r w:rsidRPr="00884B35">
        <w:t xml:space="preserve"> </w:t>
      </w:r>
      <w:r>
        <w:t xml:space="preserve">For the </w:t>
      </w:r>
      <w:r w:rsidR="00C16ABA">
        <w:t>nine</w:t>
      </w:r>
      <w:r>
        <w:t xml:space="preserve">-month period ended </w:t>
      </w:r>
      <w:r w:rsidR="00C16ABA">
        <w:t>September</w:t>
      </w:r>
      <w:r>
        <w:t xml:space="preserve"> 30, 2020, we recorded a net loss of $</w:t>
      </w:r>
      <w:r w:rsidR="00C16ABA">
        <w:t>1,621,546</w:t>
      </w:r>
      <w:r>
        <w:t>, as compared to $</w:t>
      </w:r>
      <w:r w:rsidR="00C16ABA">
        <w:t>1,780,036</w:t>
      </w:r>
      <w:r>
        <w:t xml:space="preserve"> for the </w:t>
      </w:r>
      <w:r w:rsidR="00C16ABA">
        <w:t>nine</w:t>
      </w:r>
      <w:r>
        <w:t xml:space="preserve">-month period ended </w:t>
      </w:r>
      <w:r w:rsidR="00C16ABA">
        <w:t>September</w:t>
      </w:r>
      <w:r>
        <w:t xml:space="preserve"> 30, 2019. </w:t>
      </w:r>
      <w:r w:rsidRPr="001C6303">
        <w:t xml:space="preserve">Our net losses </w:t>
      </w:r>
      <w:r>
        <w:t xml:space="preserve">will </w:t>
      </w:r>
      <w:r w:rsidRPr="001C6303">
        <w:t>typically fluctuate due to the timing of activities and related costs associated with our vaccine research and development activities and our general and administrative costs, as described in more detail below.</w:t>
      </w:r>
    </w:p>
    <w:p w14:paraId="70D87118" w14:textId="77777777" w:rsidR="00B02073" w:rsidRDefault="00B02073" w:rsidP="000A55AE">
      <w:pPr>
        <w:pStyle w:val="BodyText"/>
        <w:spacing w:after="0"/>
        <w:rPr>
          <w:rStyle w:val="BodySubtitleChar"/>
        </w:rPr>
      </w:pPr>
    </w:p>
    <w:p w14:paraId="7B8B4C98" w14:textId="57C647B3" w:rsidR="004A3014" w:rsidRPr="008C5B79" w:rsidRDefault="0007631A" w:rsidP="000A55AE">
      <w:pPr>
        <w:pStyle w:val="BodyText"/>
        <w:spacing w:after="0"/>
      </w:pPr>
      <w:r w:rsidRPr="004A3014">
        <w:rPr>
          <w:rStyle w:val="BodySubtitleChar"/>
        </w:rPr>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554EEBD1" w:rsidR="000A55AE" w:rsidRDefault="000A55AE" w:rsidP="000A55AE">
      <w:pPr>
        <w:pStyle w:val="BodyText"/>
        <w:spacing w:after="0"/>
      </w:pPr>
    </w:p>
    <w:p w14:paraId="5B3B9277" w14:textId="589DCC27" w:rsidR="00B02073" w:rsidRDefault="00B02073" w:rsidP="00B02073">
      <w:pPr>
        <w:pStyle w:val="BodyText"/>
        <w:spacing w:after="0"/>
      </w:pPr>
      <w:r w:rsidRPr="00184417">
        <w:t>During the three</w:t>
      </w:r>
      <w:r>
        <w:t>-month</w:t>
      </w:r>
      <w:r w:rsidRPr="00184417">
        <w:t xml:space="preserve"> </w:t>
      </w:r>
      <w:r>
        <w:t xml:space="preserve">and </w:t>
      </w:r>
      <w:r w:rsidR="00C16ABA">
        <w:t>nine</w:t>
      </w:r>
      <w:r>
        <w:t xml:space="preserve">-month periods ended </w:t>
      </w:r>
      <w:r w:rsidR="00C16ABA">
        <w:t>September</w:t>
      </w:r>
      <w:r>
        <w:t xml:space="preserve"> 30, 2020, we </w:t>
      </w:r>
      <w:r w:rsidRPr="00184417">
        <w:t>recorded</w:t>
      </w:r>
      <w:r>
        <w:t xml:space="preserve"> </w:t>
      </w:r>
      <w:r w:rsidRPr="00E16565">
        <w:t>grant and collaboration</w:t>
      </w:r>
      <w:r>
        <w:t xml:space="preserve"> revenues of $</w:t>
      </w:r>
      <w:r w:rsidR="00C16ABA">
        <w:t>415,458</w:t>
      </w:r>
      <w:r>
        <w:t xml:space="preserve"> and $</w:t>
      </w:r>
      <w:r w:rsidR="00C16ABA">
        <w:t>1,572,037</w:t>
      </w:r>
      <w:r>
        <w:t>, respectively, as compared to $</w:t>
      </w:r>
      <w:r w:rsidR="00C16ABA">
        <w:t>333,209</w:t>
      </w:r>
      <w:r>
        <w:t xml:space="preserve"> and $</w:t>
      </w:r>
      <w:r w:rsidR="00C16ABA">
        <w:t>907,382</w:t>
      </w:r>
      <w:r>
        <w:t>, respectively, during the comparable periods of 2019.</w:t>
      </w:r>
    </w:p>
    <w:p w14:paraId="176EC416" w14:textId="77777777" w:rsidR="00B02073" w:rsidRDefault="00B02073" w:rsidP="00B02073">
      <w:pPr>
        <w:pStyle w:val="BodyText"/>
        <w:spacing w:after="0"/>
      </w:pPr>
    </w:p>
    <w:p w14:paraId="50C36B12" w14:textId="568001AB" w:rsidR="00DE27BF" w:rsidRDefault="00B02073" w:rsidP="000A55AE">
      <w:r>
        <w:rPr>
          <w:u w:val="single"/>
        </w:rPr>
        <w:t xml:space="preserve">Grant </w:t>
      </w:r>
      <w:r w:rsidRPr="00540E25">
        <w:rPr>
          <w:u w:val="single"/>
        </w:rPr>
        <w:t>Revenues</w:t>
      </w:r>
      <w:r w:rsidRPr="00540E25">
        <w:t xml:space="preserve"> – Our grant revenues relate to grants and contracts from agencies of the U.S. </w:t>
      </w:r>
      <w:r w:rsidR="00453D31">
        <w:t>G</w:t>
      </w:r>
      <w:r w:rsidRPr="00540E25">
        <w:t>overnment in support of our vaccine development activities. We record revenue</w:t>
      </w:r>
      <w:r w:rsidR="00F65A59">
        <w:t>s</w:t>
      </w:r>
      <w:r w:rsidRPr="00540E25">
        <w:t xml:space="preserve"> associated with these grants as the related costs and expenses are incurred. The difference in our grant revenues from period to period is dependent upon our expenditures for activities supported by the grants and fluctuates based on the timing of the expenditures. Additional detail concerning our grant revenues and the remaining funds available for use as of </w:t>
      </w:r>
      <w:r w:rsidR="00C16ABA">
        <w:t>September</w:t>
      </w:r>
      <w:r w:rsidRPr="00540E25">
        <w:t xml:space="preserve"> 3</w:t>
      </w:r>
      <w:r>
        <w:t>0</w:t>
      </w:r>
      <w:r w:rsidRPr="00540E25">
        <w:t>, 20</w:t>
      </w:r>
      <w:r>
        <w:t>20</w:t>
      </w:r>
      <w:r w:rsidRPr="00540E25">
        <w:t xml:space="preserve"> is presented in the table below.</w:t>
      </w:r>
    </w:p>
    <w:p w14:paraId="6931F9D4" w14:textId="77777777" w:rsidR="00B02073" w:rsidRDefault="00B02073" w:rsidP="00B02073"/>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B02073" w:rsidRPr="00E90493" w14:paraId="0DDA0593" w14:textId="77777777" w:rsidTr="00B02073">
        <w:tc>
          <w:tcPr>
            <w:tcW w:w="3150" w:type="dxa"/>
            <w:tcBorders>
              <w:top w:val="nil"/>
              <w:left w:val="nil"/>
              <w:bottom w:val="nil"/>
              <w:right w:val="nil"/>
            </w:tcBorders>
          </w:tcPr>
          <w:p w14:paraId="3D4A36D9" w14:textId="77777777" w:rsidR="00B02073" w:rsidRPr="00E90493" w:rsidRDefault="00B02073" w:rsidP="00B02073">
            <w:pPr>
              <w:rPr>
                <w:sz w:val="18"/>
                <w:szCs w:val="18"/>
              </w:rPr>
            </w:pPr>
          </w:p>
        </w:tc>
        <w:tc>
          <w:tcPr>
            <w:tcW w:w="4680" w:type="dxa"/>
            <w:gridSpan w:val="4"/>
            <w:tcBorders>
              <w:top w:val="nil"/>
              <w:left w:val="nil"/>
              <w:bottom w:val="single" w:sz="4" w:space="0" w:color="auto"/>
              <w:right w:val="nil"/>
            </w:tcBorders>
          </w:tcPr>
          <w:p w14:paraId="6326EDD5" w14:textId="77777777" w:rsidR="00B02073" w:rsidRPr="00E90493" w:rsidRDefault="00B02073" w:rsidP="00B02073">
            <w:pPr>
              <w:tabs>
                <w:tab w:val="right" w:pos="989"/>
              </w:tabs>
              <w:jc w:val="center"/>
              <w:rPr>
                <w:sz w:val="18"/>
                <w:szCs w:val="18"/>
              </w:rPr>
            </w:pPr>
            <w:r>
              <w:rPr>
                <w:sz w:val="18"/>
                <w:szCs w:val="18"/>
              </w:rPr>
              <w:t>Grant Revenues Recorded During the Periods:</w:t>
            </w:r>
          </w:p>
        </w:tc>
        <w:tc>
          <w:tcPr>
            <w:tcW w:w="1620" w:type="dxa"/>
            <w:tcBorders>
              <w:top w:val="nil"/>
              <w:left w:val="nil"/>
              <w:bottom w:val="nil"/>
              <w:right w:val="nil"/>
            </w:tcBorders>
          </w:tcPr>
          <w:p w14:paraId="677EFDC3" w14:textId="77777777" w:rsidR="00B02073" w:rsidRPr="00E90493" w:rsidRDefault="00B02073" w:rsidP="00B02073">
            <w:pPr>
              <w:tabs>
                <w:tab w:val="right" w:pos="1246"/>
              </w:tabs>
              <w:jc w:val="center"/>
              <w:rPr>
                <w:sz w:val="18"/>
                <w:szCs w:val="18"/>
              </w:rPr>
            </w:pPr>
            <w:r>
              <w:rPr>
                <w:sz w:val="18"/>
                <w:szCs w:val="18"/>
              </w:rPr>
              <w:t>Unused</w:t>
            </w:r>
            <w:r w:rsidRPr="00E90493">
              <w:rPr>
                <w:sz w:val="18"/>
                <w:szCs w:val="18"/>
              </w:rPr>
              <w:t xml:space="preserve"> Funds</w:t>
            </w:r>
          </w:p>
        </w:tc>
      </w:tr>
      <w:tr w:rsidR="00B02073" w:rsidRPr="00E90493" w14:paraId="5A076534" w14:textId="77777777" w:rsidTr="00B02073">
        <w:tc>
          <w:tcPr>
            <w:tcW w:w="3150" w:type="dxa"/>
            <w:tcBorders>
              <w:top w:val="nil"/>
              <w:left w:val="nil"/>
              <w:bottom w:val="nil"/>
              <w:right w:val="nil"/>
            </w:tcBorders>
          </w:tcPr>
          <w:p w14:paraId="001482D1" w14:textId="77777777" w:rsidR="00B02073" w:rsidRPr="00E90493" w:rsidRDefault="00B02073" w:rsidP="00B02073">
            <w:pPr>
              <w:rPr>
                <w:sz w:val="18"/>
                <w:szCs w:val="18"/>
              </w:rPr>
            </w:pPr>
          </w:p>
        </w:tc>
        <w:tc>
          <w:tcPr>
            <w:tcW w:w="2385" w:type="dxa"/>
            <w:gridSpan w:val="2"/>
            <w:tcBorders>
              <w:top w:val="single" w:sz="4" w:space="0" w:color="auto"/>
              <w:left w:val="nil"/>
              <w:bottom w:val="single" w:sz="4" w:space="0" w:color="auto"/>
              <w:right w:val="nil"/>
            </w:tcBorders>
          </w:tcPr>
          <w:p w14:paraId="2DEB380F" w14:textId="6D13261A" w:rsidR="00B02073" w:rsidRPr="00E90493" w:rsidRDefault="00B02073" w:rsidP="00B02073">
            <w:pPr>
              <w:tabs>
                <w:tab w:val="right" w:pos="926"/>
                <w:tab w:val="right" w:pos="989"/>
              </w:tabs>
              <w:jc w:val="center"/>
              <w:rPr>
                <w:sz w:val="18"/>
                <w:szCs w:val="18"/>
              </w:rPr>
            </w:pPr>
            <w:r>
              <w:rPr>
                <w:sz w:val="18"/>
                <w:szCs w:val="18"/>
              </w:rPr>
              <w:t xml:space="preserve">Three Months </w:t>
            </w:r>
            <w:r w:rsidRPr="00E90493">
              <w:rPr>
                <w:sz w:val="18"/>
                <w:szCs w:val="18"/>
              </w:rPr>
              <w:t xml:space="preserve">Ended </w:t>
            </w:r>
            <w:r w:rsidR="00C16ABA">
              <w:rPr>
                <w:sz w:val="18"/>
                <w:szCs w:val="18"/>
              </w:rPr>
              <w:t>Sep</w:t>
            </w:r>
            <w:r w:rsidRPr="00E90493">
              <w:rPr>
                <w:sz w:val="18"/>
                <w:szCs w:val="18"/>
              </w:rPr>
              <w:t xml:space="preserve"> 30,</w:t>
            </w:r>
          </w:p>
        </w:tc>
        <w:tc>
          <w:tcPr>
            <w:tcW w:w="2295" w:type="dxa"/>
            <w:gridSpan w:val="2"/>
            <w:tcBorders>
              <w:top w:val="single" w:sz="4" w:space="0" w:color="auto"/>
              <w:left w:val="nil"/>
              <w:bottom w:val="single" w:sz="4" w:space="0" w:color="auto"/>
              <w:right w:val="nil"/>
            </w:tcBorders>
          </w:tcPr>
          <w:p w14:paraId="33D270C4" w14:textId="45D77D0F" w:rsidR="00B02073" w:rsidRPr="00E90493" w:rsidRDefault="00C16ABA" w:rsidP="00B02073">
            <w:pPr>
              <w:tabs>
                <w:tab w:val="right" w:pos="989"/>
              </w:tabs>
              <w:jc w:val="center"/>
              <w:rPr>
                <w:sz w:val="18"/>
                <w:szCs w:val="18"/>
              </w:rPr>
            </w:pPr>
            <w:r>
              <w:rPr>
                <w:sz w:val="18"/>
                <w:szCs w:val="18"/>
              </w:rPr>
              <w:t>Nine</w:t>
            </w:r>
            <w:r w:rsidR="00B02073">
              <w:rPr>
                <w:sz w:val="18"/>
                <w:szCs w:val="18"/>
              </w:rPr>
              <w:t xml:space="preserve"> Months Ended </w:t>
            </w:r>
            <w:r>
              <w:rPr>
                <w:sz w:val="18"/>
                <w:szCs w:val="18"/>
              </w:rPr>
              <w:t>Sep</w:t>
            </w:r>
            <w:r w:rsidR="00B02073">
              <w:rPr>
                <w:sz w:val="18"/>
                <w:szCs w:val="18"/>
              </w:rPr>
              <w:t xml:space="preserve"> 30,</w:t>
            </w:r>
          </w:p>
        </w:tc>
        <w:tc>
          <w:tcPr>
            <w:tcW w:w="1620" w:type="dxa"/>
            <w:tcBorders>
              <w:top w:val="nil"/>
              <w:left w:val="nil"/>
              <w:bottom w:val="nil"/>
              <w:right w:val="nil"/>
            </w:tcBorders>
          </w:tcPr>
          <w:p w14:paraId="2B3CE419" w14:textId="77777777" w:rsidR="00B02073" w:rsidRPr="00E90493" w:rsidRDefault="00B02073" w:rsidP="00B02073">
            <w:pPr>
              <w:tabs>
                <w:tab w:val="right" w:pos="1246"/>
              </w:tabs>
              <w:jc w:val="center"/>
              <w:rPr>
                <w:sz w:val="18"/>
                <w:szCs w:val="18"/>
              </w:rPr>
            </w:pPr>
            <w:r w:rsidRPr="00E90493">
              <w:rPr>
                <w:sz w:val="18"/>
                <w:szCs w:val="18"/>
              </w:rPr>
              <w:t>Available at</w:t>
            </w:r>
          </w:p>
        </w:tc>
      </w:tr>
      <w:tr w:rsidR="00B02073" w:rsidRPr="00E90493" w14:paraId="544B5A31" w14:textId="77777777" w:rsidTr="00B02073">
        <w:tc>
          <w:tcPr>
            <w:tcW w:w="3150" w:type="dxa"/>
            <w:tcBorders>
              <w:top w:val="nil"/>
              <w:left w:val="nil"/>
              <w:bottom w:val="nil"/>
              <w:right w:val="nil"/>
            </w:tcBorders>
          </w:tcPr>
          <w:p w14:paraId="68C258BA" w14:textId="77777777" w:rsidR="00B02073" w:rsidRPr="00E90493" w:rsidRDefault="00B02073" w:rsidP="00B02073">
            <w:pPr>
              <w:rPr>
                <w:sz w:val="18"/>
                <w:szCs w:val="18"/>
              </w:rPr>
            </w:pPr>
          </w:p>
        </w:tc>
        <w:tc>
          <w:tcPr>
            <w:tcW w:w="1350" w:type="dxa"/>
            <w:tcBorders>
              <w:top w:val="single" w:sz="4" w:space="0" w:color="auto"/>
              <w:left w:val="nil"/>
              <w:bottom w:val="single" w:sz="4" w:space="0" w:color="auto"/>
              <w:right w:val="nil"/>
            </w:tcBorders>
          </w:tcPr>
          <w:p w14:paraId="02D2B370" w14:textId="53D67739" w:rsidR="00B02073" w:rsidRPr="00E90493" w:rsidRDefault="00B02073" w:rsidP="00B02073">
            <w:pPr>
              <w:tabs>
                <w:tab w:val="right" w:pos="969"/>
              </w:tabs>
              <w:jc w:val="center"/>
              <w:rPr>
                <w:sz w:val="18"/>
                <w:szCs w:val="18"/>
              </w:rPr>
            </w:pPr>
            <w:r w:rsidRPr="00E90493">
              <w:rPr>
                <w:sz w:val="18"/>
                <w:szCs w:val="18"/>
              </w:rPr>
              <w:t>20</w:t>
            </w:r>
            <w:r>
              <w:rPr>
                <w:sz w:val="18"/>
                <w:szCs w:val="18"/>
              </w:rPr>
              <w:t>20</w:t>
            </w:r>
          </w:p>
        </w:tc>
        <w:tc>
          <w:tcPr>
            <w:tcW w:w="1035" w:type="dxa"/>
            <w:tcBorders>
              <w:top w:val="single" w:sz="4" w:space="0" w:color="auto"/>
              <w:left w:val="nil"/>
              <w:bottom w:val="single" w:sz="4" w:space="0" w:color="auto"/>
              <w:right w:val="nil"/>
            </w:tcBorders>
          </w:tcPr>
          <w:p w14:paraId="683A7753" w14:textId="0DAD4E81" w:rsidR="00B02073" w:rsidRPr="00E90493" w:rsidRDefault="00B02073" w:rsidP="00B02073">
            <w:pPr>
              <w:tabs>
                <w:tab w:val="right" w:pos="926"/>
                <w:tab w:val="right" w:pos="989"/>
              </w:tabs>
              <w:jc w:val="center"/>
              <w:rPr>
                <w:sz w:val="18"/>
                <w:szCs w:val="18"/>
              </w:rPr>
            </w:pPr>
            <w:r w:rsidRPr="00E90493">
              <w:rPr>
                <w:sz w:val="18"/>
                <w:szCs w:val="18"/>
              </w:rPr>
              <w:t>201</w:t>
            </w:r>
            <w:r>
              <w:rPr>
                <w:sz w:val="18"/>
                <w:szCs w:val="18"/>
              </w:rPr>
              <w:t>9</w:t>
            </w:r>
          </w:p>
        </w:tc>
        <w:tc>
          <w:tcPr>
            <w:tcW w:w="1147" w:type="dxa"/>
            <w:tcBorders>
              <w:top w:val="single" w:sz="4" w:space="0" w:color="auto"/>
              <w:left w:val="nil"/>
              <w:bottom w:val="single" w:sz="4" w:space="0" w:color="auto"/>
              <w:right w:val="nil"/>
            </w:tcBorders>
          </w:tcPr>
          <w:p w14:paraId="2600885E" w14:textId="7DD74C67" w:rsidR="00B02073" w:rsidRPr="00E90493" w:rsidRDefault="00B02073" w:rsidP="00B02073">
            <w:pPr>
              <w:tabs>
                <w:tab w:val="right" w:pos="989"/>
              </w:tabs>
              <w:jc w:val="center"/>
              <w:rPr>
                <w:sz w:val="18"/>
                <w:szCs w:val="18"/>
              </w:rPr>
            </w:pPr>
            <w:r w:rsidRPr="00E90493">
              <w:rPr>
                <w:sz w:val="18"/>
                <w:szCs w:val="18"/>
              </w:rPr>
              <w:t>20</w:t>
            </w:r>
            <w:r>
              <w:rPr>
                <w:sz w:val="18"/>
                <w:szCs w:val="18"/>
              </w:rPr>
              <w:t>20</w:t>
            </w:r>
          </w:p>
        </w:tc>
        <w:tc>
          <w:tcPr>
            <w:tcW w:w="1148" w:type="dxa"/>
            <w:tcBorders>
              <w:top w:val="single" w:sz="4" w:space="0" w:color="auto"/>
              <w:left w:val="nil"/>
              <w:bottom w:val="single" w:sz="4" w:space="0" w:color="auto"/>
              <w:right w:val="nil"/>
            </w:tcBorders>
          </w:tcPr>
          <w:p w14:paraId="7D7C4720" w14:textId="136DBB00" w:rsidR="00B02073" w:rsidRPr="00E90493" w:rsidRDefault="00B02073" w:rsidP="00B02073">
            <w:pPr>
              <w:tabs>
                <w:tab w:val="right" w:pos="989"/>
              </w:tabs>
              <w:jc w:val="center"/>
              <w:rPr>
                <w:sz w:val="18"/>
                <w:szCs w:val="18"/>
              </w:rPr>
            </w:pPr>
            <w:r w:rsidRPr="00E90493">
              <w:rPr>
                <w:sz w:val="18"/>
                <w:szCs w:val="18"/>
              </w:rPr>
              <w:t>201</w:t>
            </w:r>
            <w:r>
              <w:rPr>
                <w:sz w:val="18"/>
                <w:szCs w:val="18"/>
              </w:rPr>
              <w:t>9</w:t>
            </w:r>
          </w:p>
        </w:tc>
        <w:tc>
          <w:tcPr>
            <w:tcW w:w="1620" w:type="dxa"/>
            <w:tcBorders>
              <w:top w:val="nil"/>
              <w:left w:val="nil"/>
              <w:bottom w:val="single" w:sz="4" w:space="0" w:color="auto"/>
              <w:right w:val="nil"/>
            </w:tcBorders>
          </w:tcPr>
          <w:p w14:paraId="23C193AF" w14:textId="42934F6B" w:rsidR="00B02073" w:rsidRPr="00E90493" w:rsidRDefault="00C16ABA" w:rsidP="00B02073">
            <w:pPr>
              <w:tabs>
                <w:tab w:val="right" w:pos="1246"/>
              </w:tabs>
              <w:jc w:val="center"/>
              <w:rPr>
                <w:sz w:val="18"/>
                <w:szCs w:val="18"/>
              </w:rPr>
            </w:pPr>
            <w:r>
              <w:rPr>
                <w:sz w:val="18"/>
                <w:szCs w:val="18"/>
              </w:rPr>
              <w:t>Sep</w:t>
            </w:r>
            <w:r w:rsidR="00B02073" w:rsidRPr="00E90493">
              <w:rPr>
                <w:sz w:val="18"/>
                <w:szCs w:val="18"/>
              </w:rPr>
              <w:t xml:space="preserve"> 30, 20</w:t>
            </w:r>
            <w:r w:rsidR="00B02073">
              <w:rPr>
                <w:sz w:val="18"/>
                <w:szCs w:val="18"/>
              </w:rPr>
              <w:t>20</w:t>
            </w:r>
          </w:p>
        </w:tc>
      </w:tr>
      <w:tr w:rsidR="00B02073" w:rsidRPr="00E90493" w14:paraId="302C1993" w14:textId="77777777" w:rsidTr="00B02073">
        <w:tc>
          <w:tcPr>
            <w:tcW w:w="3150" w:type="dxa"/>
            <w:tcBorders>
              <w:top w:val="nil"/>
              <w:left w:val="nil"/>
              <w:bottom w:val="nil"/>
              <w:right w:val="nil"/>
            </w:tcBorders>
          </w:tcPr>
          <w:p w14:paraId="69CFFDCA" w14:textId="77777777" w:rsidR="00B02073" w:rsidRDefault="00B02073" w:rsidP="00B02073">
            <w:pPr>
              <w:rPr>
                <w:sz w:val="18"/>
                <w:szCs w:val="18"/>
              </w:rPr>
            </w:pPr>
            <w:r>
              <w:rPr>
                <w:sz w:val="18"/>
                <w:szCs w:val="18"/>
              </w:rPr>
              <w:t>Lassa Fever – U.S. Army Grant</w:t>
            </w:r>
          </w:p>
        </w:tc>
        <w:tc>
          <w:tcPr>
            <w:tcW w:w="1350" w:type="dxa"/>
            <w:tcBorders>
              <w:top w:val="nil"/>
              <w:left w:val="nil"/>
              <w:bottom w:val="nil"/>
              <w:right w:val="nil"/>
            </w:tcBorders>
          </w:tcPr>
          <w:p w14:paraId="6B480F1D" w14:textId="709BBE60" w:rsidR="00B02073" w:rsidRDefault="00D243D5" w:rsidP="00B02073">
            <w:pPr>
              <w:tabs>
                <w:tab w:val="right" w:pos="969"/>
              </w:tabs>
              <w:rPr>
                <w:sz w:val="18"/>
                <w:szCs w:val="18"/>
              </w:rPr>
            </w:pPr>
            <w:r>
              <w:rPr>
                <w:sz w:val="18"/>
                <w:szCs w:val="18"/>
              </w:rPr>
              <w:t>$</w:t>
            </w:r>
            <w:r w:rsidR="00B02073">
              <w:rPr>
                <w:sz w:val="18"/>
                <w:szCs w:val="18"/>
              </w:rPr>
              <w:tab/>
            </w:r>
            <w:r w:rsidR="00C16ABA">
              <w:rPr>
                <w:sz w:val="18"/>
                <w:szCs w:val="18"/>
              </w:rPr>
              <w:t>231,330</w:t>
            </w:r>
          </w:p>
        </w:tc>
        <w:tc>
          <w:tcPr>
            <w:tcW w:w="1035" w:type="dxa"/>
            <w:tcBorders>
              <w:top w:val="nil"/>
              <w:left w:val="nil"/>
              <w:bottom w:val="nil"/>
              <w:right w:val="nil"/>
            </w:tcBorders>
          </w:tcPr>
          <w:p w14:paraId="4678B87B" w14:textId="6062E2F7" w:rsidR="00B02073" w:rsidRDefault="00D243D5" w:rsidP="00B02073">
            <w:pPr>
              <w:tabs>
                <w:tab w:val="right" w:pos="926"/>
                <w:tab w:val="right" w:pos="989"/>
              </w:tabs>
              <w:rPr>
                <w:sz w:val="18"/>
                <w:szCs w:val="18"/>
              </w:rPr>
            </w:pPr>
            <w:r>
              <w:rPr>
                <w:sz w:val="18"/>
                <w:szCs w:val="18"/>
              </w:rPr>
              <w:t>$</w:t>
            </w:r>
            <w:r w:rsidR="00B02073">
              <w:rPr>
                <w:sz w:val="18"/>
                <w:szCs w:val="18"/>
              </w:rPr>
              <w:tab/>
              <w:t>15</w:t>
            </w:r>
            <w:r w:rsidR="00C16ABA">
              <w:rPr>
                <w:sz w:val="18"/>
                <w:szCs w:val="18"/>
              </w:rPr>
              <w:t>0,015</w:t>
            </w:r>
          </w:p>
        </w:tc>
        <w:tc>
          <w:tcPr>
            <w:tcW w:w="1147" w:type="dxa"/>
            <w:tcBorders>
              <w:top w:val="nil"/>
              <w:left w:val="nil"/>
              <w:bottom w:val="nil"/>
              <w:right w:val="nil"/>
            </w:tcBorders>
          </w:tcPr>
          <w:p w14:paraId="204A24B9" w14:textId="7DECF71F" w:rsidR="00B02073" w:rsidRDefault="00D243D5" w:rsidP="00B02073">
            <w:pPr>
              <w:tabs>
                <w:tab w:val="right" w:pos="989"/>
              </w:tabs>
              <w:rPr>
                <w:sz w:val="18"/>
                <w:szCs w:val="18"/>
              </w:rPr>
            </w:pPr>
            <w:r>
              <w:rPr>
                <w:sz w:val="18"/>
                <w:szCs w:val="18"/>
              </w:rPr>
              <w:t>$</w:t>
            </w:r>
            <w:r w:rsidR="00B02073">
              <w:rPr>
                <w:sz w:val="18"/>
                <w:szCs w:val="18"/>
              </w:rPr>
              <w:tab/>
            </w:r>
            <w:r w:rsidR="00C16ABA">
              <w:rPr>
                <w:sz w:val="18"/>
                <w:szCs w:val="18"/>
              </w:rPr>
              <w:t>1,186,844</w:t>
            </w:r>
          </w:p>
        </w:tc>
        <w:tc>
          <w:tcPr>
            <w:tcW w:w="1148" w:type="dxa"/>
            <w:tcBorders>
              <w:top w:val="nil"/>
              <w:left w:val="nil"/>
              <w:bottom w:val="nil"/>
              <w:right w:val="nil"/>
            </w:tcBorders>
          </w:tcPr>
          <w:p w14:paraId="576F7F1C" w14:textId="59ACDE09" w:rsidR="00B02073" w:rsidRDefault="00D243D5" w:rsidP="00B02073">
            <w:pPr>
              <w:tabs>
                <w:tab w:val="right" w:pos="989"/>
              </w:tabs>
              <w:rPr>
                <w:sz w:val="18"/>
                <w:szCs w:val="18"/>
              </w:rPr>
            </w:pPr>
            <w:r>
              <w:rPr>
                <w:sz w:val="18"/>
                <w:szCs w:val="18"/>
              </w:rPr>
              <w:t>$</w:t>
            </w:r>
            <w:r w:rsidR="00B02073">
              <w:rPr>
                <w:sz w:val="18"/>
                <w:szCs w:val="18"/>
              </w:rPr>
              <w:tab/>
            </w:r>
            <w:r w:rsidR="00C16ABA">
              <w:rPr>
                <w:sz w:val="18"/>
                <w:szCs w:val="18"/>
              </w:rPr>
              <w:t>44</w:t>
            </w:r>
            <w:r w:rsidR="00453D31">
              <w:rPr>
                <w:sz w:val="18"/>
                <w:szCs w:val="18"/>
              </w:rPr>
              <w:t>4</w:t>
            </w:r>
            <w:r w:rsidR="00C16ABA">
              <w:rPr>
                <w:sz w:val="18"/>
                <w:szCs w:val="18"/>
              </w:rPr>
              <w:t>,519</w:t>
            </w:r>
          </w:p>
        </w:tc>
        <w:tc>
          <w:tcPr>
            <w:tcW w:w="1620" w:type="dxa"/>
            <w:tcBorders>
              <w:top w:val="nil"/>
              <w:left w:val="nil"/>
              <w:bottom w:val="nil"/>
              <w:right w:val="nil"/>
            </w:tcBorders>
          </w:tcPr>
          <w:p w14:paraId="6B6C2DF6" w14:textId="591041E3" w:rsidR="00B02073" w:rsidRDefault="00D243D5" w:rsidP="00B02073">
            <w:pPr>
              <w:tabs>
                <w:tab w:val="right" w:pos="1246"/>
              </w:tabs>
              <w:rPr>
                <w:sz w:val="18"/>
                <w:szCs w:val="18"/>
              </w:rPr>
            </w:pPr>
            <w:r>
              <w:rPr>
                <w:sz w:val="18"/>
                <w:szCs w:val="18"/>
              </w:rPr>
              <w:t>$</w:t>
            </w:r>
            <w:r w:rsidR="00B02073">
              <w:rPr>
                <w:sz w:val="18"/>
                <w:szCs w:val="18"/>
              </w:rPr>
              <w:tab/>
            </w:r>
            <w:r w:rsidR="00AB1288">
              <w:rPr>
                <w:sz w:val="18"/>
                <w:szCs w:val="18"/>
              </w:rPr>
              <w:t>417,121</w:t>
            </w:r>
          </w:p>
        </w:tc>
      </w:tr>
      <w:tr w:rsidR="00B02073" w:rsidRPr="00E90493" w14:paraId="24B54C2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26DDE2C3" w14:textId="3561026A" w:rsidR="00B02073" w:rsidRPr="00E90493" w:rsidRDefault="00B02073" w:rsidP="00B02073">
            <w:pPr>
              <w:rPr>
                <w:sz w:val="18"/>
                <w:szCs w:val="18"/>
              </w:rPr>
            </w:pPr>
            <w:r>
              <w:rPr>
                <w:sz w:val="18"/>
                <w:szCs w:val="18"/>
              </w:rPr>
              <w:t>Lassa Fever</w:t>
            </w:r>
            <w:r w:rsidRPr="00E90493">
              <w:rPr>
                <w:sz w:val="18"/>
                <w:szCs w:val="18"/>
              </w:rPr>
              <w:t xml:space="preserve"> </w:t>
            </w:r>
            <w:r>
              <w:rPr>
                <w:sz w:val="18"/>
                <w:szCs w:val="18"/>
              </w:rPr>
              <w:t>–</w:t>
            </w:r>
            <w:r w:rsidRPr="00E90493">
              <w:rPr>
                <w:sz w:val="18"/>
                <w:szCs w:val="18"/>
              </w:rPr>
              <w:t xml:space="preserve"> </w:t>
            </w:r>
            <w:r>
              <w:rPr>
                <w:sz w:val="18"/>
                <w:szCs w:val="18"/>
              </w:rPr>
              <w:t xml:space="preserve">NIH </w:t>
            </w:r>
            <w:r w:rsidRPr="00E90493">
              <w:rPr>
                <w:sz w:val="18"/>
                <w:szCs w:val="18"/>
              </w:rPr>
              <w:t>SBIR Grant</w:t>
            </w:r>
          </w:p>
        </w:tc>
        <w:tc>
          <w:tcPr>
            <w:tcW w:w="1350" w:type="dxa"/>
          </w:tcPr>
          <w:p w14:paraId="29511BD2" w14:textId="4C5F02BE" w:rsidR="00B02073" w:rsidRPr="00E90493" w:rsidRDefault="00B02073" w:rsidP="00B02073">
            <w:pPr>
              <w:tabs>
                <w:tab w:val="right" w:pos="969"/>
              </w:tabs>
              <w:rPr>
                <w:sz w:val="18"/>
                <w:szCs w:val="18"/>
              </w:rPr>
            </w:pPr>
            <w:r w:rsidRPr="00E90493">
              <w:rPr>
                <w:sz w:val="18"/>
                <w:szCs w:val="18"/>
              </w:rPr>
              <w:tab/>
            </w:r>
            <w:r w:rsidR="00174224">
              <w:rPr>
                <w:sz w:val="18"/>
                <w:szCs w:val="18"/>
              </w:rPr>
              <w:t>-</w:t>
            </w:r>
          </w:p>
        </w:tc>
        <w:tc>
          <w:tcPr>
            <w:tcW w:w="1035" w:type="dxa"/>
          </w:tcPr>
          <w:p w14:paraId="27A51DFC" w14:textId="7D0CCE58" w:rsidR="00B02073" w:rsidRPr="00E90493" w:rsidRDefault="00B02073" w:rsidP="00B02073">
            <w:pPr>
              <w:tabs>
                <w:tab w:val="right" w:pos="926"/>
                <w:tab w:val="right" w:pos="989"/>
              </w:tabs>
              <w:rPr>
                <w:sz w:val="18"/>
                <w:szCs w:val="18"/>
              </w:rPr>
            </w:pPr>
            <w:r w:rsidRPr="00E90493">
              <w:rPr>
                <w:sz w:val="18"/>
                <w:szCs w:val="18"/>
              </w:rPr>
              <w:tab/>
            </w:r>
            <w:r w:rsidR="00C16ABA">
              <w:rPr>
                <w:sz w:val="18"/>
                <w:szCs w:val="18"/>
              </w:rPr>
              <w:t>64,750</w:t>
            </w:r>
          </w:p>
        </w:tc>
        <w:tc>
          <w:tcPr>
            <w:tcW w:w="1147" w:type="dxa"/>
          </w:tcPr>
          <w:p w14:paraId="047C0619" w14:textId="2698B760" w:rsidR="00B02073" w:rsidRPr="00E90493" w:rsidRDefault="00B02073" w:rsidP="00B02073">
            <w:pPr>
              <w:tabs>
                <w:tab w:val="right" w:pos="989"/>
              </w:tabs>
              <w:rPr>
                <w:sz w:val="18"/>
                <w:szCs w:val="18"/>
              </w:rPr>
            </w:pPr>
            <w:r w:rsidRPr="00E90493">
              <w:rPr>
                <w:sz w:val="18"/>
                <w:szCs w:val="18"/>
              </w:rPr>
              <w:tab/>
            </w:r>
            <w:r w:rsidR="00174224">
              <w:rPr>
                <w:sz w:val="18"/>
                <w:szCs w:val="18"/>
              </w:rPr>
              <w:t>-</w:t>
            </w:r>
          </w:p>
        </w:tc>
        <w:tc>
          <w:tcPr>
            <w:tcW w:w="1148" w:type="dxa"/>
          </w:tcPr>
          <w:p w14:paraId="25028D61" w14:textId="1E1257AE" w:rsidR="00B02073" w:rsidRPr="00E90493" w:rsidRDefault="00B02073" w:rsidP="00B02073">
            <w:pPr>
              <w:tabs>
                <w:tab w:val="right" w:pos="989"/>
              </w:tabs>
              <w:rPr>
                <w:sz w:val="18"/>
                <w:szCs w:val="18"/>
              </w:rPr>
            </w:pPr>
            <w:r w:rsidRPr="00E90493">
              <w:rPr>
                <w:sz w:val="18"/>
                <w:szCs w:val="18"/>
              </w:rPr>
              <w:tab/>
            </w:r>
            <w:r w:rsidR="00C16ABA">
              <w:rPr>
                <w:sz w:val="18"/>
                <w:szCs w:val="18"/>
              </w:rPr>
              <w:t>147,042</w:t>
            </w:r>
          </w:p>
        </w:tc>
        <w:tc>
          <w:tcPr>
            <w:tcW w:w="1620" w:type="dxa"/>
          </w:tcPr>
          <w:p w14:paraId="6DF680BA" w14:textId="05D6380E" w:rsidR="00B02073" w:rsidRPr="00E90493" w:rsidRDefault="00B02073" w:rsidP="00B02073">
            <w:pPr>
              <w:tabs>
                <w:tab w:val="right" w:pos="1246"/>
              </w:tabs>
              <w:rPr>
                <w:sz w:val="18"/>
                <w:szCs w:val="18"/>
              </w:rPr>
            </w:pPr>
            <w:r w:rsidRPr="00E90493">
              <w:rPr>
                <w:sz w:val="18"/>
                <w:szCs w:val="18"/>
              </w:rPr>
              <w:tab/>
            </w:r>
            <w:r w:rsidR="006413D3">
              <w:rPr>
                <w:sz w:val="18"/>
                <w:szCs w:val="18"/>
              </w:rPr>
              <w:t>-</w:t>
            </w:r>
          </w:p>
        </w:tc>
      </w:tr>
      <w:tr w:rsidR="00B02073" w:rsidRPr="00E90493" w14:paraId="1768E8F4" w14:textId="77777777" w:rsidTr="00B02073">
        <w:tc>
          <w:tcPr>
            <w:tcW w:w="3150" w:type="dxa"/>
            <w:tcBorders>
              <w:top w:val="nil"/>
              <w:left w:val="nil"/>
              <w:bottom w:val="nil"/>
              <w:right w:val="nil"/>
            </w:tcBorders>
          </w:tcPr>
          <w:p w14:paraId="5A36E28F" w14:textId="101D7313" w:rsidR="00B02073" w:rsidRDefault="00B02073" w:rsidP="00B02073">
            <w:pPr>
              <w:rPr>
                <w:sz w:val="18"/>
                <w:szCs w:val="18"/>
              </w:rPr>
            </w:pPr>
            <w:bookmarkStart w:id="32" w:name="_Hlk14353163"/>
            <w:r>
              <w:rPr>
                <w:sz w:val="18"/>
                <w:szCs w:val="18"/>
              </w:rPr>
              <w:t>Zika – NIH SBIR Grant</w:t>
            </w:r>
          </w:p>
        </w:tc>
        <w:tc>
          <w:tcPr>
            <w:tcW w:w="1350" w:type="dxa"/>
            <w:tcBorders>
              <w:top w:val="nil"/>
              <w:left w:val="nil"/>
              <w:bottom w:val="nil"/>
              <w:right w:val="nil"/>
            </w:tcBorders>
          </w:tcPr>
          <w:p w14:paraId="069E6DDB" w14:textId="73F8FF5F" w:rsidR="00B02073" w:rsidRDefault="00B02073" w:rsidP="00B02073">
            <w:pPr>
              <w:tabs>
                <w:tab w:val="right" w:pos="969"/>
              </w:tabs>
              <w:rPr>
                <w:sz w:val="18"/>
                <w:szCs w:val="18"/>
              </w:rPr>
            </w:pPr>
            <w:r>
              <w:rPr>
                <w:sz w:val="18"/>
                <w:szCs w:val="18"/>
              </w:rPr>
              <w:tab/>
            </w:r>
            <w:r w:rsidR="00174224">
              <w:rPr>
                <w:sz w:val="18"/>
                <w:szCs w:val="18"/>
              </w:rPr>
              <w:t>-</w:t>
            </w:r>
          </w:p>
        </w:tc>
        <w:tc>
          <w:tcPr>
            <w:tcW w:w="1035" w:type="dxa"/>
            <w:tcBorders>
              <w:top w:val="nil"/>
              <w:left w:val="nil"/>
              <w:bottom w:val="nil"/>
              <w:right w:val="nil"/>
            </w:tcBorders>
          </w:tcPr>
          <w:p w14:paraId="06E91F3D" w14:textId="48DFEEF2" w:rsidR="00B02073" w:rsidRDefault="00B02073" w:rsidP="00B02073">
            <w:pPr>
              <w:tabs>
                <w:tab w:val="right" w:pos="926"/>
                <w:tab w:val="right" w:pos="989"/>
              </w:tabs>
              <w:rPr>
                <w:sz w:val="18"/>
                <w:szCs w:val="18"/>
              </w:rPr>
            </w:pPr>
            <w:r>
              <w:rPr>
                <w:sz w:val="18"/>
                <w:szCs w:val="18"/>
              </w:rPr>
              <w:tab/>
            </w:r>
            <w:r w:rsidR="00C16ABA">
              <w:rPr>
                <w:sz w:val="18"/>
                <w:szCs w:val="18"/>
              </w:rPr>
              <w:t>-</w:t>
            </w:r>
          </w:p>
        </w:tc>
        <w:tc>
          <w:tcPr>
            <w:tcW w:w="1147" w:type="dxa"/>
            <w:tcBorders>
              <w:top w:val="nil"/>
              <w:left w:val="nil"/>
              <w:bottom w:val="nil"/>
              <w:right w:val="nil"/>
            </w:tcBorders>
          </w:tcPr>
          <w:p w14:paraId="38600EDF" w14:textId="4BBFA8F4" w:rsidR="00B02073" w:rsidRDefault="00B02073" w:rsidP="00B02073">
            <w:pPr>
              <w:tabs>
                <w:tab w:val="right" w:pos="989"/>
              </w:tabs>
              <w:rPr>
                <w:sz w:val="18"/>
                <w:szCs w:val="18"/>
              </w:rPr>
            </w:pPr>
            <w:r>
              <w:rPr>
                <w:sz w:val="18"/>
                <w:szCs w:val="18"/>
              </w:rPr>
              <w:tab/>
            </w:r>
            <w:r w:rsidR="00174224">
              <w:rPr>
                <w:sz w:val="18"/>
                <w:szCs w:val="18"/>
              </w:rPr>
              <w:t>-</w:t>
            </w:r>
          </w:p>
        </w:tc>
        <w:tc>
          <w:tcPr>
            <w:tcW w:w="1148" w:type="dxa"/>
            <w:tcBorders>
              <w:top w:val="nil"/>
              <w:left w:val="nil"/>
              <w:bottom w:val="nil"/>
              <w:right w:val="nil"/>
            </w:tcBorders>
          </w:tcPr>
          <w:p w14:paraId="58276531" w14:textId="38B15F3A" w:rsidR="00B02073" w:rsidRPr="00DE2803" w:rsidRDefault="00B02073" w:rsidP="00B02073">
            <w:pPr>
              <w:tabs>
                <w:tab w:val="right" w:pos="989"/>
              </w:tabs>
              <w:rPr>
                <w:sz w:val="18"/>
                <w:szCs w:val="18"/>
              </w:rPr>
            </w:pPr>
            <w:r>
              <w:rPr>
                <w:sz w:val="18"/>
                <w:szCs w:val="18"/>
              </w:rPr>
              <w:tab/>
              <w:t>162,4</w:t>
            </w:r>
            <w:r w:rsidR="00C16ABA">
              <w:rPr>
                <w:sz w:val="18"/>
                <w:szCs w:val="18"/>
              </w:rPr>
              <w:t>61</w:t>
            </w:r>
          </w:p>
        </w:tc>
        <w:tc>
          <w:tcPr>
            <w:tcW w:w="1620" w:type="dxa"/>
            <w:tcBorders>
              <w:top w:val="nil"/>
              <w:left w:val="nil"/>
              <w:bottom w:val="nil"/>
              <w:right w:val="nil"/>
            </w:tcBorders>
          </w:tcPr>
          <w:p w14:paraId="7A61DD04" w14:textId="77777777" w:rsidR="00B02073" w:rsidRDefault="00B02073" w:rsidP="00B02073">
            <w:pPr>
              <w:tabs>
                <w:tab w:val="right" w:pos="1246"/>
              </w:tabs>
              <w:rPr>
                <w:sz w:val="18"/>
                <w:szCs w:val="18"/>
              </w:rPr>
            </w:pPr>
            <w:r>
              <w:rPr>
                <w:sz w:val="18"/>
                <w:szCs w:val="18"/>
              </w:rPr>
              <w:tab/>
              <w:t>-</w:t>
            </w:r>
          </w:p>
        </w:tc>
      </w:tr>
      <w:bookmarkEnd w:id="32"/>
      <w:tr w:rsidR="00B02073" w:rsidRPr="00E90493" w14:paraId="0515A7A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14322419" w14:textId="77777777" w:rsidR="00B02073" w:rsidRPr="00E90493" w:rsidRDefault="00B02073" w:rsidP="00B02073">
            <w:pPr>
              <w:rPr>
                <w:sz w:val="18"/>
                <w:szCs w:val="18"/>
              </w:rPr>
            </w:pPr>
            <w:r w:rsidRPr="00E90493">
              <w:rPr>
                <w:sz w:val="18"/>
                <w:szCs w:val="18"/>
              </w:rPr>
              <w:t>Total</w:t>
            </w:r>
          </w:p>
        </w:tc>
        <w:tc>
          <w:tcPr>
            <w:tcW w:w="1350" w:type="dxa"/>
            <w:tcBorders>
              <w:top w:val="single" w:sz="4" w:space="0" w:color="auto"/>
              <w:bottom w:val="double" w:sz="4" w:space="0" w:color="auto"/>
            </w:tcBorders>
          </w:tcPr>
          <w:p w14:paraId="629F9E62" w14:textId="05F70E5B" w:rsidR="00B02073" w:rsidRPr="00E90493" w:rsidRDefault="00B02073" w:rsidP="00B02073">
            <w:pPr>
              <w:tabs>
                <w:tab w:val="right" w:pos="969"/>
              </w:tabs>
              <w:rPr>
                <w:sz w:val="18"/>
                <w:szCs w:val="18"/>
              </w:rPr>
            </w:pPr>
            <w:r w:rsidRPr="00E90493">
              <w:rPr>
                <w:sz w:val="18"/>
                <w:szCs w:val="18"/>
              </w:rPr>
              <w:t>$</w:t>
            </w:r>
            <w:r w:rsidRPr="00E90493">
              <w:rPr>
                <w:sz w:val="18"/>
                <w:szCs w:val="18"/>
              </w:rPr>
              <w:tab/>
            </w:r>
            <w:r w:rsidR="00C16ABA">
              <w:rPr>
                <w:sz w:val="18"/>
                <w:szCs w:val="18"/>
              </w:rPr>
              <w:t>231,330</w:t>
            </w:r>
          </w:p>
        </w:tc>
        <w:tc>
          <w:tcPr>
            <w:tcW w:w="1035" w:type="dxa"/>
            <w:tcBorders>
              <w:top w:val="single" w:sz="4" w:space="0" w:color="auto"/>
              <w:bottom w:val="double" w:sz="4" w:space="0" w:color="auto"/>
            </w:tcBorders>
          </w:tcPr>
          <w:p w14:paraId="208C047F" w14:textId="7B529A48" w:rsidR="00B02073" w:rsidRPr="00E90493" w:rsidRDefault="00B02073" w:rsidP="00B02073">
            <w:pPr>
              <w:tabs>
                <w:tab w:val="right" w:pos="926"/>
                <w:tab w:val="right" w:pos="989"/>
              </w:tabs>
              <w:rPr>
                <w:sz w:val="18"/>
                <w:szCs w:val="18"/>
              </w:rPr>
            </w:pPr>
            <w:r w:rsidRPr="00E90493">
              <w:rPr>
                <w:sz w:val="18"/>
                <w:szCs w:val="18"/>
              </w:rPr>
              <w:t>$</w:t>
            </w:r>
            <w:r w:rsidRPr="00E90493">
              <w:rPr>
                <w:sz w:val="18"/>
                <w:szCs w:val="18"/>
              </w:rPr>
              <w:tab/>
            </w:r>
            <w:r w:rsidR="00C16ABA">
              <w:rPr>
                <w:sz w:val="18"/>
                <w:szCs w:val="18"/>
              </w:rPr>
              <w:t>214,765</w:t>
            </w:r>
          </w:p>
        </w:tc>
        <w:tc>
          <w:tcPr>
            <w:tcW w:w="1147" w:type="dxa"/>
            <w:tcBorders>
              <w:top w:val="single" w:sz="4" w:space="0" w:color="auto"/>
              <w:bottom w:val="double" w:sz="4" w:space="0" w:color="auto"/>
            </w:tcBorders>
          </w:tcPr>
          <w:p w14:paraId="36954F62" w14:textId="592A6735" w:rsidR="00B02073" w:rsidRPr="00E90493" w:rsidRDefault="00B02073" w:rsidP="00B02073">
            <w:pPr>
              <w:tabs>
                <w:tab w:val="right" w:pos="989"/>
              </w:tabs>
              <w:rPr>
                <w:sz w:val="18"/>
                <w:szCs w:val="18"/>
              </w:rPr>
            </w:pPr>
            <w:r w:rsidRPr="00E90493">
              <w:rPr>
                <w:sz w:val="18"/>
                <w:szCs w:val="18"/>
              </w:rPr>
              <w:t>$</w:t>
            </w:r>
            <w:r w:rsidRPr="00E90493">
              <w:rPr>
                <w:sz w:val="18"/>
                <w:szCs w:val="18"/>
              </w:rPr>
              <w:tab/>
            </w:r>
            <w:r w:rsidR="00C16ABA">
              <w:rPr>
                <w:sz w:val="18"/>
                <w:szCs w:val="18"/>
              </w:rPr>
              <w:t>1,186,844</w:t>
            </w:r>
          </w:p>
        </w:tc>
        <w:tc>
          <w:tcPr>
            <w:tcW w:w="1148" w:type="dxa"/>
            <w:tcBorders>
              <w:top w:val="single" w:sz="4" w:space="0" w:color="auto"/>
              <w:bottom w:val="double" w:sz="4" w:space="0" w:color="auto"/>
            </w:tcBorders>
          </w:tcPr>
          <w:p w14:paraId="191334E0" w14:textId="6452D79F" w:rsidR="00B02073" w:rsidRPr="00E90493" w:rsidRDefault="00B02073" w:rsidP="00B02073">
            <w:pPr>
              <w:tabs>
                <w:tab w:val="right" w:pos="989"/>
              </w:tabs>
              <w:rPr>
                <w:sz w:val="18"/>
                <w:szCs w:val="18"/>
              </w:rPr>
            </w:pPr>
            <w:r w:rsidRPr="00E90493">
              <w:rPr>
                <w:sz w:val="18"/>
                <w:szCs w:val="18"/>
              </w:rPr>
              <w:t>$</w:t>
            </w:r>
            <w:r w:rsidRPr="00E90493">
              <w:rPr>
                <w:sz w:val="18"/>
                <w:szCs w:val="18"/>
              </w:rPr>
              <w:tab/>
            </w:r>
            <w:r w:rsidR="00C16ABA">
              <w:rPr>
                <w:sz w:val="18"/>
                <w:szCs w:val="18"/>
              </w:rPr>
              <w:t>754,022</w:t>
            </w:r>
          </w:p>
        </w:tc>
        <w:tc>
          <w:tcPr>
            <w:tcW w:w="1620" w:type="dxa"/>
            <w:tcBorders>
              <w:top w:val="single" w:sz="4" w:space="0" w:color="auto"/>
              <w:bottom w:val="double" w:sz="4" w:space="0" w:color="auto"/>
            </w:tcBorders>
          </w:tcPr>
          <w:p w14:paraId="10E039CA" w14:textId="209A16E4" w:rsidR="00B02073" w:rsidRPr="00E90493" w:rsidRDefault="00B02073" w:rsidP="00B02073">
            <w:pPr>
              <w:tabs>
                <w:tab w:val="right" w:pos="1246"/>
              </w:tabs>
              <w:rPr>
                <w:sz w:val="18"/>
                <w:szCs w:val="18"/>
              </w:rPr>
            </w:pPr>
            <w:r w:rsidRPr="00E90493">
              <w:rPr>
                <w:sz w:val="18"/>
                <w:szCs w:val="18"/>
              </w:rPr>
              <w:t>$</w:t>
            </w:r>
            <w:r w:rsidRPr="00E90493">
              <w:rPr>
                <w:sz w:val="18"/>
                <w:szCs w:val="18"/>
              </w:rPr>
              <w:tab/>
            </w:r>
            <w:r w:rsidR="00AB1288">
              <w:rPr>
                <w:sz w:val="18"/>
                <w:szCs w:val="18"/>
              </w:rPr>
              <w:t>417,121</w:t>
            </w:r>
          </w:p>
        </w:tc>
      </w:tr>
    </w:tbl>
    <w:p w14:paraId="2ACD0D54" w14:textId="77777777" w:rsidR="00B02073" w:rsidRDefault="00B02073" w:rsidP="00B02073"/>
    <w:p w14:paraId="52708DB5" w14:textId="00F1C459" w:rsidR="00D243D5" w:rsidRDefault="00D243D5" w:rsidP="00D243D5">
      <w:r w:rsidRPr="00FC1C96">
        <w:rPr>
          <w:rFonts w:ascii="CG Times (WN)" w:hAnsi="CG Times (WN)"/>
          <w:u w:val="single"/>
        </w:rPr>
        <w:t>Collaboration Revenues</w:t>
      </w:r>
      <w:r w:rsidRPr="00FC1C96">
        <w:rPr>
          <w:rFonts w:ascii="CG Times (WN)" w:hAnsi="CG Times (WN)"/>
        </w:rPr>
        <w:t xml:space="preserve"> – In addition to the grant revenues above, during the </w:t>
      </w:r>
      <w:r>
        <w:rPr>
          <w:rFonts w:ascii="CG Times (WN)" w:hAnsi="CG Times (WN)"/>
        </w:rPr>
        <w:t xml:space="preserve">three-month and </w:t>
      </w:r>
      <w:r w:rsidR="00AB1288">
        <w:rPr>
          <w:rFonts w:ascii="CG Times (WN)" w:hAnsi="CG Times (WN)"/>
        </w:rPr>
        <w:t>nine</w:t>
      </w:r>
      <w:r>
        <w:rPr>
          <w:rFonts w:ascii="CG Times (WN)" w:hAnsi="CG Times (WN)"/>
        </w:rPr>
        <w:t>-month periods ended</w:t>
      </w:r>
      <w:r w:rsidRPr="00FC1C96">
        <w:rPr>
          <w:rFonts w:ascii="CG Times (WN)" w:hAnsi="CG Times (WN)"/>
        </w:rPr>
        <w:t xml:space="preserve"> </w:t>
      </w:r>
      <w:r w:rsidR="00AB1288">
        <w:rPr>
          <w:rFonts w:ascii="CG Times (WN)" w:hAnsi="CG Times (WN)"/>
        </w:rPr>
        <w:t>September</w:t>
      </w:r>
      <w:r w:rsidRPr="00FC1C96">
        <w:rPr>
          <w:rFonts w:ascii="CG Times (WN)" w:hAnsi="CG Times (WN)"/>
        </w:rPr>
        <w:t xml:space="preserve"> 3</w:t>
      </w:r>
      <w:r>
        <w:rPr>
          <w:rFonts w:ascii="CG Times (WN)" w:hAnsi="CG Times (WN)"/>
        </w:rPr>
        <w:t>0</w:t>
      </w:r>
      <w:r w:rsidRPr="00FC1C96">
        <w:rPr>
          <w:rFonts w:ascii="CG Times (WN)" w:hAnsi="CG Times (WN)"/>
        </w:rPr>
        <w:t xml:space="preserve">, </w:t>
      </w:r>
      <w:r>
        <w:rPr>
          <w:rFonts w:ascii="CG Times (WN)" w:hAnsi="CG Times (WN)"/>
        </w:rPr>
        <w:t xml:space="preserve">2020 </w:t>
      </w:r>
      <w:r w:rsidRPr="00FC1C96">
        <w:rPr>
          <w:rFonts w:ascii="CG Times (WN)" w:hAnsi="CG Times (WN)"/>
        </w:rPr>
        <w:t>we recorded</w:t>
      </w:r>
      <w:r w:rsidRPr="00B4718E">
        <w:rPr>
          <w:rFonts w:ascii="CG Times (WN)" w:hAnsi="CG Times (WN)"/>
        </w:rPr>
        <w:t xml:space="preserve"> </w:t>
      </w:r>
      <w:r w:rsidRPr="00FC1C96">
        <w:rPr>
          <w:rFonts w:ascii="CG Times (WN)" w:hAnsi="CG Times (WN)"/>
        </w:rPr>
        <w:t>revenue</w:t>
      </w:r>
      <w:r>
        <w:rPr>
          <w:rFonts w:ascii="CG Times (WN)" w:hAnsi="CG Times (WN)"/>
        </w:rPr>
        <w:t>s</w:t>
      </w:r>
      <w:r w:rsidRPr="00FC1C96">
        <w:rPr>
          <w:rFonts w:ascii="CG Times (WN)" w:hAnsi="CG Times (WN)"/>
        </w:rPr>
        <w:t xml:space="preserve"> associated with research collaborations with third parties </w:t>
      </w:r>
      <w:r>
        <w:rPr>
          <w:rFonts w:ascii="CG Times (WN)" w:hAnsi="CG Times (WN)"/>
        </w:rPr>
        <w:t xml:space="preserve">of </w:t>
      </w:r>
      <w:r w:rsidRPr="00FC1C96">
        <w:rPr>
          <w:rFonts w:ascii="CG Times (WN)" w:hAnsi="CG Times (WN)"/>
        </w:rPr>
        <w:t>$</w:t>
      </w:r>
      <w:r w:rsidR="00AB1288">
        <w:rPr>
          <w:rFonts w:ascii="CG Times (WN)" w:hAnsi="CG Times (WN)"/>
        </w:rPr>
        <w:t>184,12</w:t>
      </w:r>
      <w:r w:rsidR="00140823">
        <w:rPr>
          <w:rFonts w:ascii="CG Times (WN)" w:hAnsi="CG Times (WN)"/>
        </w:rPr>
        <w:t>8</w:t>
      </w:r>
      <w:r>
        <w:rPr>
          <w:rFonts w:ascii="CG Times (WN)" w:hAnsi="CG Times (WN)"/>
        </w:rPr>
        <w:t xml:space="preserve"> and $</w:t>
      </w:r>
      <w:r w:rsidR="00AB1288">
        <w:rPr>
          <w:rFonts w:ascii="CG Times (WN)" w:hAnsi="CG Times (WN)"/>
        </w:rPr>
        <w:t>385,193</w:t>
      </w:r>
      <w:r>
        <w:rPr>
          <w:rFonts w:ascii="CG Times (WN)" w:hAnsi="CG Times (WN)"/>
        </w:rPr>
        <w:t>, respectively,</w:t>
      </w:r>
      <w:r w:rsidRPr="00FC1C96">
        <w:rPr>
          <w:rFonts w:ascii="CG Times (WN)" w:hAnsi="CG Times (WN)"/>
        </w:rPr>
        <w:t xml:space="preserve"> </w:t>
      </w:r>
      <w:r>
        <w:rPr>
          <w:rFonts w:ascii="CG Times (WN)" w:hAnsi="CG Times (WN)"/>
        </w:rPr>
        <w:t>as compared to $</w:t>
      </w:r>
      <w:r w:rsidR="00AB1288">
        <w:rPr>
          <w:rFonts w:ascii="CG Times (WN)" w:hAnsi="CG Times (WN)"/>
        </w:rPr>
        <w:t>118,445</w:t>
      </w:r>
      <w:r>
        <w:rPr>
          <w:rFonts w:ascii="CG Times (WN)" w:hAnsi="CG Times (WN)"/>
        </w:rPr>
        <w:t xml:space="preserve"> and $</w:t>
      </w:r>
      <w:r w:rsidR="00AB1288">
        <w:rPr>
          <w:rFonts w:ascii="CG Times (WN)" w:hAnsi="CG Times (WN)"/>
        </w:rPr>
        <w:t>153,360</w:t>
      </w:r>
      <w:r>
        <w:rPr>
          <w:rFonts w:ascii="CG Times (WN)" w:hAnsi="CG Times (WN)"/>
        </w:rPr>
        <w:t>, respectively, during the comparable periods of 2019</w:t>
      </w:r>
      <w:r w:rsidRPr="00FC1C96">
        <w:rPr>
          <w:rFonts w:ascii="CG Times (WN)" w:hAnsi="CG Times (WN)"/>
        </w:rPr>
        <w:t>. These amounts primarily represent amounts paid to us by the other parties for materials and other costs associated with joint studie</w:t>
      </w:r>
      <w:r w:rsidR="00AB1288">
        <w:rPr>
          <w:rFonts w:ascii="CG Times (WN)" w:hAnsi="CG Times (WN)"/>
        </w:rPr>
        <w:t>s</w:t>
      </w:r>
      <w:r>
        <w:t>.</w:t>
      </w:r>
    </w:p>
    <w:p w14:paraId="3885DFBB" w14:textId="02E4DCB5" w:rsidR="003E540D" w:rsidRDefault="003E540D" w:rsidP="000A55AE">
      <w:pPr>
        <w:pStyle w:val="BodyText"/>
        <w:spacing w:after="0"/>
        <w:rPr>
          <w:rStyle w:val="BodySubtitleChar"/>
          <w:i w:val="0"/>
        </w:rPr>
      </w:pPr>
    </w:p>
    <w:p w14:paraId="20F3C214" w14:textId="362EDC0B" w:rsidR="003E540D" w:rsidRDefault="003E540D" w:rsidP="000A55AE">
      <w:pPr>
        <w:pStyle w:val="BodyText"/>
        <w:spacing w:after="0"/>
        <w:rPr>
          <w:rStyle w:val="BodySubtitleChar"/>
          <w:i w:val="0"/>
        </w:rPr>
      </w:pPr>
      <w:r>
        <w:rPr>
          <w:rStyle w:val="BodySubtitleChar"/>
          <w:i w:val="0"/>
        </w:rPr>
        <w:t>We continue to seek additional support for our product development programs via grants and collaborative arrangements with governmental funding agencies and other third parties, but there is no assurance that we will be successful in these efforts and we therefore do not predict what impact such funding, if received, may have on our operations.</w:t>
      </w:r>
    </w:p>
    <w:p w14:paraId="5BDD100B" w14:textId="77777777" w:rsidR="003E540D" w:rsidRDefault="003E540D" w:rsidP="000A55AE">
      <w:pPr>
        <w:pStyle w:val="BodyText"/>
        <w:spacing w:after="0"/>
        <w:rPr>
          <w:rStyle w:val="BodySubtitleChar"/>
          <w:i w:val="0"/>
        </w:rPr>
      </w:pPr>
    </w:p>
    <w:p w14:paraId="23937EE7" w14:textId="20E2D15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4051890C" w14:textId="08A8691A" w:rsidR="002C1C67" w:rsidRDefault="002C1C67" w:rsidP="002C1C67">
      <w:r w:rsidRPr="005268FE">
        <w:t>Our research and development expenses were $</w:t>
      </w:r>
      <w:r w:rsidR="00AB1288">
        <w:t>416,756</w:t>
      </w:r>
      <w:r w:rsidRPr="005268FE">
        <w:t xml:space="preserve"> and $</w:t>
      </w:r>
      <w:r w:rsidR="00AB1288">
        <w:t>1,687,113</w:t>
      </w:r>
      <w:r>
        <w:t xml:space="preserve"> </w:t>
      </w:r>
      <w:r w:rsidRPr="005268FE">
        <w:t xml:space="preserve">for the </w:t>
      </w:r>
      <w:r>
        <w:t xml:space="preserve">three-month and </w:t>
      </w:r>
      <w:r w:rsidR="00AB1288">
        <w:t>nine</w:t>
      </w:r>
      <w:r>
        <w:t>-month periods</w:t>
      </w:r>
      <w:r w:rsidRPr="005268FE">
        <w:t xml:space="preserve"> ended </w:t>
      </w:r>
      <w:r w:rsidR="00AB1288">
        <w:t>September</w:t>
      </w:r>
      <w:r>
        <w:t xml:space="preserve"> 30, 2020 as compared to $</w:t>
      </w:r>
      <w:r w:rsidR="00AB1288">
        <w:t>467,674</w:t>
      </w:r>
      <w:r>
        <w:t xml:space="preserve"> and $</w:t>
      </w:r>
      <w:r w:rsidR="00AB1288">
        <w:t>1,474,619</w:t>
      </w:r>
      <w:r>
        <w:t xml:space="preserve"> for the comparable periods of 2019</w:t>
      </w:r>
      <w:r w:rsidRPr="005268FE">
        <w:t xml:space="preserve">. </w:t>
      </w:r>
      <w:r>
        <w:t xml:space="preserve">Research and development expense for the three-month and </w:t>
      </w:r>
      <w:r w:rsidR="00AB1288">
        <w:t>nine</w:t>
      </w:r>
      <w:r>
        <w:t>-month periods of 2020 include</w:t>
      </w:r>
      <w:r w:rsidR="006413D3">
        <w:t>d no</w:t>
      </w:r>
      <w:r>
        <w:t xml:space="preserve"> stock-based compensation expense, as compared to $</w:t>
      </w:r>
      <w:r w:rsidR="00AB1288">
        <w:t>11,006</w:t>
      </w:r>
      <w:r>
        <w:t xml:space="preserve"> and $</w:t>
      </w:r>
      <w:r w:rsidR="00AB1288">
        <w:t>33,647</w:t>
      </w:r>
      <w:r>
        <w:t xml:space="preserve">, respectively, for the comparable periods of 2019 </w:t>
      </w:r>
      <w:r w:rsidRPr="003434EE">
        <w:t>(see discussion under “Stock-Based</w:t>
      </w:r>
      <w:r>
        <w:t xml:space="preserve"> Compensation Expense” below).</w:t>
      </w:r>
    </w:p>
    <w:p w14:paraId="4F3DCB45" w14:textId="77777777" w:rsidR="006B2A98" w:rsidRPr="009E4569" w:rsidRDefault="006B2A98" w:rsidP="009E4569">
      <w:pPr>
        <w:rPr>
          <w:rFonts w:ascii="CG Times (WN)" w:hAnsi="CG Times (WN)"/>
        </w:rPr>
      </w:pPr>
    </w:p>
    <w:p w14:paraId="1D1BFF6B" w14:textId="6F0A28D4" w:rsidR="006B2A98" w:rsidRDefault="006B2A98" w:rsidP="006B2A98">
      <w:pPr>
        <w:rPr>
          <w:rFonts w:ascii="CG Times (WN)" w:hAnsi="CG Times (WN)"/>
        </w:rPr>
      </w:pPr>
      <w:r w:rsidRPr="009E4569">
        <w:rPr>
          <w:rFonts w:ascii="CG Times (WN)" w:hAnsi="CG Times (WN)"/>
        </w:rPr>
        <w:t xml:space="preserve">Our research and development expenses can fluctuate considerably on a period-to-period basis, </w:t>
      </w:r>
      <w:r w:rsidRPr="00640BA0">
        <w:t xml:space="preserve">depending on the timing of expenditures related to our </w:t>
      </w:r>
      <w:r>
        <w:t xml:space="preserve">government </w:t>
      </w:r>
      <w:r w:rsidRPr="00640BA0">
        <w:t>grants</w:t>
      </w:r>
      <w:r>
        <w:t xml:space="preserve"> and other research projects, and other factors.  </w:t>
      </w:r>
      <w:r w:rsidRPr="009E4569">
        <w:t xml:space="preserve">Research and development expenses </w:t>
      </w:r>
      <w:r w:rsidRPr="006E769B">
        <w:t>increased</w:t>
      </w:r>
      <w:r w:rsidRPr="009E4569">
        <w:t xml:space="preserve"> by </w:t>
      </w:r>
      <w:r>
        <w:t>$</w:t>
      </w:r>
      <w:r w:rsidR="006413D3">
        <w:t>2</w:t>
      </w:r>
      <w:r w:rsidR="00975916">
        <w:t>12,494</w:t>
      </w:r>
      <w:r>
        <w:t xml:space="preserve">, or </w:t>
      </w:r>
      <w:r w:rsidR="00975916">
        <w:t>14</w:t>
      </w:r>
      <w:r>
        <w:t xml:space="preserve">%, </w:t>
      </w:r>
      <w:bookmarkStart w:id="33" w:name="_Hlk45118342"/>
      <w:r w:rsidRPr="009E4569">
        <w:t xml:space="preserve">from </w:t>
      </w:r>
      <w:r>
        <w:t xml:space="preserve">the </w:t>
      </w:r>
      <w:r w:rsidR="00975916">
        <w:t>nine</w:t>
      </w:r>
      <w:r>
        <w:t xml:space="preserve">-month period of 2019 to 2020 </w:t>
      </w:r>
      <w:bookmarkEnd w:id="33"/>
      <w:r w:rsidRPr="009E4569">
        <w:t xml:space="preserve">primarily due to the timing </w:t>
      </w:r>
      <w:r w:rsidR="006413D3">
        <w:t xml:space="preserve">and amount </w:t>
      </w:r>
      <w:r w:rsidRPr="009E4569">
        <w:t xml:space="preserve">of expenditures related to our government grants. </w:t>
      </w:r>
      <w:r w:rsidRPr="009E4569">
        <w:rPr>
          <w:rFonts w:ascii="CG Times (WN)" w:hAnsi="CG Times (WN)"/>
        </w:rPr>
        <w:t>Our r</w:t>
      </w:r>
      <w:r>
        <w:rPr>
          <w:rFonts w:ascii="CG Times (WN)" w:hAnsi="CG Times (WN)"/>
        </w:rPr>
        <w:t>es</w:t>
      </w:r>
      <w:r w:rsidRPr="009E4569">
        <w:rPr>
          <w:rFonts w:ascii="CG Times (WN)" w:hAnsi="CG Times (WN)"/>
        </w:rPr>
        <w:t xml:space="preserve">earch and development costs do not include costs incurred by the </w:t>
      </w:r>
      <w:r>
        <w:rPr>
          <w:rFonts w:ascii="CG Times (WN)" w:hAnsi="CG Times (WN)"/>
        </w:rPr>
        <w:t>HIV Vaccine Trials Network (</w:t>
      </w:r>
      <w:r w:rsidRPr="009E4569">
        <w:rPr>
          <w:rFonts w:ascii="CG Times (WN)" w:hAnsi="CG Times (WN)"/>
        </w:rPr>
        <w:t>HVTN</w:t>
      </w:r>
      <w:r>
        <w:rPr>
          <w:rFonts w:ascii="CG Times (WN)" w:hAnsi="CG Times (WN)"/>
        </w:rPr>
        <w:t>)</w:t>
      </w:r>
      <w:r w:rsidRPr="009E4569">
        <w:rPr>
          <w:rFonts w:ascii="CG Times (WN)" w:hAnsi="CG Times (WN)"/>
        </w:rPr>
        <w:t xml:space="preserve"> </w:t>
      </w:r>
      <w:r w:rsidR="00975916">
        <w:rPr>
          <w:rFonts w:ascii="CG Times (WN)" w:hAnsi="CG Times (WN)"/>
        </w:rPr>
        <w:t xml:space="preserve">or other collaborators </w:t>
      </w:r>
      <w:r w:rsidRPr="009E4569">
        <w:rPr>
          <w:rFonts w:ascii="CG Times (WN)" w:hAnsi="CG Times (WN)"/>
        </w:rPr>
        <w:t xml:space="preserve">in conducting clinical trials of our HIV vaccines; those costs are funded </w:t>
      </w:r>
      <w:r w:rsidR="00975916">
        <w:rPr>
          <w:rFonts w:ascii="CG Times (WN)" w:hAnsi="CG Times (WN)"/>
        </w:rPr>
        <w:t>by the collaborators, or through their respective funding sources (such as NIAID’s funding of HVTN)</w:t>
      </w:r>
      <w:r w:rsidRPr="009E4569">
        <w:rPr>
          <w:rFonts w:ascii="CG Times (WN)" w:hAnsi="CG Times (WN)"/>
        </w:rPr>
        <w:t>.</w:t>
      </w:r>
      <w:r w:rsidR="00A16FBD">
        <w:rPr>
          <w:rFonts w:ascii="CG Times (WN)" w:hAnsi="CG Times (WN)"/>
        </w:rPr>
        <w:t xml:space="preserve"> </w:t>
      </w:r>
      <w:r w:rsidR="00FA59B2" w:rsidRPr="0083192B">
        <w:t xml:space="preserve">We expect that our </w:t>
      </w:r>
      <w:r w:rsidR="00FA59B2">
        <w:t>research and developments</w:t>
      </w:r>
      <w:r w:rsidR="00FA59B2" w:rsidRPr="0083192B">
        <w:t xml:space="preserve"> </w:t>
      </w:r>
      <w:r w:rsidR="00FA59B2">
        <w:t>expenses</w:t>
      </w:r>
      <w:r w:rsidR="00FA59B2" w:rsidRPr="0083192B">
        <w:t xml:space="preserve"> </w:t>
      </w:r>
      <w:r w:rsidR="00FA59B2">
        <w:t>will</w:t>
      </w:r>
      <w:r w:rsidR="00FA59B2" w:rsidRPr="00F11B56">
        <w:t xml:space="preserve"> increase in the future </w:t>
      </w:r>
      <w:r w:rsidR="00FA59B2">
        <w:t>as we expand our scientific staff and incur additional costs in support of our product development activities, particularly related to our COVID-19 vaccine and cancer immunotherapy programs</w:t>
      </w:r>
      <w:r w:rsidR="00350A2C">
        <w:t>, following completion of the Offering.</w:t>
      </w:r>
    </w:p>
    <w:p w14:paraId="31494B84" w14:textId="77777777" w:rsidR="009E4569" w:rsidRPr="0014178D" w:rsidRDefault="009E4569" w:rsidP="000A55AE"/>
    <w:p w14:paraId="08B20BD0" w14:textId="6837777E" w:rsidR="00D338E8" w:rsidRPr="00632F8B" w:rsidRDefault="00D338E8" w:rsidP="00D338E8">
      <w:pPr>
        <w:pStyle w:val="NormalWeb"/>
        <w:spacing w:before="0" w:beforeAutospacing="0" w:after="0" w:afterAutospacing="0"/>
        <w:rPr>
          <w:sz w:val="20"/>
          <w:szCs w:val="20"/>
        </w:rPr>
      </w:pPr>
      <w:r>
        <w:rPr>
          <w:sz w:val="20"/>
          <w:szCs w:val="20"/>
        </w:rPr>
        <w:t>We do not</w:t>
      </w:r>
      <w:r w:rsidRPr="00632F8B">
        <w:rPr>
          <w:sz w:val="20"/>
          <w:szCs w:val="20"/>
        </w:rPr>
        <w:t xml:space="preserve"> </w:t>
      </w:r>
      <w:r>
        <w:rPr>
          <w:sz w:val="20"/>
          <w:szCs w:val="20"/>
        </w:rPr>
        <w:t>disclose our</w:t>
      </w:r>
      <w:r w:rsidRPr="00632F8B">
        <w:rPr>
          <w:sz w:val="20"/>
          <w:szCs w:val="20"/>
        </w:rPr>
        <w:t xml:space="preserve"> research and development expenses by project, since our employees</w:t>
      </w:r>
      <w:r>
        <w:rPr>
          <w:sz w:val="20"/>
          <w:szCs w:val="20"/>
        </w:rPr>
        <w:t>’</w:t>
      </w:r>
      <w:r w:rsidRPr="00632F8B">
        <w:rPr>
          <w:sz w:val="20"/>
          <w:szCs w:val="20"/>
        </w:rPr>
        <w:t xml:space="preserve"> time is spread across multiple programs and our laboratory facility is used for multiple vaccine candidates. We track the direct cost of research and development expenses </w:t>
      </w:r>
      <w:r>
        <w:rPr>
          <w:sz w:val="20"/>
          <w:szCs w:val="20"/>
        </w:rPr>
        <w:t xml:space="preserve">related to </w:t>
      </w:r>
      <w:r w:rsidRPr="00632F8B">
        <w:rPr>
          <w:sz w:val="20"/>
          <w:szCs w:val="20"/>
        </w:rPr>
        <w:t>government grant revenue by the percentage of assigned employees’ time spent on each grant and other direct costs associated with each grant. Indirect costs associated with grants are not tracked separately but are applied based on a contracted overhead</w:t>
      </w:r>
      <w:r>
        <w:rPr>
          <w:sz w:val="20"/>
          <w:szCs w:val="20"/>
        </w:rPr>
        <w:t xml:space="preserve"> rate negotiated with the NIH. </w:t>
      </w:r>
      <w:r w:rsidRPr="00632F8B">
        <w:rPr>
          <w:sz w:val="20"/>
          <w:szCs w:val="20"/>
        </w:rPr>
        <w:t>Therefore, the recorded revenues associated with government grants ap</w:t>
      </w:r>
      <w:r>
        <w:rPr>
          <w:sz w:val="20"/>
          <w:szCs w:val="20"/>
        </w:rPr>
        <w:t xml:space="preserve">proximate the costs incurred. </w:t>
      </w:r>
    </w:p>
    <w:p w14:paraId="317BE289" w14:textId="77777777" w:rsidR="00D338E8" w:rsidRPr="00640BA0" w:rsidRDefault="00D338E8" w:rsidP="00D338E8"/>
    <w:p w14:paraId="78AE6F8B" w14:textId="600283CB" w:rsidR="00D338E8" w:rsidRDefault="00D338E8" w:rsidP="00D338E8">
      <w:r w:rsidRPr="00176BE5">
        <w:t>We do not provide forward-looking estimates of costs and time to complete our research programs due to the many uncertainties associated with vaccine development</w:t>
      </w:r>
      <w:r w:rsidR="002869CB">
        <w:t xml:space="preserve">. </w:t>
      </w:r>
      <w:r w:rsidRPr="00640BA0">
        <w:t xml:space="preserve">Due to </w:t>
      </w:r>
      <w:r>
        <w:t>these uncertainties</w:t>
      </w:r>
      <w:r w:rsidRPr="00640BA0">
        <w:t>, our future expenditures are likely to be highly volatile in future periods depending on the outcomes of the trials and studies</w:t>
      </w:r>
      <w:r>
        <w:t xml:space="preserve">. </w:t>
      </w:r>
      <w:r w:rsidRPr="00176BE5">
        <w:t xml:space="preserve">As we obtain data from pre-clinical studies and clinical trials, we may elect to discontinue or delay </w:t>
      </w:r>
      <w:r>
        <w:t>vaccine development programs</w:t>
      </w:r>
      <w:r w:rsidRPr="00176BE5">
        <w:t xml:space="preserve"> to focus our resources on more promising vaccine candidates. Completion of </w:t>
      </w:r>
      <w:r>
        <w:t xml:space="preserve">preclinical studies and human </w:t>
      </w:r>
      <w:r w:rsidRPr="00176BE5">
        <w:t xml:space="preserve">clinical trials may take several years or more, but the length of time can vary substantially depending upon </w:t>
      </w:r>
      <w:r>
        <w:t>several factors</w:t>
      </w:r>
      <w:r w:rsidRPr="00176BE5">
        <w:t>.</w:t>
      </w:r>
      <w:r>
        <w:t xml:space="preserve"> </w:t>
      </w:r>
      <w:r w:rsidRPr="00640BA0">
        <w:t>The duration and the cost of future clinical trials may vary significantly over the life of the project because of differences arising during development of the human clinical trial pro</w:t>
      </w:r>
      <w:r>
        <w:t xml:space="preserve">tocols, including </w:t>
      </w:r>
      <w:r w:rsidRPr="00426C8F">
        <w:t>the number of patients that ultimately participate in the clinical trial;</w:t>
      </w:r>
      <w:r>
        <w:t xml:space="preserve"> </w:t>
      </w:r>
      <w:r w:rsidRPr="00426C8F">
        <w:t>the duration of patient follow-up that seems appropriate in view of the results;</w:t>
      </w:r>
      <w:r>
        <w:t xml:space="preserve"> </w:t>
      </w:r>
      <w:r w:rsidRPr="00426C8F">
        <w:t>the number of clinical sites included in the clinical trials; and</w:t>
      </w:r>
      <w:r>
        <w:t xml:space="preserve"> </w:t>
      </w:r>
      <w:r w:rsidRPr="00426C8F">
        <w:t>the length of time required to enroll suitable patient subjects.</w:t>
      </w:r>
    </w:p>
    <w:p w14:paraId="3B115EF6" w14:textId="77777777" w:rsidR="000A55AE" w:rsidRPr="0014178D" w:rsidRDefault="000A55AE" w:rsidP="000A55AE"/>
    <w:p w14:paraId="384A07AB" w14:textId="6621E700" w:rsidR="00C323DF" w:rsidRPr="004A3014" w:rsidRDefault="009771C4" w:rsidP="000A55AE">
      <w:pPr>
        <w:pStyle w:val="BodyText"/>
        <w:spacing w:after="0"/>
        <w:rPr>
          <w:rStyle w:val="BodySubtitleChar"/>
        </w:rPr>
      </w:pPr>
      <w:r w:rsidRPr="004A3014">
        <w:rPr>
          <w:rStyle w:val="BodySubtitleChar"/>
        </w:rPr>
        <w:t>General and Administrative Expense</w:t>
      </w:r>
      <w:r w:rsidR="005268FE">
        <w:rPr>
          <w:rStyle w:val="BodySubtitleChar"/>
        </w:rPr>
        <w:t>s</w:t>
      </w:r>
    </w:p>
    <w:p w14:paraId="2F323023" w14:textId="77777777" w:rsidR="000A55AE" w:rsidRDefault="000A55AE" w:rsidP="000A55AE"/>
    <w:p w14:paraId="7FDCA8D0" w14:textId="5E409D71" w:rsidR="006B2A98" w:rsidRDefault="006B2A98" w:rsidP="006B2A98">
      <w:r w:rsidRPr="00E47E5D">
        <w:t xml:space="preserve">Our general and administrative expenses </w:t>
      </w:r>
      <w:r w:rsidRPr="00D3101C">
        <w:t>were $</w:t>
      </w:r>
      <w:r w:rsidR="00AB1288">
        <w:t>435,013</w:t>
      </w:r>
      <w:r w:rsidRPr="00D3101C">
        <w:t xml:space="preserve"> and $</w:t>
      </w:r>
      <w:r w:rsidR="00AB1288">
        <w:t>1,364,650</w:t>
      </w:r>
      <w:r w:rsidRPr="00D3101C">
        <w:t xml:space="preserve"> for the three-month and </w:t>
      </w:r>
      <w:r w:rsidR="00AB1288">
        <w:t>nine</w:t>
      </w:r>
      <w:r w:rsidRPr="00D3101C">
        <w:t xml:space="preserve">-month periods ended </w:t>
      </w:r>
      <w:r w:rsidR="00AB1288">
        <w:t>September</w:t>
      </w:r>
      <w:r w:rsidRPr="00D3101C">
        <w:t> 30, 2020, as compared to $</w:t>
      </w:r>
      <w:r w:rsidR="00AB1288">
        <w:t>291,475</w:t>
      </w:r>
      <w:r w:rsidRPr="00D3101C">
        <w:t xml:space="preserve"> and $</w:t>
      </w:r>
      <w:r w:rsidR="00AB1288">
        <w:t>1,214,189</w:t>
      </w:r>
      <w:r w:rsidRPr="00D3101C">
        <w:t xml:space="preserve"> during the comparable periods of 2019. General and administrative costs include officers’ salaries, legal and accounting costs, patent costs, and other general corporate expenses. General and administrative expense for the three-month and </w:t>
      </w:r>
      <w:r w:rsidR="00AB1288">
        <w:t>nine</w:t>
      </w:r>
      <w:r w:rsidRPr="00D3101C">
        <w:t>-month periods of 2020 include</w:t>
      </w:r>
      <w:r w:rsidR="00911886" w:rsidRPr="00D3101C">
        <w:t>d</w:t>
      </w:r>
      <w:r w:rsidRPr="00D3101C">
        <w:t xml:space="preserve"> stock-based compensation expense of $</w:t>
      </w:r>
      <w:r w:rsidR="00AB1288">
        <w:t>6,000</w:t>
      </w:r>
      <w:r w:rsidRPr="00D3101C">
        <w:t xml:space="preserve"> and $</w:t>
      </w:r>
      <w:r w:rsidR="00AB1288">
        <w:t>24</w:t>
      </w:r>
      <w:r w:rsidR="00911886" w:rsidRPr="00D3101C">
        <w:t>,000</w:t>
      </w:r>
      <w:r w:rsidRPr="00D3101C">
        <w:t>, respectively; as compared to $</w:t>
      </w:r>
      <w:r w:rsidR="00AB1288">
        <w:t>21,342</w:t>
      </w:r>
      <w:r w:rsidRPr="00D3101C">
        <w:t xml:space="preserve"> and $</w:t>
      </w:r>
      <w:r w:rsidR="00AB1288">
        <w:t>257,097</w:t>
      </w:r>
      <w:r w:rsidRPr="00D3101C">
        <w:t>, respectively, for the comparable periods of 2019 (see discussion under “Stock-Based Compensation Expense” below). Excluding stock-based compensation expense, general and administrative expenses were $</w:t>
      </w:r>
      <w:r w:rsidR="00AB1288">
        <w:t>429,013</w:t>
      </w:r>
      <w:r w:rsidRPr="00D3101C">
        <w:t xml:space="preserve"> and $</w:t>
      </w:r>
      <w:r w:rsidR="00AB1288">
        <w:t>1,340,650</w:t>
      </w:r>
      <w:r w:rsidRPr="00D3101C">
        <w:t xml:space="preserve"> during the three-month and </w:t>
      </w:r>
      <w:r w:rsidR="00AB1288">
        <w:t>nine</w:t>
      </w:r>
      <w:r w:rsidRPr="00D3101C">
        <w:t xml:space="preserve">-month periods ended </w:t>
      </w:r>
      <w:r w:rsidR="00AB1288">
        <w:t>September</w:t>
      </w:r>
      <w:r w:rsidRPr="00D3101C">
        <w:t xml:space="preserve"> 30, 2020, respectively, as compared to $</w:t>
      </w:r>
      <w:r w:rsidR="00AB1288">
        <w:t>270,133</w:t>
      </w:r>
      <w:r w:rsidRPr="00D3101C">
        <w:t>and $</w:t>
      </w:r>
      <w:r w:rsidR="00AB1288">
        <w:t>957,092</w:t>
      </w:r>
      <w:r w:rsidRPr="00D3101C">
        <w:t>, respectively during the comparable periods of 2019, representing an increase of $</w:t>
      </w:r>
      <w:r w:rsidR="00975916">
        <w:t>383,558</w:t>
      </w:r>
      <w:r w:rsidRPr="00D3101C">
        <w:t xml:space="preserve">, or </w:t>
      </w:r>
      <w:r w:rsidR="00975916">
        <w:t>40</w:t>
      </w:r>
      <w:r w:rsidRPr="00D3101C">
        <w:t>%, from</w:t>
      </w:r>
      <w:r w:rsidRPr="009E4569">
        <w:t xml:space="preserve"> </w:t>
      </w:r>
      <w:r>
        <w:t xml:space="preserve">the </w:t>
      </w:r>
      <w:r w:rsidR="00AB1288">
        <w:t>nine</w:t>
      </w:r>
      <w:r>
        <w:t>-month period of 2019 to the comparable period of 2020</w:t>
      </w:r>
      <w:r w:rsidRPr="008D6E78">
        <w:t xml:space="preserve">. </w:t>
      </w:r>
      <w:r w:rsidRPr="00E47E5D">
        <w:rPr>
          <w:color w:val="000000"/>
        </w:rPr>
        <w:t xml:space="preserve">The overall </w:t>
      </w:r>
      <w:r w:rsidRPr="009E4569">
        <w:rPr>
          <w:color w:val="000000"/>
        </w:rPr>
        <w:t>increase</w:t>
      </w:r>
      <w:r w:rsidRPr="00E47E5D">
        <w:rPr>
          <w:color w:val="000000"/>
        </w:rPr>
        <w:t xml:space="preserve"> in </w:t>
      </w:r>
      <w:r>
        <w:rPr>
          <w:color w:val="000000"/>
        </w:rPr>
        <w:t xml:space="preserve">general and administrative expense from 2019 to 2020 is primarily attributable </w:t>
      </w:r>
      <w:r w:rsidRPr="0083192B">
        <w:rPr>
          <w:color w:val="000000"/>
        </w:rPr>
        <w:t>to higher legal</w:t>
      </w:r>
      <w:r w:rsidR="005D39B3">
        <w:rPr>
          <w:color w:val="000000"/>
        </w:rPr>
        <w:t xml:space="preserve"> and other costs associated with our capital restructuring, stockholders meetings and other corporate activities,</w:t>
      </w:r>
      <w:r w:rsidRPr="0083192B">
        <w:rPr>
          <w:color w:val="000000"/>
        </w:rPr>
        <w:t xml:space="preserve"> </w:t>
      </w:r>
      <w:r w:rsidR="005D39B3">
        <w:rPr>
          <w:color w:val="000000"/>
        </w:rPr>
        <w:t>as well as higher legal costs associated with our</w:t>
      </w:r>
      <w:r w:rsidR="00B41B9D" w:rsidRPr="0083192B">
        <w:rPr>
          <w:color w:val="000000"/>
        </w:rPr>
        <w:t xml:space="preserve"> patent </w:t>
      </w:r>
      <w:r w:rsidR="005D39B3">
        <w:rPr>
          <w:color w:val="000000"/>
        </w:rPr>
        <w:t>prosecution and negotiation of license agreements with the NIH</w:t>
      </w:r>
      <w:r w:rsidRPr="0083192B">
        <w:rPr>
          <w:color w:val="000000"/>
        </w:rPr>
        <w:t xml:space="preserve">. </w:t>
      </w:r>
      <w:r w:rsidRPr="0083192B">
        <w:t xml:space="preserve">We expect that our general and administrative costs </w:t>
      </w:r>
      <w:r w:rsidR="002869CB">
        <w:t>will</w:t>
      </w:r>
      <w:r w:rsidRPr="00F11B56">
        <w:t xml:space="preserve"> increase in the future in support of expanded research and development</w:t>
      </w:r>
      <w:r w:rsidRPr="00E47E5D">
        <w:t xml:space="preserve"> activities and other general corporate activities</w:t>
      </w:r>
      <w:r w:rsidR="002869CB">
        <w:t>.</w:t>
      </w:r>
    </w:p>
    <w:p w14:paraId="35365160" w14:textId="77777777" w:rsidR="006B2A98" w:rsidRDefault="006B2A98" w:rsidP="000A55AE">
      <w:pPr>
        <w:pStyle w:val="BodyText"/>
        <w:spacing w:after="0"/>
        <w:rPr>
          <w:rStyle w:val="BodySubtitleChar"/>
        </w:rPr>
      </w:pPr>
    </w:p>
    <w:p w14:paraId="16F8578E" w14:textId="77777777" w:rsidR="004B3B8C" w:rsidRDefault="004B3B8C">
      <w:pPr>
        <w:rPr>
          <w:rStyle w:val="BodySubtitleChar"/>
        </w:rPr>
      </w:pPr>
      <w:r>
        <w:rPr>
          <w:rStyle w:val="BodySubtitleChar"/>
        </w:rPr>
        <w:br w:type="page"/>
      </w:r>
    </w:p>
    <w:p w14:paraId="3DB48256" w14:textId="27BCF464" w:rsidR="00C323DF" w:rsidRPr="004A3014" w:rsidRDefault="00B07D72" w:rsidP="000A55AE">
      <w:pPr>
        <w:pStyle w:val="BodyText"/>
        <w:spacing w:after="0"/>
        <w:rPr>
          <w:i/>
        </w:rPr>
      </w:pPr>
      <w:r w:rsidRPr="004A3014">
        <w:rPr>
          <w:rStyle w:val="BodySubtitleChar"/>
        </w:rPr>
        <w:t>Stock-Based Compensation Expense</w:t>
      </w:r>
    </w:p>
    <w:p w14:paraId="0F2C7D45" w14:textId="77777777" w:rsidR="000A55AE" w:rsidRDefault="000A55AE" w:rsidP="000A55AE">
      <w:pPr>
        <w:pStyle w:val="BodyText"/>
        <w:spacing w:after="0"/>
        <w:rPr>
          <w:color w:val="000000"/>
        </w:rPr>
      </w:pPr>
    </w:p>
    <w:p w14:paraId="18EDE5F6" w14:textId="433123AD" w:rsidR="006B2A98" w:rsidRDefault="006B2A98" w:rsidP="006B2A98">
      <w:pPr>
        <w:pStyle w:val="BodyText"/>
        <w:spacing w:after="0"/>
      </w:pPr>
      <w:r>
        <w:rPr>
          <w:color w:val="000000"/>
        </w:rPr>
        <w:t xml:space="preserve">The table below shows the components of stock-based compensation expense for the three-month and </w:t>
      </w:r>
      <w:r w:rsidR="00AB1288">
        <w:rPr>
          <w:color w:val="000000"/>
        </w:rPr>
        <w:t>nine</w:t>
      </w:r>
      <w:r>
        <w:rPr>
          <w:color w:val="000000"/>
        </w:rPr>
        <w:t xml:space="preserve">-month periods ended </w:t>
      </w:r>
      <w:r w:rsidR="00AB1288">
        <w:rPr>
          <w:color w:val="000000"/>
        </w:rPr>
        <w:t>September</w:t>
      </w:r>
      <w:r>
        <w:rPr>
          <w:color w:val="000000"/>
        </w:rPr>
        <w:t xml:space="preserve"> 30, 2020 and 2019. </w:t>
      </w:r>
      <w:r w:rsidRPr="006B2A98">
        <w:t xml:space="preserve"> </w:t>
      </w:r>
      <w:r w:rsidRPr="00137D87">
        <w:t>In general, stock-based compensation expense is allocated to research and development expense or general and administrative expense according to the classification of cash compensation paid to the employee, consultant or director to whom the stock compensation was granted.</w:t>
      </w:r>
    </w:p>
    <w:p w14:paraId="1D587412" w14:textId="6438604C" w:rsidR="006B2A98" w:rsidRDefault="006B2A98" w:rsidP="006B2A98">
      <w:pPr>
        <w:pStyle w:val="BodyText"/>
        <w:spacing w:after="0"/>
        <w:rPr>
          <w:color w:val="000000"/>
        </w:rPr>
      </w:pPr>
    </w:p>
    <w:p w14:paraId="61D32FF4" w14:textId="77777777" w:rsidR="00A16FBD" w:rsidRDefault="00A16FBD" w:rsidP="006B2A98">
      <w:pPr>
        <w:pStyle w:val="BodyText"/>
        <w:spacing w:after="0"/>
        <w:rPr>
          <w:color w:val="000000"/>
        </w:rPr>
      </w:pPr>
    </w:p>
    <w:tbl>
      <w:tblPr>
        <w:tblW w:w="0" w:type="auto"/>
        <w:tblLook w:val="01E0" w:firstRow="1" w:lastRow="1" w:firstColumn="1" w:lastColumn="1" w:noHBand="0" w:noVBand="0"/>
      </w:tblPr>
      <w:tblGrid>
        <w:gridCol w:w="3944"/>
        <w:gridCol w:w="1499"/>
        <w:gridCol w:w="1498"/>
        <w:gridCol w:w="1498"/>
        <w:gridCol w:w="1497"/>
      </w:tblGrid>
      <w:tr w:rsidR="006B2A98" w:rsidRPr="00C44927" w14:paraId="703B86BC" w14:textId="77777777" w:rsidTr="00A2288D">
        <w:tc>
          <w:tcPr>
            <w:tcW w:w="4108" w:type="dxa"/>
          </w:tcPr>
          <w:p w14:paraId="799BC882" w14:textId="77777777" w:rsidR="006B2A98" w:rsidRPr="00C44927" w:rsidRDefault="006B2A98" w:rsidP="00A2288D">
            <w:pPr>
              <w:rPr>
                <w:color w:val="000000"/>
              </w:rPr>
            </w:pPr>
          </w:p>
        </w:tc>
        <w:tc>
          <w:tcPr>
            <w:tcW w:w="3022" w:type="dxa"/>
            <w:gridSpan w:val="2"/>
            <w:tcBorders>
              <w:bottom w:val="single" w:sz="4" w:space="0" w:color="auto"/>
            </w:tcBorders>
          </w:tcPr>
          <w:p w14:paraId="686821A1" w14:textId="21415750" w:rsidR="006B2A98" w:rsidRPr="00C44927" w:rsidRDefault="006B2A98" w:rsidP="00A2288D">
            <w:pPr>
              <w:jc w:val="center"/>
              <w:rPr>
                <w:color w:val="000000"/>
              </w:rPr>
            </w:pPr>
            <w:r w:rsidRPr="00C44927">
              <w:rPr>
                <w:color w:val="000000"/>
              </w:rPr>
              <w:t xml:space="preserve">Three Months Ended </w:t>
            </w:r>
            <w:r w:rsidR="00AB1288">
              <w:rPr>
                <w:color w:val="000000"/>
              </w:rPr>
              <w:t>Sep</w:t>
            </w:r>
            <w:r w:rsidRPr="00C44927">
              <w:rPr>
                <w:color w:val="000000"/>
              </w:rPr>
              <w:t xml:space="preserve"> 30,</w:t>
            </w:r>
          </w:p>
        </w:tc>
        <w:tc>
          <w:tcPr>
            <w:tcW w:w="3022" w:type="dxa"/>
            <w:gridSpan w:val="2"/>
            <w:tcBorders>
              <w:bottom w:val="single" w:sz="4" w:space="0" w:color="auto"/>
            </w:tcBorders>
          </w:tcPr>
          <w:p w14:paraId="7DDF07CF" w14:textId="4697FB2D" w:rsidR="006B2A98" w:rsidRPr="00C44927" w:rsidRDefault="00AB1288" w:rsidP="00A2288D">
            <w:pPr>
              <w:jc w:val="center"/>
              <w:rPr>
                <w:color w:val="000000"/>
              </w:rPr>
            </w:pPr>
            <w:r>
              <w:rPr>
                <w:color w:val="000000"/>
              </w:rPr>
              <w:t>Nine</w:t>
            </w:r>
            <w:r w:rsidR="006B2A98" w:rsidRPr="00C44927">
              <w:rPr>
                <w:color w:val="000000"/>
              </w:rPr>
              <w:t xml:space="preserve"> Months Ended </w:t>
            </w:r>
            <w:r>
              <w:rPr>
                <w:color w:val="000000"/>
              </w:rPr>
              <w:t>Sep</w:t>
            </w:r>
            <w:r w:rsidR="006B2A98" w:rsidRPr="00C44927">
              <w:rPr>
                <w:color w:val="000000"/>
              </w:rPr>
              <w:t xml:space="preserve"> 30,</w:t>
            </w:r>
          </w:p>
        </w:tc>
      </w:tr>
      <w:tr w:rsidR="006B2A98" w:rsidRPr="00C44927" w14:paraId="32735B90" w14:textId="77777777" w:rsidTr="00A2288D">
        <w:tc>
          <w:tcPr>
            <w:tcW w:w="4108" w:type="dxa"/>
            <w:tcBorders>
              <w:bottom w:val="single" w:sz="4" w:space="0" w:color="auto"/>
            </w:tcBorders>
          </w:tcPr>
          <w:p w14:paraId="36ACC1EC" w14:textId="77777777" w:rsidR="006B2A98" w:rsidRPr="00C44927" w:rsidRDefault="006B2A98" w:rsidP="00A2288D">
            <w:pPr>
              <w:rPr>
                <w:color w:val="000000"/>
              </w:rPr>
            </w:pPr>
          </w:p>
        </w:tc>
        <w:tc>
          <w:tcPr>
            <w:tcW w:w="1511" w:type="dxa"/>
            <w:tcBorders>
              <w:top w:val="single" w:sz="4" w:space="0" w:color="auto"/>
              <w:bottom w:val="single" w:sz="4" w:space="0" w:color="auto"/>
            </w:tcBorders>
          </w:tcPr>
          <w:p w14:paraId="1C985CAB" w14:textId="627BE60B" w:rsidR="006B2A98" w:rsidRPr="00C44927" w:rsidRDefault="006B2A98" w:rsidP="00A2288D">
            <w:pPr>
              <w:jc w:val="center"/>
              <w:rPr>
                <w:color w:val="000000"/>
              </w:rPr>
            </w:pPr>
            <w:r>
              <w:rPr>
                <w:color w:val="000000"/>
              </w:rPr>
              <w:t>2020</w:t>
            </w:r>
          </w:p>
        </w:tc>
        <w:tc>
          <w:tcPr>
            <w:tcW w:w="1511" w:type="dxa"/>
            <w:tcBorders>
              <w:top w:val="single" w:sz="4" w:space="0" w:color="auto"/>
              <w:bottom w:val="single" w:sz="4" w:space="0" w:color="auto"/>
            </w:tcBorders>
          </w:tcPr>
          <w:p w14:paraId="1C27CF1C" w14:textId="0179FCD8" w:rsidR="006B2A98" w:rsidRPr="00C44927" w:rsidRDefault="006B2A98" w:rsidP="00A2288D">
            <w:pPr>
              <w:jc w:val="center"/>
              <w:rPr>
                <w:color w:val="000000"/>
              </w:rPr>
            </w:pPr>
            <w:r>
              <w:rPr>
                <w:color w:val="000000"/>
              </w:rPr>
              <w:t>2019</w:t>
            </w:r>
          </w:p>
        </w:tc>
        <w:tc>
          <w:tcPr>
            <w:tcW w:w="1511" w:type="dxa"/>
            <w:tcBorders>
              <w:bottom w:val="single" w:sz="4" w:space="0" w:color="auto"/>
            </w:tcBorders>
          </w:tcPr>
          <w:p w14:paraId="3E41277C" w14:textId="12AF71AC" w:rsidR="006B2A98" w:rsidRPr="00C44927" w:rsidRDefault="006B2A98" w:rsidP="00A2288D">
            <w:pPr>
              <w:jc w:val="center"/>
              <w:rPr>
                <w:color w:val="000000"/>
              </w:rPr>
            </w:pPr>
            <w:r>
              <w:rPr>
                <w:color w:val="000000"/>
              </w:rPr>
              <w:t>2020</w:t>
            </w:r>
          </w:p>
        </w:tc>
        <w:tc>
          <w:tcPr>
            <w:tcW w:w="1511" w:type="dxa"/>
            <w:tcBorders>
              <w:bottom w:val="single" w:sz="4" w:space="0" w:color="auto"/>
            </w:tcBorders>
          </w:tcPr>
          <w:p w14:paraId="6494905E" w14:textId="6180E819" w:rsidR="006B2A98" w:rsidRPr="00C44927" w:rsidRDefault="006B2A98" w:rsidP="00A2288D">
            <w:pPr>
              <w:jc w:val="center"/>
              <w:rPr>
                <w:color w:val="000000"/>
              </w:rPr>
            </w:pPr>
            <w:r>
              <w:rPr>
                <w:color w:val="000000"/>
              </w:rPr>
              <w:t>2019</w:t>
            </w:r>
          </w:p>
        </w:tc>
      </w:tr>
      <w:tr w:rsidR="006B2A98" w:rsidRPr="00C44927" w14:paraId="055710F2" w14:textId="77777777" w:rsidTr="00A2288D">
        <w:tc>
          <w:tcPr>
            <w:tcW w:w="4108" w:type="dxa"/>
            <w:tcBorders>
              <w:top w:val="single" w:sz="4" w:space="0" w:color="auto"/>
            </w:tcBorders>
          </w:tcPr>
          <w:p w14:paraId="0E8C6EFE" w14:textId="77777777" w:rsidR="006B2A98" w:rsidRPr="00C44927" w:rsidRDefault="006B2A98" w:rsidP="00A2288D">
            <w:pPr>
              <w:rPr>
                <w:color w:val="000000"/>
              </w:rPr>
            </w:pPr>
            <w:r>
              <w:rPr>
                <w:color w:val="000000"/>
              </w:rPr>
              <w:t>Stock option expense</w:t>
            </w:r>
          </w:p>
        </w:tc>
        <w:tc>
          <w:tcPr>
            <w:tcW w:w="1511" w:type="dxa"/>
            <w:tcBorders>
              <w:top w:val="single" w:sz="4" w:space="0" w:color="auto"/>
            </w:tcBorders>
          </w:tcPr>
          <w:p w14:paraId="3C8ACB48" w14:textId="10549A8E" w:rsidR="006B2A98" w:rsidRPr="00C44927" w:rsidRDefault="006B2A98" w:rsidP="00A2288D">
            <w:pPr>
              <w:tabs>
                <w:tab w:val="decimal" w:pos="1092"/>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33A56E29" w14:textId="06C42856" w:rsidR="006B2A98" w:rsidRPr="00C44927" w:rsidRDefault="006B2A98" w:rsidP="00A2288D">
            <w:pPr>
              <w:tabs>
                <w:tab w:val="decimal" w:pos="1081"/>
              </w:tabs>
              <w:rPr>
                <w:color w:val="000000"/>
              </w:rPr>
            </w:pPr>
            <w:r>
              <w:rPr>
                <w:color w:val="000000"/>
              </w:rPr>
              <w:t xml:space="preserve">$ </w:t>
            </w:r>
            <w:r w:rsidRPr="00C44927">
              <w:rPr>
                <w:color w:val="000000"/>
              </w:rPr>
              <w:t xml:space="preserve"> </w:t>
            </w:r>
            <w:r w:rsidR="00AB1288">
              <w:rPr>
                <w:color w:val="000000"/>
              </w:rPr>
              <w:t>26,348</w:t>
            </w:r>
          </w:p>
        </w:tc>
        <w:tc>
          <w:tcPr>
            <w:tcW w:w="1511" w:type="dxa"/>
            <w:tcBorders>
              <w:top w:val="single" w:sz="4" w:space="0" w:color="auto"/>
            </w:tcBorders>
          </w:tcPr>
          <w:p w14:paraId="6C7FEF09" w14:textId="55EAE027" w:rsidR="006B2A98" w:rsidRPr="00C44927" w:rsidRDefault="006B2A98" w:rsidP="00A2288D">
            <w:pPr>
              <w:tabs>
                <w:tab w:val="decimal" w:pos="1070"/>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03022BCD" w14:textId="3C9C8E9B" w:rsidR="006B2A98" w:rsidRPr="00C44927" w:rsidRDefault="006B2A98" w:rsidP="00A2288D">
            <w:pPr>
              <w:tabs>
                <w:tab w:val="decimal" w:pos="1059"/>
              </w:tabs>
              <w:rPr>
                <w:color w:val="000000"/>
              </w:rPr>
            </w:pPr>
            <w:r>
              <w:rPr>
                <w:color w:val="000000"/>
              </w:rPr>
              <w:t xml:space="preserve">$   </w:t>
            </w:r>
            <w:r w:rsidR="00AB1288">
              <w:rPr>
                <w:color w:val="000000"/>
              </w:rPr>
              <w:t>79,664</w:t>
            </w:r>
          </w:p>
        </w:tc>
      </w:tr>
      <w:tr w:rsidR="006B2A98" w:rsidRPr="00C44927" w14:paraId="5C5DC405" w14:textId="77777777" w:rsidTr="00A2288D">
        <w:tc>
          <w:tcPr>
            <w:tcW w:w="4108" w:type="dxa"/>
          </w:tcPr>
          <w:p w14:paraId="7831D39A" w14:textId="77777777" w:rsidR="006B2A98" w:rsidRPr="00C44927" w:rsidRDefault="006B2A98" w:rsidP="00A2288D">
            <w:pPr>
              <w:rPr>
                <w:color w:val="000000"/>
              </w:rPr>
            </w:pPr>
            <w:r>
              <w:rPr>
                <w:color w:val="000000"/>
              </w:rPr>
              <w:t>Stock issued for services</w:t>
            </w:r>
          </w:p>
        </w:tc>
        <w:tc>
          <w:tcPr>
            <w:tcW w:w="1511" w:type="dxa"/>
            <w:tcBorders>
              <w:bottom w:val="single" w:sz="4" w:space="0" w:color="auto"/>
            </w:tcBorders>
          </w:tcPr>
          <w:p w14:paraId="2A8FBAEA" w14:textId="4A59F478" w:rsidR="006B2A98" w:rsidRPr="00C44927" w:rsidRDefault="00AB1288" w:rsidP="00A2288D">
            <w:pPr>
              <w:tabs>
                <w:tab w:val="decimal" w:pos="1092"/>
              </w:tabs>
              <w:rPr>
                <w:color w:val="000000"/>
              </w:rPr>
            </w:pPr>
            <w:r>
              <w:rPr>
                <w:color w:val="000000"/>
              </w:rPr>
              <w:t>6,000</w:t>
            </w:r>
          </w:p>
        </w:tc>
        <w:tc>
          <w:tcPr>
            <w:tcW w:w="1511" w:type="dxa"/>
            <w:tcBorders>
              <w:bottom w:val="single" w:sz="4" w:space="0" w:color="auto"/>
            </w:tcBorders>
          </w:tcPr>
          <w:p w14:paraId="67027700" w14:textId="16B3F982" w:rsidR="006B2A98" w:rsidRPr="00C44927" w:rsidRDefault="00AB1288" w:rsidP="00A2288D">
            <w:pPr>
              <w:tabs>
                <w:tab w:val="decimal" w:pos="1081"/>
              </w:tabs>
              <w:rPr>
                <w:color w:val="000000"/>
              </w:rPr>
            </w:pPr>
            <w:r>
              <w:rPr>
                <w:color w:val="000000"/>
              </w:rPr>
              <w:t>6,000</w:t>
            </w:r>
          </w:p>
        </w:tc>
        <w:tc>
          <w:tcPr>
            <w:tcW w:w="1511" w:type="dxa"/>
            <w:tcBorders>
              <w:bottom w:val="single" w:sz="4" w:space="0" w:color="auto"/>
            </w:tcBorders>
          </w:tcPr>
          <w:p w14:paraId="649C2C97" w14:textId="5FF965F8" w:rsidR="006B2A98" w:rsidRPr="00C44927" w:rsidRDefault="00AB1288" w:rsidP="00A2288D">
            <w:pPr>
              <w:tabs>
                <w:tab w:val="decimal" w:pos="1070"/>
              </w:tabs>
              <w:rPr>
                <w:color w:val="000000"/>
              </w:rPr>
            </w:pPr>
            <w:r>
              <w:rPr>
                <w:color w:val="000000"/>
              </w:rPr>
              <w:t>24</w:t>
            </w:r>
            <w:r w:rsidR="00911886">
              <w:rPr>
                <w:color w:val="000000"/>
              </w:rPr>
              <w:t>,000</w:t>
            </w:r>
          </w:p>
        </w:tc>
        <w:tc>
          <w:tcPr>
            <w:tcW w:w="1511" w:type="dxa"/>
            <w:tcBorders>
              <w:bottom w:val="single" w:sz="4" w:space="0" w:color="auto"/>
            </w:tcBorders>
          </w:tcPr>
          <w:p w14:paraId="566784C8" w14:textId="44EE5BCD" w:rsidR="006B2A98" w:rsidRPr="00C44927" w:rsidRDefault="006B2A98" w:rsidP="00A2288D">
            <w:pPr>
              <w:tabs>
                <w:tab w:val="decimal" w:pos="1059"/>
              </w:tabs>
              <w:rPr>
                <w:color w:val="000000"/>
              </w:rPr>
            </w:pPr>
            <w:r>
              <w:rPr>
                <w:color w:val="000000"/>
              </w:rPr>
              <w:t>2</w:t>
            </w:r>
            <w:r w:rsidR="00AB1288">
              <w:rPr>
                <w:color w:val="000000"/>
              </w:rPr>
              <w:t>11,080</w:t>
            </w:r>
          </w:p>
        </w:tc>
      </w:tr>
      <w:tr w:rsidR="006B2A98" w:rsidRPr="00C44927" w14:paraId="46D73F71" w14:textId="77777777" w:rsidTr="00A2288D">
        <w:tc>
          <w:tcPr>
            <w:tcW w:w="4108" w:type="dxa"/>
          </w:tcPr>
          <w:p w14:paraId="1435EC14" w14:textId="77777777" w:rsidR="006B2A98" w:rsidRPr="00C44927" w:rsidRDefault="006B2A98" w:rsidP="00A2288D">
            <w:pPr>
              <w:rPr>
                <w:color w:val="000000"/>
              </w:rPr>
            </w:pPr>
            <w:r>
              <w:rPr>
                <w:color w:val="000000"/>
              </w:rPr>
              <w:t>Total stock-based compensation e</w:t>
            </w:r>
            <w:r w:rsidRPr="00C44927">
              <w:rPr>
                <w:color w:val="000000"/>
              </w:rPr>
              <w:t>xpense</w:t>
            </w:r>
          </w:p>
        </w:tc>
        <w:tc>
          <w:tcPr>
            <w:tcW w:w="1511" w:type="dxa"/>
            <w:tcBorders>
              <w:top w:val="single" w:sz="4" w:space="0" w:color="auto"/>
              <w:bottom w:val="double" w:sz="4" w:space="0" w:color="auto"/>
            </w:tcBorders>
          </w:tcPr>
          <w:p w14:paraId="73AE8332" w14:textId="1CECDE05" w:rsidR="006B2A98" w:rsidRPr="00C44927" w:rsidRDefault="006B2A98" w:rsidP="00A2288D">
            <w:pPr>
              <w:tabs>
                <w:tab w:val="decimal" w:pos="1092"/>
              </w:tabs>
              <w:rPr>
                <w:color w:val="000000"/>
              </w:rPr>
            </w:pPr>
            <w:r w:rsidRPr="00C44927">
              <w:rPr>
                <w:color w:val="000000"/>
              </w:rPr>
              <w:t xml:space="preserve">$ </w:t>
            </w:r>
            <w:r w:rsidR="00AB1288">
              <w:rPr>
                <w:color w:val="000000"/>
              </w:rPr>
              <w:t>6,000</w:t>
            </w:r>
          </w:p>
        </w:tc>
        <w:tc>
          <w:tcPr>
            <w:tcW w:w="1511" w:type="dxa"/>
            <w:tcBorders>
              <w:top w:val="single" w:sz="4" w:space="0" w:color="auto"/>
              <w:bottom w:val="double" w:sz="4" w:space="0" w:color="auto"/>
            </w:tcBorders>
          </w:tcPr>
          <w:p w14:paraId="08EBFD65" w14:textId="668AE618" w:rsidR="006B2A98" w:rsidRPr="00C44927" w:rsidRDefault="006B2A98" w:rsidP="00A2288D">
            <w:pPr>
              <w:tabs>
                <w:tab w:val="decimal" w:pos="1081"/>
              </w:tabs>
              <w:rPr>
                <w:color w:val="000000"/>
              </w:rPr>
            </w:pPr>
            <w:r>
              <w:rPr>
                <w:color w:val="000000"/>
              </w:rPr>
              <w:t xml:space="preserve">$ </w:t>
            </w:r>
            <w:r w:rsidR="00AB1288">
              <w:rPr>
                <w:color w:val="000000"/>
              </w:rPr>
              <w:t>32,348</w:t>
            </w:r>
          </w:p>
        </w:tc>
        <w:tc>
          <w:tcPr>
            <w:tcW w:w="1511" w:type="dxa"/>
            <w:tcBorders>
              <w:top w:val="single" w:sz="4" w:space="0" w:color="auto"/>
              <w:bottom w:val="double" w:sz="4" w:space="0" w:color="auto"/>
            </w:tcBorders>
          </w:tcPr>
          <w:p w14:paraId="6064B247" w14:textId="2F54BAFB" w:rsidR="006B2A98" w:rsidRPr="00C44927" w:rsidRDefault="006B2A98" w:rsidP="00A2288D">
            <w:pPr>
              <w:tabs>
                <w:tab w:val="decimal" w:pos="1070"/>
              </w:tabs>
              <w:rPr>
                <w:color w:val="000000"/>
              </w:rPr>
            </w:pPr>
            <w:r>
              <w:rPr>
                <w:color w:val="000000"/>
              </w:rPr>
              <w:t xml:space="preserve">$ </w:t>
            </w:r>
            <w:r w:rsidR="00AB1288">
              <w:rPr>
                <w:color w:val="000000"/>
              </w:rPr>
              <w:t>24</w:t>
            </w:r>
            <w:r w:rsidR="00911886">
              <w:rPr>
                <w:color w:val="000000"/>
              </w:rPr>
              <w:t>,000</w:t>
            </w:r>
          </w:p>
        </w:tc>
        <w:tc>
          <w:tcPr>
            <w:tcW w:w="1511" w:type="dxa"/>
            <w:tcBorders>
              <w:top w:val="single" w:sz="4" w:space="0" w:color="auto"/>
              <w:bottom w:val="double" w:sz="4" w:space="0" w:color="auto"/>
            </w:tcBorders>
          </w:tcPr>
          <w:p w14:paraId="12183C8A" w14:textId="775B97C4" w:rsidR="006B2A98" w:rsidRPr="00C44927" w:rsidRDefault="006B2A98" w:rsidP="00A2288D">
            <w:pPr>
              <w:tabs>
                <w:tab w:val="decimal" w:pos="1059"/>
              </w:tabs>
              <w:rPr>
                <w:color w:val="000000"/>
              </w:rPr>
            </w:pPr>
            <w:r>
              <w:rPr>
                <w:color w:val="000000"/>
              </w:rPr>
              <w:t xml:space="preserve">$ </w:t>
            </w:r>
            <w:r w:rsidR="00AB1288">
              <w:rPr>
                <w:color w:val="000000"/>
              </w:rPr>
              <w:t>290,744</w:t>
            </w:r>
          </w:p>
        </w:tc>
      </w:tr>
    </w:tbl>
    <w:p w14:paraId="52A4D78C" w14:textId="0D768393" w:rsidR="006B2A98" w:rsidRDefault="006B2A98" w:rsidP="000A55AE">
      <w:pPr>
        <w:pStyle w:val="BodyText"/>
        <w:spacing w:after="0"/>
        <w:rPr>
          <w:rStyle w:val="BodySubtitleChar"/>
        </w:rPr>
      </w:pPr>
    </w:p>
    <w:p w14:paraId="0B97F812" w14:textId="7F42609B" w:rsidR="00F65A59" w:rsidRPr="001B5698" w:rsidRDefault="00975916" w:rsidP="0083192B">
      <w:r>
        <w:t xml:space="preserve">The reverse stock splits enacted in April 2019 and in January 2020 automatically adjusted our outstanding stock options such that the </w:t>
      </w:r>
      <w:r w:rsidR="00831757">
        <w:t>number of such option</w:t>
      </w:r>
      <w:r w:rsidR="00140823">
        <w:t>s</w:t>
      </w:r>
      <w:r w:rsidR="00831757">
        <w:t xml:space="preserve"> as of </w:t>
      </w:r>
      <w:r>
        <w:t>January</w:t>
      </w:r>
      <w:r w:rsidR="00831757">
        <w:t xml:space="preserve"> 1,</w:t>
      </w:r>
      <w:r>
        <w:t xml:space="preserve"> 2020 </w:t>
      </w:r>
      <w:r w:rsidR="00831757">
        <w:t>was</w:t>
      </w:r>
      <w:r>
        <w:t xml:space="preserve"> negligible.</w:t>
      </w:r>
      <w:r w:rsidR="00831757">
        <w:t xml:space="preserve">  No new stock options were granted during the nine-month period ended September 30, 2020. </w:t>
      </w:r>
      <w:r w:rsidR="0083192B">
        <w:t>We therefore recorded no</w:t>
      </w:r>
      <w:r w:rsidR="0083192B" w:rsidRPr="00125121">
        <w:t xml:space="preserve"> </w:t>
      </w:r>
      <w:r w:rsidR="0083192B" w:rsidRPr="001B5698">
        <w:t xml:space="preserve">stock-based compensation expense related to our stock option plan for the three-month or </w:t>
      </w:r>
      <w:r w:rsidR="00E51470">
        <w:t>nine</w:t>
      </w:r>
      <w:r w:rsidR="0083192B" w:rsidRPr="001B5698">
        <w:t xml:space="preserve">-month periods ended </w:t>
      </w:r>
      <w:r w:rsidR="00E51470">
        <w:t>September</w:t>
      </w:r>
      <w:r w:rsidR="0083192B" w:rsidRPr="001B5698">
        <w:t xml:space="preserve"> 30, 2020. </w:t>
      </w:r>
      <w:r w:rsidR="005731AE">
        <w:t>We expect to make additional</w:t>
      </w:r>
      <w:r w:rsidR="00F65A59" w:rsidRPr="001B5698">
        <w:t xml:space="preserve"> grants under our 2020 Stock Incentive Plan </w:t>
      </w:r>
      <w:r w:rsidR="005731AE">
        <w:t>and</w:t>
      </w:r>
      <w:r w:rsidR="00F65A59" w:rsidRPr="001B5698">
        <w:t xml:space="preserve"> will </w:t>
      </w:r>
      <w:r w:rsidR="005731AE">
        <w:t xml:space="preserve">therefore </w:t>
      </w:r>
      <w:r w:rsidR="00F65A59" w:rsidRPr="001B5698">
        <w:t>incur related compensation expenses.</w:t>
      </w:r>
    </w:p>
    <w:p w14:paraId="105AECCA" w14:textId="77777777" w:rsidR="00F65A59" w:rsidRPr="001B5698" w:rsidRDefault="00F65A59" w:rsidP="0083192B"/>
    <w:p w14:paraId="6B6DC9A2" w14:textId="56062C46" w:rsidR="0083192B" w:rsidRPr="0083192B" w:rsidRDefault="0083192B" w:rsidP="0083192B">
      <w:r w:rsidRPr="001B5698">
        <w:t xml:space="preserve">During the three-month </w:t>
      </w:r>
      <w:r>
        <w:t xml:space="preserve">and </w:t>
      </w:r>
      <w:r w:rsidR="00E14EAC">
        <w:t>nine</w:t>
      </w:r>
      <w:r>
        <w:t xml:space="preserve">-month </w:t>
      </w:r>
      <w:r w:rsidRPr="00E0278C">
        <w:t>period</w:t>
      </w:r>
      <w:r>
        <w:t>s</w:t>
      </w:r>
      <w:r w:rsidRPr="00E0278C">
        <w:t xml:space="preserve"> ended </w:t>
      </w:r>
      <w:r w:rsidR="00E14EAC">
        <w:t>September</w:t>
      </w:r>
      <w:r>
        <w:t xml:space="preserve"> 30</w:t>
      </w:r>
      <w:r w:rsidRPr="00E0278C">
        <w:t>, 20</w:t>
      </w:r>
      <w:r>
        <w:t>20</w:t>
      </w:r>
      <w:r w:rsidRPr="00E0278C">
        <w:t xml:space="preserve"> we recorded stock-based compensation expense of $</w:t>
      </w:r>
      <w:r w:rsidR="00E14EAC">
        <w:t>6</w:t>
      </w:r>
      <w:r>
        <w:t>,000 and $</w:t>
      </w:r>
      <w:r w:rsidR="00E14EAC">
        <w:t>24</w:t>
      </w:r>
      <w:r>
        <w:t>,000, respectively,</w:t>
      </w:r>
      <w:r w:rsidRPr="00E0278C">
        <w:t xml:space="preserve"> associated with common stock issued for </w:t>
      </w:r>
      <w:r>
        <w:t>a consulting agreement, as compared to $</w:t>
      </w:r>
      <w:r w:rsidR="00530AE4">
        <w:t>6</w:t>
      </w:r>
      <w:r w:rsidR="00E14EAC">
        <w:t>,000</w:t>
      </w:r>
      <w:r>
        <w:t xml:space="preserve"> and $</w:t>
      </w:r>
      <w:r w:rsidR="00E14EAC">
        <w:t>211,080</w:t>
      </w:r>
      <w:r>
        <w:t>, respectively, during the same periods of 2019,</w:t>
      </w:r>
      <w:r w:rsidRPr="00E02787">
        <w:t xml:space="preserve"> </w:t>
      </w:r>
      <w:r w:rsidRPr="00E0278C">
        <w:t xml:space="preserve">associated with common stock issued for </w:t>
      </w:r>
      <w:r>
        <w:t xml:space="preserve">consulting and </w:t>
      </w:r>
      <w:r w:rsidRPr="00E0278C">
        <w:t>financial advisory services</w:t>
      </w:r>
      <w:r>
        <w:t>.</w:t>
      </w:r>
    </w:p>
    <w:p w14:paraId="3BFDBC3C" w14:textId="77777777" w:rsidR="0083192B" w:rsidRDefault="0083192B"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7FEB73F5" w14:textId="77777777" w:rsidR="000A55AE" w:rsidRDefault="000A55AE" w:rsidP="000A55AE">
      <w:pPr>
        <w:pStyle w:val="BodyText"/>
        <w:spacing w:after="0"/>
      </w:pPr>
      <w:bookmarkStart w:id="34" w:name="_Hlk511146650"/>
      <w:bookmarkStart w:id="35" w:name="_Toc197922411"/>
    </w:p>
    <w:p w14:paraId="6CE34357" w14:textId="77777777" w:rsidR="007372BE" w:rsidRDefault="006B2A98" w:rsidP="006B2A98">
      <w:pPr>
        <w:pStyle w:val="BodyText"/>
        <w:spacing w:after="0"/>
      </w:pPr>
      <w:r>
        <w:t>Interest income for the three-</w:t>
      </w:r>
      <w:r w:rsidRPr="00184417">
        <w:t>mont</w:t>
      </w:r>
      <w:r>
        <w:t>h</w:t>
      </w:r>
      <w:r w:rsidRPr="00184417">
        <w:t xml:space="preserve"> </w:t>
      </w:r>
      <w:r>
        <w:t xml:space="preserve">and </w:t>
      </w:r>
      <w:r w:rsidR="00E14EAC">
        <w:t>nine</w:t>
      </w:r>
      <w:r>
        <w:t xml:space="preserve">-month periods </w:t>
      </w:r>
      <w:r w:rsidRPr="00184417">
        <w:t xml:space="preserve">ended </w:t>
      </w:r>
      <w:r w:rsidR="00E14EAC">
        <w:t>September</w:t>
      </w:r>
      <w:r>
        <w:t xml:space="preserve"> 30, 20</w:t>
      </w:r>
      <w:r w:rsidR="005A62F5">
        <w:t>20</w:t>
      </w:r>
      <w:r w:rsidRPr="00184417">
        <w:t xml:space="preserve"> was $</w:t>
      </w:r>
      <w:r w:rsidR="00E14EAC">
        <w:t>90</w:t>
      </w:r>
      <w:r>
        <w:t xml:space="preserve"> and $</w:t>
      </w:r>
      <w:r w:rsidR="00E14EAC">
        <w:t>902</w:t>
      </w:r>
      <w:r>
        <w:t xml:space="preserve">, respectively, </w:t>
      </w:r>
      <w:r w:rsidRPr="00184417">
        <w:t xml:space="preserve">as </w:t>
      </w:r>
      <w:r w:rsidRPr="00D311E6">
        <w:t xml:space="preserve">compared to </w:t>
      </w:r>
      <w:r>
        <w:t>$</w:t>
      </w:r>
      <w:r w:rsidR="00E14EAC">
        <w:t>2,560</w:t>
      </w:r>
      <w:r>
        <w:t xml:space="preserve"> and $</w:t>
      </w:r>
      <w:r w:rsidR="00E14EAC">
        <w:t>4,665</w:t>
      </w:r>
      <w:r>
        <w:t>, respectively,</w:t>
      </w:r>
      <w:r w:rsidRPr="00D311E6">
        <w:t xml:space="preserve"> for </w:t>
      </w:r>
      <w:r>
        <w:t xml:space="preserve">comparable periods of 2019. </w:t>
      </w:r>
      <w:r w:rsidRPr="001C6303">
        <w:t>The variances between periods are</w:t>
      </w:r>
      <w:r>
        <w:t xml:space="preserve"> primarily</w:t>
      </w:r>
      <w:r w:rsidRPr="001C6303">
        <w:t xml:space="preserve"> attributable to </w:t>
      </w:r>
      <w:r>
        <w:t>cash available for investment and interest rate fluctuations.</w:t>
      </w:r>
      <w:r w:rsidRPr="008D6E78">
        <w:t xml:space="preserve"> </w:t>
      </w:r>
    </w:p>
    <w:p w14:paraId="139325BF" w14:textId="77777777" w:rsidR="007372BE" w:rsidRDefault="007372BE" w:rsidP="006B2A98">
      <w:pPr>
        <w:pStyle w:val="BodyText"/>
        <w:spacing w:after="0"/>
      </w:pPr>
    </w:p>
    <w:p w14:paraId="3525AA06" w14:textId="0443EBE6" w:rsidR="006B2A98" w:rsidRDefault="006B2A98" w:rsidP="006B2A98">
      <w:pPr>
        <w:pStyle w:val="BodyText"/>
        <w:spacing w:after="0"/>
      </w:pPr>
      <w:r>
        <w:t>Interest expense for the three-</w:t>
      </w:r>
      <w:r w:rsidRPr="00184417">
        <w:t>mont</w:t>
      </w:r>
      <w:r>
        <w:t>h</w:t>
      </w:r>
      <w:r w:rsidRPr="00184417">
        <w:t xml:space="preserve"> </w:t>
      </w:r>
      <w:r>
        <w:t xml:space="preserve">and </w:t>
      </w:r>
      <w:r w:rsidR="00E14EAC">
        <w:t>nine</w:t>
      </w:r>
      <w:r>
        <w:t xml:space="preserve">-month periods </w:t>
      </w:r>
      <w:r w:rsidRPr="00184417">
        <w:t xml:space="preserve">ended </w:t>
      </w:r>
      <w:r w:rsidR="00E14EAC">
        <w:t>September</w:t>
      </w:r>
      <w:r>
        <w:t xml:space="preserve"> 30, 20</w:t>
      </w:r>
      <w:r w:rsidR="005A62F5">
        <w:t>20</w:t>
      </w:r>
      <w:r w:rsidRPr="00184417">
        <w:t xml:space="preserve"> was $</w:t>
      </w:r>
      <w:r w:rsidR="00E14EAC">
        <w:t>134,427</w:t>
      </w:r>
      <w:r w:rsidR="005A62F5">
        <w:t xml:space="preserve"> </w:t>
      </w:r>
      <w:r>
        <w:t>and $</w:t>
      </w:r>
      <w:r w:rsidR="00E14EAC">
        <w:t>142,722</w:t>
      </w:r>
      <w:r>
        <w:t xml:space="preserve">, respectively, </w:t>
      </w:r>
      <w:r w:rsidRPr="00184417">
        <w:t xml:space="preserve">as </w:t>
      </w:r>
      <w:r w:rsidRPr="00D311E6">
        <w:t xml:space="preserve">compared to </w:t>
      </w:r>
      <w:r>
        <w:t>$</w:t>
      </w:r>
      <w:r w:rsidR="00E14EAC">
        <w:t>1,054</w:t>
      </w:r>
      <w:r>
        <w:t xml:space="preserve"> and $</w:t>
      </w:r>
      <w:r w:rsidR="00E14EAC">
        <w:t>3,275</w:t>
      </w:r>
      <w:r>
        <w:t>, respectively,</w:t>
      </w:r>
      <w:r w:rsidRPr="00D311E6">
        <w:t xml:space="preserve"> for </w:t>
      </w:r>
      <w:r>
        <w:t>comparable periods of 201</w:t>
      </w:r>
      <w:r w:rsidR="005A62F5">
        <w:t>9</w:t>
      </w:r>
      <w:r>
        <w:t xml:space="preserve">. Interest expense </w:t>
      </w:r>
      <w:r w:rsidR="007372BE">
        <w:t xml:space="preserve">for the 2020 periods </w:t>
      </w:r>
      <w:r>
        <w:t xml:space="preserve">relates to the </w:t>
      </w:r>
      <w:r w:rsidR="00435674">
        <w:t xml:space="preserve">Convertible </w:t>
      </w:r>
      <w:r w:rsidR="00D3101C">
        <w:t xml:space="preserve">Debentures, </w:t>
      </w:r>
      <w:r>
        <w:t>GRA Note</w:t>
      </w:r>
      <w:r w:rsidR="00D3101C">
        <w:t>, PPP Loan,</w:t>
      </w:r>
      <w:r>
        <w:t xml:space="preserve"> and financing costs associated with insurance premiums.</w:t>
      </w:r>
      <w:r w:rsidR="007372BE">
        <w:t xml:space="preserve">  For the nine-month period ended September 30, 2020, interest expense included $14,667 of accrued interest payable and $124,184 of amortized debt discount related to the Convertible Debentures.  Subsequent to the full conversion of the Convertible Debentures into our equity securities on September 29, 2020, there will be no more interest expenses associated with the Convertible Debentures</w:t>
      </w:r>
      <w:r w:rsidR="002869CB">
        <w:t>, and we expect other interest expense will be minimal.</w:t>
      </w:r>
    </w:p>
    <w:p w14:paraId="63634285" w14:textId="77777777" w:rsidR="006B2A98" w:rsidRDefault="006B2A98" w:rsidP="000A55AE">
      <w:pPr>
        <w:pStyle w:val="BodyText"/>
        <w:spacing w:after="0"/>
      </w:pPr>
    </w:p>
    <w:bookmarkEnd w:id="34"/>
    <w:p w14:paraId="6E128900" w14:textId="77777777" w:rsidR="000A55AE" w:rsidRDefault="000A55AE" w:rsidP="000A55AE">
      <w:pPr>
        <w:pStyle w:val="Heading2"/>
        <w:numPr>
          <w:ilvl w:val="0"/>
          <w:numId w:val="0"/>
        </w:numPr>
        <w:tabs>
          <w:tab w:val="left" w:pos="1080"/>
        </w:tabs>
        <w:spacing w:after="0"/>
        <w:rPr>
          <w:u w:val="none"/>
        </w:rPr>
      </w:pPr>
    </w:p>
    <w:p w14:paraId="4067366E" w14:textId="07BAE135"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35"/>
    </w:p>
    <w:p w14:paraId="2ABA84AD" w14:textId="77777777" w:rsidR="000A55AE" w:rsidRDefault="000A55AE" w:rsidP="000A55AE">
      <w:pPr>
        <w:pStyle w:val="BodyText"/>
        <w:spacing w:after="0"/>
        <w:rPr>
          <w:rFonts w:eastAsia="????"/>
        </w:rPr>
      </w:pPr>
    </w:p>
    <w:p w14:paraId="52A0009D" w14:textId="18DE4EBC" w:rsidR="0035003D" w:rsidRDefault="00535ED7" w:rsidP="000A55AE">
      <w:pPr>
        <w:pStyle w:val="BodyText"/>
        <w:spacing w:after="0"/>
        <w:rPr>
          <w:rFonts w:eastAsia="????"/>
        </w:rPr>
      </w:pPr>
      <w:r>
        <w:rPr>
          <w:rFonts w:eastAsia="????"/>
        </w:rPr>
        <w:t>Not applicable.</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6" w:name="_Toc197922412"/>
      <w:r w:rsidRPr="001C6303">
        <w:rPr>
          <w:u w:val="none"/>
        </w:rPr>
        <w:t>Item 4</w:t>
      </w:r>
      <w:r w:rsidRPr="001C6303">
        <w:rPr>
          <w:u w:val="none"/>
        </w:rPr>
        <w:tab/>
      </w:r>
      <w:r w:rsidR="00BD6BBE" w:rsidRPr="001C6303">
        <w:t>Controls and Procedures</w:t>
      </w:r>
      <w:bookmarkEnd w:id="36"/>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3971371E"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r w:rsidR="005B03D6">
        <w:t xml:space="preserve"> </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3F3D99E" w14:textId="28E6739E" w:rsidR="00EB48EF" w:rsidRDefault="00482DED" w:rsidP="000A55AE">
      <w:pPr>
        <w:pStyle w:val="BodyText"/>
        <w:spacing w:after="0"/>
      </w:pPr>
      <w:r>
        <w:t>Although we have modified certain of our internal control procedures as a result of the COVID-19 pandemic, t</w:t>
      </w:r>
      <w:r w:rsidR="00143716" w:rsidRPr="001C6303">
        <w:t xml:space="preserve">here </w:t>
      </w:r>
      <w:r>
        <w:t>were</w:t>
      </w:r>
      <w:r w:rsidR="00143716" w:rsidRPr="001C6303">
        <w:t xml:space="preserve"> no </w:t>
      </w:r>
      <w:r>
        <w:t xml:space="preserve">significant </w:t>
      </w:r>
      <w:r w:rsidR="00143716" w:rsidRPr="001C6303">
        <w:t>change</w:t>
      </w:r>
      <w:r>
        <w:t>s</w:t>
      </w:r>
      <w:r w:rsidR="00143716" w:rsidRPr="001C6303">
        <w:t xml:space="preserve"> in our internal control over financial reporting that occurred during the </w:t>
      </w:r>
      <w:r w:rsidR="00A920D8" w:rsidRPr="001C6303">
        <w:t xml:space="preserve">three months ended </w:t>
      </w:r>
      <w:r w:rsidR="005B03D6">
        <w:t>September</w:t>
      </w:r>
      <w:r w:rsidR="00644AFF">
        <w:t> </w:t>
      </w:r>
      <w:r w:rsidR="006B43ED">
        <w:t>3</w:t>
      </w:r>
      <w:r w:rsidR="005A62F5">
        <w:t>0</w:t>
      </w:r>
      <w:r w:rsidR="006B43ED">
        <w:t>, 20</w:t>
      </w:r>
      <w:r w:rsidR="00717940">
        <w:t>20</w:t>
      </w:r>
      <w:r w:rsidR="000D595F">
        <w:t xml:space="preserve"> </w:t>
      </w:r>
      <w:r w:rsidR="00143716" w:rsidRPr="001C6303">
        <w:t>that ha</w:t>
      </w:r>
      <w:r>
        <w:t>ve</w:t>
      </w:r>
      <w:r w:rsidR="00143716" w:rsidRPr="001C6303">
        <w:t xml:space="preserve"> materially affected, or </w:t>
      </w:r>
      <w:r>
        <w:t>are</w:t>
      </w:r>
      <w:r w:rsidR="00143716" w:rsidRPr="001C6303">
        <w:t xml:space="preserve"> reasonably likely to materially affect, our internal c</w:t>
      </w:r>
      <w:bookmarkStart w:id="37" w:name="_Toc197922413"/>
      <w:r w:rsidR="002D75EF">
        <w:t>ontrol over financial reporting.</w:t>
      </w:r>
      <w:r>
        <w:t xml:space="preserve"> </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558F715B" w14:textId="77777777" w:rsidR="006F2532" w:rsidRDefault="006F2532" w:rsidP="006F2532"/>
    <w:p w14:paraId="063EF8A5" w14:textId="77777777" w:rsidR="006F2532" w:rsidRPr="00374DEE" w:rsidRDefault="006F2532" w:rsidP="00DB3B22"/>
    <w:p w14:paraId="5CF04708" w14:textId="6B67CE23" w:rsidR="00BD6BBE" w:rsidRDefault="004E3374" w:rsidP="000A55AE">
      <w:pPr>
        <w:pStyle w:val="Heading1"/>
        <w:numPr>
          <w:ilvl w:val="0"/>
          <w:numId w:val="0"/>
        </w:numPr>
      </w:pPr>
      <w:r>
        <w:t>PART</w:t>
      </w:r>
      <w:r w:rsidR="002D50D9">
        <w:t xml:space="preserve"> II -- </w:t>
      </w:r>
      <w:r w:rsidR="00BD6BBE" w:rsidRPr="001C6303">
        <w:t>OTHER INFORMATION</w:t>
      </w:r>
      <w:bookmarkEnd w:id="37"/>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8" w:name="_Toc197922414"/>
      <w:r w:rsidRPr="001C6303">
        <w:t>Legal Proceedings</w:t>
      </w:r>
      <w:bookmarkEnd w:id="38"/>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9" w:name="_Toc197922415"/>
      <w:r w:rsidRPr="001C6303">
        <w:t>Risk Factors</w:t>
      </w:r>
      <w:bookmarkEnd w:id="39"/>
    </w:p>
    <w:p w14:paraId="2421EF43" w14:textId="77777777" w:rsidR="000A55AE" w:rsidRDefault="000A55AE" w:rsidP="000A55AE">
      <w:pPr>
        <w:pStyle w:val="BodyText"/>
        <w:spacing w:after="0"/>
      </w:pPr>
    </w:p>
    <w:p w14:paraId="47FBF6A7" w14:textId="77777777" w:rsidR="00A16FBD" w:rsidRPr="00A16FBD" w:rsidRDefault="00A16FBD" w:rsidP="00A16FBD">
      <w:pPr>
        <w:ind w:left="144" w:right="144"/>
        <w:jc w:val="center"/>
      </w:pPr>
      <w:r w:rsidRPr="00A16FBD">
        <w:rPr>
          <w:b/>
          <w:bCs/>
        </w:rPr>
        <w:t xml:space="preserve">Risks Related to Our Business </w:t>
      </w:r>
    </w:p>
    <w:p w14:paraId="28324E05" w14:textId="77777777" w:rsidR="00A16FBD" w:rsidRPr="00A16FBD" w:rsidRDefault="00A16FBD" w:rsidP="00A16FBD">
      <w:pPr>
        <w:ind w:left="144" w:right="144"/>
      </w:pPr>
      <w:r w:rsidRPr="00A16FBD">
        <w:t> </w:t>
      </w:r>
    </w:p>
    <w:p w14:paraId="2CE7D821" w14:textId="77777777" w:rsidR="00A16FBD" w:rsidRPr="00A16FBD" w:rsidRDefault="00A16FBD" w:rsidP="00A16FBD">
      <w:r w:rsidRPr="00A16FBD">
        <w:rPr>
          <w:b/>
          <w:bCs/>
          <w:i/>
          <w:iCs/>
        </w:rPr>
        <w:t>We have a history of operating losses, and we expect losses to continue for the foreseeable future.</w:t>
      </w:r>
    </w:p>
    <w:p w14:paraId="555B3A4F" w14:textId="77777777" w:rsidR="00A16FBD" w:rsidRPr="00A16FBD" w:rsidRDefault="00A16FBD" w:rsidP="00A16FBD">
      <w:pPr>
        <w:ind w:left="144" w:right="144"/>
      </w:pPr>
      <w:r w:rsidRPr="00A16FBD">
        <w:t> </w:t>
      </w:r>
    </w:p>
    <w:p w14:paraId="27D8DE1D" w14:textId="71FF802E" w:rsidR="00A16FBD" w:rsidRPr="00A16FBD" w:rsidRDefault="00A16FBD" w:rsidP="002869CB">
      <w:pPr>
        <w:jc w:val="both"/>
      </w:pPr>
      <w:r w:rsidRPr="00A16FBD">
        <w:t>As a research and development-focused company, we have had no product revenue to date and revenues from our government grants and other collaborations have not generated sufficient cash flows to cover operating expenses. Since our inception, we have incurred operating losses each year due to costs incurred in connection with research and development activities and general and administrative expenses associated with our operations</w:t>
      </w:r>
      <w:r w:rsidR="00D17160">
        <w:t>.</w:t>
      </w:r>
      <w:r w:rsidRPr="00A16FBD">
        <w:t xml:space="preserve"> We expect to incur additional operating losses and expect cumulative losses to increase as our research and development, preclinical, clinical, and manufacturing efforts expand. Our ability to generate revenue and achieve profitability depends on our ability to successfully complete the development of our product candidates, conduct preclinical tests and clinical trials, obtain the necessary regulatory approvals, and manufacture and market or otherwise commercialize our products. Unless we are able to successfully meet these challenges, we will not be profitable and may not remain in business.</w:t>
      </w:r>
    </w:p>
    <w:p w14:paraId="46B1AB55" w14:textId="18F14A72" w:rsidR="00A16FBD" w:rsidRPr="00A16FBD" w:rsidRDefault="00A16FBD" w:rsidP="002869CB">
      <w:pPr>
        <w:ind w:left="144" w:right="144"/>
      </w:pPr>
      <w:r w:rsidRPr="00A16FBD">
        <w:t>  </w:t>
      </w:r>
    </w:p>
    <w:p w14:paraId="2906AAEE" w14:textId="77777777" w:rsidR="00A16FBD" w:rsidRPr="00A16FBD" w:rsidRDefault="00A16FBD" w:rsidP="00A16FBD">
      <w:r w:rsidRPr="00A16FBD">
        <w:rPr>
          <w:b/>
          <w:bCs/>
          <w:i/>
          <w:iCs/>
        </w:rPr>
        <w:t>Our business will require continued funding. If we do not receive adequate funding, we will not be able to continue our operations.</w:t>
      </w:r>
    </w:p>
    <w:p w14:paraId="7FD83823" w14:textId="77777777" w:rsidR="00A16FBD" w:rsidRPr="00A16FBD" w:rsidRDefault="00A16FBD" w:rsidP="00A16FBD">
      <w:pPr>
        <w:ind w:left="144" w:right="144"/>
      </w:pPr>
      <w:r w:rsidRPr="00A16FBD">
        <w:t> </w:t>
      </w:r>
    </w:p>
    <w:p w14:paraId="24EE8217" w14:textId="77777777" w:rsidR="00A16FBD" w:rsidRPr="00A16FBD" w:rsidRDefault="00A16FBD" w:rsidP="002869CB">
      <w:pPr>
        <w:jc w:val="both"/>
      </w:pPr>
      <w:r w:rsidRPr="00A16FBD">
        <w:t>To date, we have financed our operations principally through the sale of our equity securities and through government grants and clinical trial support. We will require substantial additional financing at various intervals for our operations, including clinical trials, operating expenses, intellectual property protection and enforcement, for pursuit of regulatory approvals, and for establishing or contracting out manufacturing, marketing and sales functions. There is no assurance that such additional funding will be available on terms acceptable to us or at all. If we are not able to secure the significant funding that is required to maintain and continue our operations at current levels, or at levels that may be required in the future, we may be required to delay clinical studies or clinical trials, curtail operations, or obtain funds through collaborative arrangements that may require us to relinquish rights to some of our products or potential markets.</w:t>
      </w:r>
    </w:p>
    <w:p w14:paraId="6D016B11" w14:textId="77777777" w:rsidR="00A16FBD" w:rsidRPr="00A16FBD" w:rsidRDefault="00A16FBD" w:rsidP="00A16FBD">
      <w:pPr>
        <w:ind w:left="144" w:right="144"/>
        <w:jc w:val="both"/>
      </w:pPr>
      <w:r w:rsidRPr="00A16FBD">
        <w:t> </w:t>
      </w:r>
    </w:p>
    <w:p w14:paraId="6A756CA6" w14:textId="77777777" w:rsidR="00A16FBD" w:rsidRPr="00A16FBD" w:rsidRDefault="00A16FBD" w:rsidP="002869CB">
      <w:pPr>
        <w:jc w:val="both"/>
      </w:pPr>
      <w:r w:rsidRPr="00A16FBD">
        <w:t>The costs of conducting all of our human clinical trials to date for our preventive HIV vaccine have been borne by the HVTN, with funding by NIAID, and we expect NIAID support for additional clinical trials. GeoVax incurs costs associated with manufacturing the clinical vaccine supplies and other study support. We cannot predict the level of support we will receive from the HVTN or NIAID for any additional clinical trials of our HIV vaccines.</w:t>
      </w:r>
    </w:p>
    <w:p w14:paraId="35D617B6" w14:textId="77777777" w:rsidR="00A16FBD" w:rsidRPr="00A16FBD" w:rsidRDefault="00A16FBD" w:rsidP="00A16FBD">
      <w:pPr>
        <w:ind w:left="144" w:right="144"/>
        <w:jc w:val="both"/>
      </w:pPr>
      <w:r w:rsidRPr="00A16FBD">
        <w:t> </w:t>
      </w:r>
    </w:p>
    <w:p w14:paraId="7158812C" w14:textId="71701C5F" w:rsidR="00A16FBD" w:rsidRPr="00A16FBD" w:rsidRDefault="00A16FBD" w:rsidP="002869CB">
      <w:pPr>
        <w:jc w:val="both"/>
      </w:pPr>
      <w:r w:rsidRPr="00A16FBD">
        <w:t xml:space="preserve">Our current operations are also partially supported by a U.S. government grant awarded to us to support our Lassa Fever vaccine program. As of </w:t>
      </w:r>
      <w:r w:rsidR="00D17160">
        <w:t>September</w:t>
      </w:r>
      <w:r w:rsidRPr="00A16FBD">
        <w:t xml:space="preserve"> 30, 2020, there was approximately $</w:t>
      </w:r>
      <w:r w:rsidR="00D17160">
        <w:t>417,000</w:t>
      </w:r>
      <w:r w:rsidRPr="00A16FBD">
        <w:t xml:space="preserve"> of unused grant funds remaining and available for use through September 2021. Of this amount, we anticipate that approximately $</w:t>
      </w:r>
      <w:r w:rsidR="00D17160">
        <w:t>290,500</w:t>
      </w:r>
      <w:r w:rsidRPr="00A16FBD">
        <w:t xml:space="preserve"> will be paid by us to unaffiliated third parties who are providing services called for by the grant. We are pursuing additional support from the federal government for our vaccine programs; however, as we progress to the later stages of our vaccine development activities, government financial support may be more difficult to obtain, or may not be available at all. Furthermore, there is some risk that actual funding for grants could be delayed, cut back, or eliminated due to government budget constraints. Therefore, it will be necessary for us to look to other sources of funding to finance our development activities.</w:t>
      </w:r>
    </w:p>
    <w:p w14:paraId="78D50104" w14:textId="24C33F63" w:rsidR="00A16FBD" w:rsidRPr="00A16FBD" w:rsidRDefault="00A16FBD" w:rsidP="00D17160">
      <w:pPr>
        <w:ind w:left="144" w:right="144"/>
      </w:pPr>
      <w:r w:rsidRPr="00A16FBD">
        <w:t>  </w:t>
      </w:r>
    </w:p>
    <w:p w14:paraId="1E94F875" w14:textId="5A370B5A" w:rsidR="00A16FBD" w:rsidRPr="00A16FBD" w:rsidRDefault="00A16FBD" w:rsidP="00C66962">
      <w:pPr>
        <w:jc w:val="both"/>
      </w:pPr>
      <w:r w:rsidRPr="00A16FBD">
        <w:t>We expect that our current working capital, combined with proceeds from current government grants will be sufficient to support our planned level of operations into early 2022. We will need to raise additional funds to significantly advance our vaccine development programs and to continue our operations. In order to meet our operating cash flow needs we plan to seek sources of non-dilutive capital through government grant programs and clinical trial support. We may also plan additional offerings of our equity securities, debt, or convertible debt instruments. Should the financing we require to sustain our working capital needs be unavailable or prohibitively expensive when we require it, the consequences could have a material adverse effect on our business, operating results, financial condition and prospects.</w:t>
      </w:r>
    </w:p>
    <w:p w14:paraId="540C59AC" w14:textId="77777777" w:rsidR="00A16FBD" w:rsidRPr="00A16FBD" w:rsidRDefault="00A16FBD" w:rsidP="00A16FBD">
      <w:pPr>
        <w:ind w:left="144" w:right="144"/>
      </w:pPr>
      <w:r w:rsidRPr="00A16FBD">
        <w:t> </w:t>
      </w:r>
    </w:p>
    <w:p w14:paraId="78D90C06" w14:textId="77777777" w:rsidR="00A16FBD" w:rsidRPr="00A16FBD" w:rsidRDefault="00A16FBD" w:rsidP="00A16FBD">
      <w:r w:rsidRPr="00A16FBD">
        <w:rPr>
          <w:b/>
          <w:bCs/>
          <w:i/>
          <w:iCs/>
        </w:rPr>
        <w:t xml:space="preserve">Significant disruptions of information technology systems or breaches of information security systems could adversely affect our business. </w:t>
      </w:r>
    </w:p>
    <w:p w14:paraId="39AF3BA4" w14:textId="77777777" w:rsidR="00A16FBD" w:rsidRPr="00A16FBD" w:rsidRDefault="00A16FBD" w:rsidP="00A16FBD">
      <w:pPr>
        <w:ind w:left="144" w:right="144"/>
      </w:pPr>
      <w:r w:rsidRPr="00A16FBD">
        <w:rPr>
          <w:b/>
          <w:bCs/>
          <w:i/>
          <w:iCs/>
        </w:rPr>
        <w:t> </w:t>
      </w:r>
    </w:p>
    <w:p w14:paraId="128FC6FE" w14:textId="77777777" w:rsidR="00A16FBD" w:rsidRPr="00A16FBD" w:rsidRDefault="00A16FBD" w:rsidP="00C66962">
      <w:pPr>
        <w:jc w:val="both"/>
      </w:pPr>
      <w:r w:rsidRPr="00A16FBD">
        <w:t>We rely upon a combination of information technology systems and traditional recordkeeping to operate our business. In the ordinary course of business, we collect, store, and transmit confidential information (including, but not limited to, personal information and intellectual property). We have also outsourced elements of our operations to third parties, including elements of our information technology systems and, as a result, we manage a number of independent vendor relationships with third parties who may or could have access to our confidential information. Our information technology and information security systems and records are potentially vulnerable to security breaches, service interruptions, or data loss from inadvertent or intentional actions by our employees or vendors. Our information technology and information security systems and records are also potentially vulnerable to malicious attacks by third parties. Such attacks are of ever-increasing levels of sophistication and are made by groups and individuals with a wide range of expertise and motives (including, but not limited to, financial crime, industrial espionage, and market manipulation).</w:t>
      </w:r>
    </w:p>
    <w:p w14:paraId="30D1AB88" w14:textId="77777777" w:rsidR="00A16FBD" w:rsidRPr="00A16FBD" w:rsidRDefault="00A16FBD" w:rsidP="00A16FBD">
      <w:pPr>
        <w:ind w:left="144" w:right="144"/>
        <w:jc w:val="both"/>
      </w:pPr>
      <w:r w:rsidRPr="00A16FBD">
        <w:t> </w:t>
      </w:r>
    </w:p>
    <w:p w14:paraId="76AE4F27" w14:textId="77777777" w:rsidR="00A16FBD" w:rsidRPr="00A16FBD" w:rsidRDefault="00A16FBD" w:rsidP="00C66962">
      <w:pPr>
        <w:jc w:val="both"/>
      </w:pPr>
      <w:r w:rsidRPr="00A16FBD">
        <w:t>While we have invested, and continue to invest, a portion of our limited funds in our information technology and information security systems, there can be no assurance that our efforts will prevent security breaches, service interruptions, or data losses. Any security breaches, service interruptions, or data losses could adversely affect our business operations and/or result in the loss of critical or sensitive confidential information or intellectual property, and could result in financial, legal, business, and reputational harm to us or allow third parties to gain material, inside information that they may use to trade in our securities.</w:t>
      </w:r>
    </w:p>
    <w:p w14:paraId="181F87B4" w14:textId="77777777" w:rsidR="00A16FBD" w:rsidRPr="00A16FBD" w:rsidRDefault="00A16FBD" w:rsidP="00A16FBD">
      <w:pPr>
        <w:ind w:left="144" w:right="144"/>
      </w:pPr>
      <w:r w:rsidRPr="00A16FBD">
        <w:t> </w:t>
      </w:r>
    </w:p>
    <w:p w14:paraId="0CA5B3AD" w14:textId="77777777" w:rsidR="00A16FBD" w:rsidRPr="00A16FBD" w:rsidRDefault="00A16FBD" w:rsidP="00A16FBD">
      <w:r w:rsidRPr="00A16FBD">
        <w:rPr>
          <w:b/>
          <w:bCs/>
          <w:i/>
          <w:iCs/>
        </w:rPr>
        <w:t>Our business could be adversely affected by widespread public health epidemics, such as COVID-19, or other catastrophic events beyond our control.</w:t>
      </w:r>
    </w:p>
    <w:p w14:paraId="4BEA9890" w14:textId="77777777" w:rsidR="00A16FBD" w:rsidRPr="00A16FBD" w:rsidRDefault="00A16FBD" w:rsidP="00A16FBD">
      <w:pPr>
        <w:ind w:left="144" w:right="144"/>
      </w:pPr>
      <w:r w:rsidRPr="00A16FBD">
        <w:t> </w:t>
      </w:r>
    </w:p>
    <w:p w14:paraId="01EBA64E" w14:textId="77777777" w:rsidR="00A16FBD" w:rsidRPr="00A16FBD" w:rsidRDefault="00A16FBD" w:rsidP="00C66962">
      <w:pPr>
        <w:jc w:val="both"/>
      </w:pPr>
      <w:r w:rsidRPr="00A16FBD">
        <w:t>In addition to our reliance on our own employees and facilities, we depend on our collaborators, laboratories and other facilities for the continued operation of our business. Despite any precautions we take, public health epidemics, such as COVID-19, or other catastrophic events, such as natural disasters, terrorist attack, hurricanes, fire, floods and ice and snowstorms, may result in interruptions in our business.</w:t>
      </w:r>
    </w:p>
    <w:p w14:paraId="4857B795" w14:textId="77777777" w:rsidR="00A16FBD" w:rsidRPr="00A16FBD" w:rsidRDefault="00A16FBD" w:rsidP="00A16FBD">
      <w:pPr>
        <w:ind w:left="144" w:right="144"/>
        <w:jc w:val="both"/>
      </w:pPr>
      <w:r w:rsidRPr="00A16FBD">
        <w:t> </w:t>
      </w:r>
    </w:p>
    <w:p w14:paraId="682AA047" w14:textId="4C17D593" w:rsidR="00A16FBD" w:rsidRPr="00A16FBD" w:rsidRDefault="00A16FBD" w:rsidP="00C66962">
      <w:pPr>
        <w:jc w:val="both"/>
      </w:pPr>
      <w:r w:rsidRPr="00A16FBD">
        <w:t xml:space="preserve">In response to the COVID-19 pandemic, we have suspended all non-essential travel for our employees, are canceling or postponing in-person attendance at industry </w:t>
      </w:r>
      <w:r w:rsidR="00C66962" w:rsidRPr="00A16FBD">
        <w:t>events and</w:t>
      </w:r>
      <w:r w:rsidRPr="00A16FBD">
        <w:t xml:space="preserve"> limiting in-person work-related meetings. Currently, as a result of the work and travel restrictions related to the ongoing pandemic, several of our business activities are being conducted remotely which might be less effective than in-person meetings or in-office work. Despite these precautions, the necessary work within our laboratory and of our collaborators has continued without significant interruption. Although we continue to monitor the situation and may adjust our current policies as more information and guidance become available, temporarily suspending travel and limitations on doing business in-person has and could continue to negatively impact our business development efforts and create operational or other challenges, any of which could harm our business, financial condition and results of operations.</w:t>
      </w:r>
    </w:p>
    <w:p w14:paraId="4653A9C5" w14:textId="77777777" w:rsidR="00A16FBD" w:rsidRPr="00A16FBD" w:rsidRDefault="00A16FBD" w:rsidP="00A16FBD">
      <w:pPr>
        <w:ind w:left="144" w:right="144" w:firstLine="720"/>
        <w:jc w:val="both"/>
      </w:pPr>
      <w:r w:rsidRPr="00A16FBD">
        <w:t> </w:t>
      </w:r>
    </w:p>
    <w:p w14:paraId="12A4CC93" w14:textId="77777777" w:rsidR="00A16FBD" w:rsidRPr="00A16FBD" w:rsidRDefault="00A16FBD" w:rsidP="00C66962">
      <w:pPr>
        <w:jc w:val="both"/>
      </w:pPr>
      <w:r w:rsidRPr="00A16FBD">
        <w:t>In addition, the COVID-19 pandemic could disrupt our operations due to absenteeism by infected or ill members of management or other employees because of our limited staffing. COVID-19 related illness could also impact members of our Board of Directors resulting in absenteeism from meetings of the directors or committees of directors, and making it more difficult to convene the quorums of the full Board of Directors or its committees needed to conduct meetings for the management of our affairs.</w:t>
      </w:r>
    </w:p>
    <w:p w14:paraId="5748ED5B" w14:textId="77777777" w:rsidR="00A16FBD" w:rsidRPr="00A16FBD" w:rsidRDefault="00A16FBD" w:rsidP="00A16FBD">
      <w:pPr>
        <w:ind w:left="144" w:right="144"/>
      </w:pPr>
      <w:r w:rsidRPr="00A16FBD">
        <w:rPr>
          <w:b/>
          <w:bCs/>
        </w:rPr>
        <w:t> </w:t>
      </w:r>
    </w:p>
    <w:p w14:paraId="23C6A09D" w14:textId="77777777" w:rsidR="00A16FBD" w:rsidRPr="00A16FBD" w:rsidRDefault="00A16FBD" w:rsidP="00A16FBD">
      <w:pPr>
        <w:ind w:left="144" w:right="144"/>
        <w:jc w:val="center"/>
      </w:pPr>
      <w:r w:rsidRPr="00A16FBD">
        <w:rPr>
          <w:b/>
          <w:bCs/>
        </w:rPr>
        <w:t>Risks Related to Development and Commercialization of Product Candidates and Dependence on Third Parties</w:t>
      </w:r>
    </w:p>
    <w:p w14:paraId="160C77BC" w14:textId="77777777" w:rsidR="00A16FBD" w:rsidRPr="00A16FBD" w:rsidRDefault="00A16FBD" w:rsidP="00A16FBD">
      <w:pPr>
        <w:ind w:left="144" w:right="144"/>
      </w:pPr>
      <w:r w:rsidRPr="00A16FBD">
        <w:t> </w:t>
      </w:r>
    </w:p>
    <w:p w14:paraId="775A32D2" w14:textId="77777777" w:rsidR="00A16FBD" w:rsidRPr="00A16FBD" w:rsidRDefault="00A16FBD" w:rsidP="00A16FBD">
      <w:r w:rsidRPr="00A16FBD">
        <w:rPr>
          <w:b/>
          <w:bCs/>
          <w:i/>
          <w:iCs/>
        </w:rPr>
        <w:t>Our products are still being developed and are unproven. These products may not be successful.</w:t>
      </w:r>
    </w:p>
    <w:p w14:paraId="5A5CA616" w14:textId="77777777" w:rsidR="00A16FBD" w:rsidRPr="00A16FBD" w:rsidRDefault="00A16FBD" w:rsidP="00A16FBD">
      <w:pPr>
        <w:ind w:left="144" w:right="144"/>
      </w:pPr>
      <w:r w:rsidRPr="00A16FBD">
        <w:t> </w:t>
      </w:r>
    </w:p>
    <w:p w14:paraId="2F5C8750" w14:textId="77777777" w:rsidR="00A16FBD" w:rsidRPr="00A16FBD" w:rsidRDefault="00A16FBD" w:rsidP="00C66962">
      <w:pPr>
        <w:jc w:val="both"/>
      </w:pPr>
      <w:r w:rsidRPr="00A16FBD">
        <w:t>To become profitable, we must generate revenue through sales of our products. However, our products are in varying stages of development and testing. Our products have not been proven in human clinical trials and have not been approved by any government agency for sale. If we cannot successfully develop and prove our products and processes, or if we do not develop other sources of revenue, we will not become profitable and at some point, we would discontinue operations.</w:t>
      </w:r>
    </w:p>
    <w:p w14:paraId="72A590DE" w14:textId="2F1A35B9" w:rsidR="00A16FBD" w:rsidRPr="00A16FBD" w:rsidRDefault="00A16FBD" w:rsidP="00C77C23">
      <w:pPr>
        <w:ind w:left="144" w:right="144"/>
      </w:pPr>
      <w:r w:rsidRPr="00A16FBD">
        <w:t>  </w:t>
      </w:r>
    </w:p>
    <w:p w14:paraId="54B39034" w14:textId="77777777" w:rsidR="00A16FBD" w:rsidRPr="00A16FBD" w:rsidRDefault="00A16FBD" w:rsidP="00A16FBD">
      <w:r w:rsidRPr="00A16FBD">
        <w:rPr>
          <w:b/>
          <w:bCs/>
          <w:i/>
          <w:iCs/>
        </w:rPr>
        <w:t>We depend upon key personnel who may terminate their employment with us at any time. If we were to lose the services of any of these individuals, our business and operations may be adversely affected.</w:t>
      </w:r>
    </w:p>
    <w:p w14:paraId="07B008F7" w14:textId="77777777" w:rsidR="00A16FBD" w:rsidRPr="00A16FBD" w:rsidRDefault="00A16FBD" w:rsidP="00A16FBD">
      <w:pPr>
        <w:ind w:left="144" w:right="144"/>
      </w:pPr>
      <w:r w:rsidRPr="00A16FBD">
        <w:t> </w:t>
      </w:r>
    </w:p>
    <w:p w14:paraId="075498B1" w14:textId="77777777" w:rsidR="00A16FBD" w:rsidRPr="00A16FBD" w:rsidRDefault="00A16FBD" w:rsidP="00C66962">
      <w:pPr>
        <w:jc w:val="both"/>
      </w:pPr>
      <w:r w:rsidRPr="00A16FBD">
        <w:t>The success of our business strategy will depend to a significant degree upon the continued services of key management, technical and scientific personnel and our ability to attract and retain additional qualified personnel and managers. Competition for qualified personnel is intense among companies, academic institutions and other organizations. The ability to attract and retain personnel is adversely affected by our financial challenges. If we are unable to attract and retain key personnel and advisors, it may negatively affect our ability to successfully develop, test, commercialize and market our products and product candidates.</w:t>
      </w:r>
    </w:p>
    <w:p w14:paraId="5372712D" w14:textId="77777777" w:rsidR="00A16FBD" w:rsidRPr="00A16FBD" w:rsidRDefault="00A16FBD" w:rsidP="00A16FBD">
      <w:pPr>
        <w:ind w:left="144" w:right="144"/>
      </w:pPr>
      <w:r w:rsidRPr="00A16FBD">
        <w:t> </w:t>
      </w:r>
    </w:p>
    <w:p w14:paraId="686CB1FF" w14:textId="77777777" w:rsidR="00A16FBD" w:rsidRPr="00A16FBD" w:rsidRDefault="00A16FBD" w:rsidP="00A16FBD">
      <w:r w:rsidRPr="00A16FBD">
        <w:rPr>
          <w:b/>
          <w:bCs/>
          <w:i/>
          <w:iCs/>
        </w:rPr>
        <w:t>Regulatory and legal uncertainties could result in significant costs or otherwise harm our business.</w:t>
      </w:r>
    </w:p>
    <w:p w14:paraId="2CF57DFF" w14:textId="77777777" w:rsidR="00A16FBD" w:rsidRPr="00A16FBD" w:rsidRDefault="00A16FBD" w:rsidP="00A16FBD">
      <w:pPr>
        <w:ind w:left="144" w:right="144"/>
      </w:pPr>
      <w:r w:rsidRPr="00A16FBD">
        <w:t> </w:t>
      </w:r>
    </w:p>
    <w:p w14:paraId="60EF6ADD" w14:textId="77777777" w:rsidR="00A16FBD" w:rsidRPr="00A16FBD" w:rsidRDefault="00A16FBD" w:rsidP="00C66962">
      <w:pPr>
        <w:jc w:val="both"/>
      </w:pPr>
      <w:r w:rsidRPr="00A16FBD">
        <w:t>To manufacture and sell our products, we must comply with extensive domestic and international regulation. In order to sell our products in the United States, approval from the U.S. Food and Drug Administration (the “FDA”) is required. Satisfaction of regulatory requirements, including FDA requirements, typically takes many years, and if approval is obtained at all, it is dependent upon the type, complexity and novelty of the product, and requires the expenditure of substantial resources. We cannot predict whether our products will be approved by the FDA. Even if they are approved, we cannot predict the time frame for approval. Foreign regulatory requirements differ from jurisdiction to jurisdiction and may, in some cases, be more stringent or difficult to meet than FDA requirements. As with the FDA, we cannot predict if or when we may obtain these regulatory approvals. If we cannot demonstrate that our products can be used safely and successfully in a broad segment of the patient population on a long-term basis, our products would likely be denied approval by the FDA and the regulatory agencies of foreign governments.</w:t>
      </w:r>
    </w:p>
    <w:p w14:paraId="5BE38836" w14:textId="77777777" w:rsidR="00A16FBD" w:rsidRPr="00A16FBD" w:rsidRDefault="00A16FBD" w:rsidP="00A16FBD">
      <w:pPr>
        <w:ind w:left="144" w:right="144"/>
      </w:pPr>
      <w:r w:rsidRPr="00A16FBD">
        <w:t> </w:t>
      </w:r>
    </w:p>
    <w:p w14:paraId="42ED56FC" w14:textId="77777777" w:rsidR="00A16FBD" w:rsidRPr="00A16FBD" w:rsidRDefault="00A16FBD" w:rsidP="00A16FBD">
      <w:r w:rsidRPr="00A16FBD">
        <w:rPr>
          <w:b/>
          <w:bCs/>
          <w:i/>
          <w:iCs/>
        </w:rPr>
        <w:t>We face intense competition and rapid technological change that could result in products that are superior to the products we will be commercializing or developing.</w:t>
      </w:r>
    </w:p>
    <w:p w14:paraId="262ED372" w14:textId="77777777" w:rsidR="00A16FBD" w:rsidRPr="00A16FBD" w:rsidRDefault="00A16FBD" w:rsidP="00A16FBD">
      <w:pPr>
        <w:ind w:left="144" w:right="144"/>
      </w:pPr>
      <w:r w:rsidRPr="00A16FBD">
        <w:t> </w:t>
      </w:r>
    </w:p>
    <w:p w14:paraId="6D728458" w14:textId="77777777" w:rsidR="00A16FBD" w:rsidRPr="00A16FBD" w:rsidRDefault="00A16FBD" w:rsidP="00C66962">
      <w:pPr>
        <w:jc w:val="both"/>
      </w:pPr>
      <w:r w:rsidRPr="00A16FBD">
        <w:t>The market for vaccines that protect against or treat human infectious diseases is intensely competitive and is subject to rapid and significant technological change. We have numerous competitors in the United States and abroad, including, among others, large companies with substantially greater resources than us. If any of our competitors develop products with efficacy or safety profiles significantly better than our products, we may not be able to commercialize our products, and sales of any of our commercialized products could be harmed. Some of our competitors and potential competitors have substantially greater product development capabilities and financial, scientific, marketing and human resources than we do. Competitors may develop products earlier, obtain FDA approvals for products more rapidly, or develop products that are more effective than those under development by us. We will seek to expand our technological capabilities to remain competitive; however, research and development by others may render our technologies or products obsolete or noncompetitive, or result in treatments or cures superior to ours.</w:t>
      </w:r>
    </w:p>
    <w:p w14:paraId="5D4C0C31" w14:textId="77777777" w:rsidR="00A16FBD" w:rsidRPr="00A16FBD" w:rsidRDefault="00A16FBD" w:rsidP="00A16FBD">
      <w:pPr>
        <w:ind w:left="144" w:right="144"/>
      </w:pPr>
      <w:r w:rsidRPr="00A16FBD">
        <w:t> </w:t>
      </w:r>
    </w:p>
    <w:p w14:paraId="497CA71D" w14:textId="77777777" w:rsidR="00A16FBD" w:rsidRPr="00A16FBD" w:rsidRDefault="00A16FBD" w:rsidP="00A16FBD">
      <w:r w:rsidRPr="00A16FBD">
        <w:rPr>
          <w:b/>
          <w:bCs/>
          <w:i/>
          <w:iCs/>
        </w:rPr>
        <w:t>Our product candidates are based on new medical technology and, consequently, are inherently risky. Concerns about the safety and efficacy of our products could limit our future success.</w:t>
      </w:r>
    </w:p>
    <w:p w14:paraId="4E23F247" w14:textId="77777777" w:rsidR="00A16FBD" w:rsidRPr="00A16FBD" w:rsidRDefault="00A16FBD" w:rsidP="00A16FBD">
      <w:pPr>
        <w:ind w:left="144" w:right="144"/>
      </w:pPr>
      <w:r w:rsidRPr="00A16FBD">
        <w:t> </w:t>
      </w:r>
    </w:p>
    <w:p w14:paraId="54127977" w14:textId="77777777" w:rsidR="00A16FBD" w:rsidRPr="00A16FBD" w:rsidRDefault="00A16FBD" w:rsidP="00C66962">
      <w:pPr>
        <w:jc w:val="both"/>
      </w:pPr>
      <w:r w:rsidRPr="00A16FBD">
        <w:t>We are subject to the risks of failure inherent in the development of product candidates based on new medical technologies. These risks include the possibility that the products we create will not be effective, that our product candidates will be unsafe or otherwise fail to receive the necessary regulatory approvals, and that our product candidates will be hard to manufacture on a large scale or will be uneconomical to market.</w:t>
      </w:r>
    </w:p>
    <w:p w14:paraId="63CAA4BE" w14:textId="77777777" w:rsidR="00A16FBD" w:rsidRPr="00A16FBD" w:rsidRDefault="00A16FBD" w:rsidP="00A16FBD">
      <w:pPr>
        <w:ind w:left="144" w:right="144"/>
        <w:jc w:val="both"/>
      </w:pPr>
      <w:r w:rsidRPr="00A16FBD">
        <w:t> </w:t>
      </w:r>
    </w:p>
    <w:p w14:paraId="701EF70B" w14:textId="77777777" w:rsidR="00A16FBD" w:rsidRPr="00A16FBD" w:rsidRDefault="00A16FBD" w:rsidP="00C66962">
      <w:pPr>
        <w:jc w:val="both"/>
      </w:pPr>
      <w:r w:rsidRPr="00A16FBD">
        <w:t>Many pharmaceutical products cause multiple potential complications and side effects, not all of which can be predicted with accuracy and many of which may vary from patient to patient. Long term follow-up data may reveal previously unidentified complications associated with our products. The responses of potential physicians and others to information about complications could materially adversely affect the market acceptance of our products, which in turn would materially harm our business.</w:t>
      </w:r>
    </w:p>
    <w:p w14:paraId="6EF86205" w14:textId="77777777" w:rsidR="00A16FBD" w:rsidRPr="00A16FBD" w:rsidRDefault="00A16FBD" w:rsidP="00A16FBD">
      <w:pPr>
        <w:ind w:left="144" w:right="144"/>
      </w:pPr>
      <w:r w:rsidRPr="00A16FBD">
        <w:t> </w:t>
      </w:r>
    </w:p>
    <w:p w14:paraId="49D551ED" w14:textId="77777777" w:rsidR="00A16FBD" w:rsidRPr="00A16FBD" w:rsidRDefault="00A16FBD" w:rsidP="00A16FBD">
      <w:r w:rsidRPr="00A16FBD">
        <w:rPr>
          <w:b/>
          <w:bCs/>
          <w:i/>
          <w:iCs/>
        </w:rPr>
        <w:t>We may experience delays in our clinical trials that could adversely affect our financial results and our commercial prospects.</w:t>
      </w:r>
    </w:p>
    <w:p w14:paraId="17B4D188" w14:textId="77777777" w:rsidR="00A16FBD" w:rsidRPr="00A16FBD" w:rsidRDefault="00A16FBD" w:rsidP="00A16FBD">
      <w:pPr>
        <w:ind w:left="144" w:right="144"/>
      </w:pPr>
      <w:r w:rsidRPr="00A16FBD">
        <w:t> </w:t>
      </w:r>
    </w:p>
    <w:p w14:paraId="0ED71F7B" w14:textId="77777777" w:rsidR="00A16FBD" w:rsidRPr="00A16FBD" w:rsidRDefault="00A16FBD" w:rsidP="00C66962">
      <w:pPr>
        <w:jc w:val="both"/>
      </w:pPr>
      <w:r w:rsidRPr="00A16FBD">
        <w:t>We do not know whether planned pre-clinical and clinical trials will begin on time or whether we will complete any of our trials on schedule, if at all. Product development costs will increase if we have delays in testing or approvals or if we need to perform more or larger clinical trials than planned. Significant delays may adversely affect our financial results and the commercial prospects for our products and delay our ability to become profitable.</w:t>
      </w:r>
    </w:p>
    <w:p w14:paraId="6DDF79B0" w14:textId="77777777" w:rsidR="00A16FBD" w:rsidRPr="00A16FBD" w:rsidRDefault="00A16FBD" w:rsidP="00A16FBD">
      <w:pPr>
        <w:ind w:left="144" w:right="144"/>
        <w:jc w:val="both"/>
      </w:pPr>
      <w:r w:rsidRPr="00A16FBD">
        <w:t> </w:t>
      </w:r>
    </w:p>
    <w:p w14:paraId="314C4422" w14:textId="77777777" w:rsidR="00A16FBD" w:rsidRPr="00A16FBD" w:rsidRDefault="00A16FBD" w:rsidP="00C66962">
      <w:pPr>
        <w:jc w:val="both"/>
      </w:pPr>
      <w:r w:rsidRPr="00A16FBD">
        <w:t>We rely heavily on the HVTN, independent clinical investigators, vaccine manufacturers, and other third-party service providers for successful execution of our clinical trials, but do not control many aspects of their activities. We are responsible for ensuring that each of our clinical trials is conducted in accordance with the general investigational plan and protocols for the trial. Moreover, the FDA requires us to comply with standards, commonly referred to as Good Clinical Practices, for conducting, recording, and reporting the results of clinical trials to assure that data and reported results are credible and accurate and that the rights, integrity and confidentiality of trial participants are protected. Our reliance on third parties that we do not control does not relieve us of these responsibilities and requirements. Third parties may not complete activities on schedule or may not conduct our clinical trials in accordance with regulatory requirements or our stated protocols. The failure of these third parties to carry out their obligations could delay or prevent the development, approval and commercialization of our product candidates. There is also a risk of changes in clinical trial strategy and timelines due to the HVTN and NIAID altering their trial strategy.</w:t>
      </w:r>
    </w:p>
    <w:p w14:paraId="55DE951B" w14:textId="77777777" w:rsidR="00A16FBD" w:rsidRPr="00A16FBD" w:rsidRDefault="00A16FBD" w:rsidP="00A16FBD">
      <w:pPr>
        <w:ind w:left="144" w:right="144"/>
      </w:pPr>
      <w:r w:rsidRPr="00A16FBD">
        <w:t> </w:t>
      </w:r>
    </w:p>
    <w:p w14:paraId="49C235B3" w14:textId="77777777" w:rsidR="00A16FBD" w:rsidRPr="00A16FBD" w:rsidRDefault="00A16FBD" w:rsidP="00A16FBD">
      <w:r w:rsidRPr="00A16FBD">
        <w:rPr>
          <w:b/>
          <w:bCs/>
          <w:i/>
          <w:iCs/>
        </w:rPr>
        <w:t>Failure to obtain timely regulatory approvals required to exploit the commercial potential of our products could increase our future development costs or impair our future sales.</w:t>
      </w:r>
    </w:p>
    <w:p w14:paraId="3A92EFD1" w14:textId="77777777" w:rsidR="00A16FBD" w:rsidRPr="00A16FBD" w:rsidRDefault="00A16FBD" w:rsidP="00A16FBD">
      <w:pPr>
        <w:ind w:left="144" w:right="144"/>
      </w:pPr>
      <w:r w:rsidRPr="00A16FBD">
        <w:t> </w:t>
      </w:r>
    </w:p>
    <w:p w14:paraId="3206EBF5" w14:textId="77777777" w:rsidR="00A16FBD" w:rsidRPr="00A16FBD" w:rsidRDefault="00A16FBD" w:rsidP="00C66962">
      <w:pPr>
        <w:jc w:val="both"/>
      </w:pPr>
      <w:r w:rsidRPr="00A16FBD">
        <w:t>None of our vaccines are approved by the FDA for sale in the United States or by other regulatory authorities for sale in foreign countries. To exploit the commercial potential of our technologies, we are conducting and planning to conduct additional pre-clinical studies and clinical trials. This process is expensive and can require a significant amount of time. Failure can occur at any stage of testing, even if the results are favorable. Failure to adequately demonstrate safety and efficacy in clinical trials could delay or preclude regulatory approval and restrict our ability to commercialize our technology or products. Any such failure may severely harm our business. In addition, any approvals we obtain may not cover all of the clinical indications for which approval is sought or may contain significant limitations in the form of narrow indications, warnings, precautions or contraindications with respect to conditions of use, or in the form of onerous risk management plans, restrictions on distribution, or post-approval study requirements.</w:t>
      </w:r>
    </w:p>
    <w:p w14:paraId="4E96F756" w14:textId="77777777" w:rsidR="00A16FBD" w:rsidRPr="00A16FBD" w:rsidRDefault="00A16FBD" w:rsidP="00A16FBD">
      <w:pPr>
        <w:ind w:left="144" w:right="144"/>
      </w:pPr>
      <w:r w:rsidRPr="00A16FBD">
        <w:t> </w:t>
      </w:r>
    </w:p>
    <w:p w14:paraId="109B7636" w14:textId="77777777" w:rsidR="00A16FBD" w:rsidRPr="00A16FBD" w:rsidRDefault="00A16FBD" w:rsidP="00A16FBD">
      <w:r w:rsidRPr="00A16FBD">
        <w:rPr>
          <w:b/>
          <w:bCs/>
          <w:i/>
          <w:iCs/>
        </w:rPr>
        <w:t>State pharmaceutical marketing compliance and reporting requirements may expose us to regulatory and legal action by state governments or other government authorities.</w:t>
      </w:r>
    </w:p>
    <w:p w14:paraId="3712B289" w14:textId="77777777" w:rsidR="00A16FBD" w:rsidRPr="00A16FBD" w:rsidRDefault="00A16FBD" w:rsidP="00A16FBD">
      <w:pPr>
        <w:ind w:left="144" w:right="144"/>
      </w:pPr>
      <w:r w:rsidRPr="00A16FBD">
        <w:t> </w:t>
      </w:r>
    </w:p>
    <w:p w14:paraId="6357FF18" w14:textId="77777777" w:rsidR="00A16FBD" w:rsidRPr="00A16FBD" w:rsidRDefault="00A16FBD" w:rsidP="00C66962">
      <w:pPr>
        <w:jc w:val="both"/>
      </w:pPr>
      <w:r w:rsidRPr="00A16FBD">
        <w:t>Several states have enacted legislation requiring pharmaceutical companies to establish marketing compliance programs and file periodic reports on sales, marketing, pricing and other activities. Similar legislation is being considered in other states. Many of these requirements are new and uncertain, and available guidance is limited. Unless we are in full compliance with these laws, we could face enforcement action, fines, and other penalties and could receive adverse publicity, all of which could harm our business.</w:t>
      </w:r>
    </w:p>
    <w:p w14:paraId="41E226F1" w14:textId="77777777" w:rsidR="00A16FBD" w:rsidRPr="00A16FBD" w:rsidRDefault="00A16FBD" w:rsidP="00A16FBD">
      <w:pPr>
        <w:ind w:left="144" w:right="144"/>
      </w:pPr>
      <w:r w:rsidRPr="00A16FBD">
        <w:t> </w:t>
      </w:r>
    </w:p>
    <w:p w14:paraId="1BFCC29F" w14:textId="77777777" w:rsidR="00A16FBD" w:rsidRPr="00A16FBD" w:rsidRDefault="00A16FBD" w:rsidP="00A16FBD">
      <w:r w:rsidRPr="00A16FBD">
        <w:rPr>
          <w:b/>
          <w:bCs/>
          <w:i/>
          <w:iCs/>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4AC303C9" w14:textId="77777777" w:rsidR="00A16FBD" w:rsidRPr="00A16FBD" w:rsidRDefault="00A16FBD" w:rsidP="00A16FBD">
      <w:pPr>
        <w:ind w:left="144" w:right="144"/>
      </w:pPr>
      <w:r w:rsidRPr="00A16FBD">
        <w:t> </w:t>
      </w:r>
    </w:p>
    <w:p w14:paraId="36750E70" w14:textId="77777777" w:rsidR="00A16FBD" w:rsidRPr="00A16FBD" w:rsidRDefault="00A16FBD" w:rsidP="00C66962">
      <w:pPr>
        <w:jc w:val="both"/>
      </w:pPr>
      <w:r w:rsidRPr="00A16FBD">
        <w:t>In the United States and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 Among policy makers and payors in the United States and elsewhere, including in the European Union,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w:t>
      </w:r>
    </w:p>
    <w:p w14:paraId="43B79F0D" w14:textId="77777777" w:rsidR="00A16FBD" w:rsidRPr="00A16FBD" w:rsidRDefault="00A16FBD" w:rsidP="00A16FBD">
      <w:pPr>
        <w:ind w:left="144" w:right="144"/>
        <w:jc w:val="both"/>
      </w:pPr>
      <w:r w:rsidRPr="00A16FBD">
        <w:t> </w:t>
      </w:r>
    </w:p>
    <w:p w14:paraId="765D90AF" w14:textId="77777777" w:rsidR="00A16FBD" w:rsidRPr="00A16FBD" w:rsidRDefault="00A16FBD" w:rsidP="00C66962">
      <w:pPr>
        <w:jc w:val="both"/>
      </w:pPr>
      <w:r w:rsidRPr="00A16FBD">
        <w:t>The Patient Protection and Affordable Care Act, as amended by the Health Care and Education Reconciliation Act of 2010 (collectively, the “Affordable Care Act”), substantially changed the way healthcare is financed by both the government and private insurers, and significantly impacts the U.S. pharmaceutical industry. The Affordable Care Act includes a number of provisions that are intended to lower healthcare costs, including provisions relating to prescription drug prices and government spending on medical products.</w:t>
      </w:r>
    </w:p>
    <w:p w14:paraId="7E84770A" w14:textId="77777777" w:rsidR="00A16FBD" w:rsidRPr="00A16FBD" w:rsidRDefault="00A16FBD" w:rsidP="00A16FBD">
      <w:pPr>
        <w:ind w:left="144" w:right="144"/>
        <w:jc w:val="both"/>
      </w:pPr>
      <w:r w:rsidRPr="00A16FBD">
        <w:t> </w:t>
      </w:r>
    </w:p>
    <w:p w14:paraId="3AD7C95F" w14:textId="77777777" w:rsidR="00A16FBD" w:rsidRPr="00A16FBD" w:rsidRDefault="00A16FBD" w:rsidP="00C66962">
      <w:pPr>
        <w:jc w:val="both"/>
      </w:pPr>
      <w:r w:rsidRPr="00A16FBD">
        <w:t>Since its enactment, there have also been judicial and Congressional challenges to certain aspects of the Affordable Care Act, as well as efforts by the Trump administration to repeal or replace certain aspects of the statute. We continue to evaluate the effect that the Affordable Care Act and subsequent changes to the statute has on our business. It is uncertain the extent to which any such changes may impact our business or financial condition.</w:t>
      </w:r>
    </w:p>
    <w:p w14:paraId="03551C67" w14:textId="77777777" w:rsidR="00A16FBD" w:rsidRPr="00A16FBD" w:rsidRDefault="00A16FBD" w:rsidP="00A16FBD">
      <w:pPr>
        <w:ind w:left="144" w:right="144"/>
      </w:pPr>
      <w:r w:rsidRPr="00A16FBD">
        <w:t> </w:t>
      </w:r>
    </w:p>
    <w:p w14:paraId="732F5B8E" w14:textId="77777777" w:rsidR="00A16FBD" w:rsidRPr="00A16FBD" w:rsidRDefault="00A16FBD" w:rsidP="00C66962">
      <w:pPr>
        <w:jc w:val="both"/>
      </w:pPr>
      <w:r w:rsidRPr="00A16FBD">
        <w:t>There has also been heightened governmental scrutiny recently over the manner in which drug manufacturers set prices for their marketed products. There have been several Congressional inquiries and proposed bills, as well as state efforts, designed to, among other things, bring more transparency to product pricing, review the relationship between pricing and manufacturer patient programs, and reform government program reimbursement methodologies for drug products. In June 2017, the FDA issued a Drug Competition Action plan intended to lower prescription drug prices by encouraging competition from generic versions of existing products. In July 2018, the FDA issued a Biosimilar Action Plan, intended to similarly promote competition to prescription biologics from biosimilars.</w:t>
      </w:r>
    </w:p>
    <w:p w14:paraId="7AD84302" w14:textId="77777777" w:rsidR="00A16FBD" w:rsidRPr="00A16FBD" w:rsidRDefault="00A16FBD" w:rsidP="00A16FBD">
      <w:pPr>
        <w:ind w:left="144" w:right="144"/>
        <w:jc w:val="both"/>
      </w:pPr>
      <w:r w:rsidRPr="00A16FBD">
        <w:t> </w:t>
      </w:r>
    </w:p>
    <w:p w14:paraId="558F8E33" w14:textId="77777777" w:rsidR="00A16FBD" w:rsidRPr="00A16FBD" w:rsidRDefault="00A16FBD" w:rsidP="00C66962">
      <w:pPr>
        <w:jc w:val="both"/>
      </w:pPr>
      <w:r w:rsidRPr="00A16FBD">
        <w:t>Individual states in the United States have also become increasingly aggressive in passing legislation and implementing regulations designed to control pharmaceutical and biological product pricing, including price or patient reimbursement constraints, discounts, restrictions on certain product access and marketing cost disclosure and transparency measures. For example, in September 2017, the California State Assembly approved SB17, which requires pharmaceutical companies to notify health insurers and government health plans at least 60 days before any scheduled increases in the prices of their products if they exceed 16% over a two-year period, and further requiring pharmaceutical companies to explain the reasons for such increase. Effective in 2016, Vermont passed a law requiring certain manufacturers identified by the state to justify their price increases.</w:t>
      </w:r>
    </w:p>
    <w:p w14:paraId="7F4F18B5" w14:textId="77777777" w:rsidR="00A16FBD" w:rsidRPr="00A16FBD" w:rsidRDefault="00A16FBD" w:rsidP="00A16FBD">
      <w:pPr>
        <w:ind w:left="144" w:right="144"/>
      </w:pPr>
      <w:r w:rsidRPr="00A16FBD">
        <w:t> </w:t>
      </w:r>
    </w:p>
    <w:p w14:paraId="1873E452" w14:textId="77777777" w:rsidR="00A16FBD" w:rsidRPr="00A16FBD" w:rsidRDefault="00A16FBD" w:rsidP="00C66962">
      <w:pPr>
        <w:jc w:val="both"/>
      </w:pPr>
      <w:r w:rsidRPr="00A16FBD">
        <w:t>We expect that these, and other healthcare reform measures that may be adopted in the future, may result in more rigorous coverage criteria and lower reimbursement, and in downward pressure on the price that we receive for any approved product. Any reduction in reimbursement from Medicare or other government-funded programs may result in a similar reduction in payments from private payors. The implementation of cost containment measures or other healthcare reforms may prevent us from being able to generate revenue, attain profitability or commercialize our drugs, once marketing approval is obtained.</w:t>
      </w:r>
    </w:p>
    <w:p w14:paraId="3AA1EE62" w14:textId="19CCE8C7" w:rsidR="00A16FBD" w:rsidRPr="00A16FBD" w:rsidRDefault="00A16FBD" w:rsidP="00D9591B">
      <w:pPr>
        <w:ind w:left="144" w:right="144"/>
      </w:pPr>
      <w:r w:rsidRPr="00A16FBD">
        <w:rPr>
          <w:b/>
          <w:bCs/>
          <w:i/>
          <w:iCs/>
        </w:rPr>
        <w:t> </w:t>
      </w:r>
      <w:r w:rsidRPr="00A16FBD">
        <w:t> </w:t>
      </w:r>
    </w:p>
    <w:p w14:paraId="714308A7" w14:textId="77777777" w:rsidR="00A16FBD" w:rsidRPr="00A16FBD" w:rsidRDefault="00A16FBD" w:rsidP="00A16FBD">
      <w:r w:rsidRPr="00A16FBD">
        <w:rPr>
          <w:b/>
          <w:bCs/>
          <w:i/>
          <w:iCs/>
        </w:rPr>
        <w:t>We may not be successful in establishing collaborations for product candidates we seek to commercialize, which could adversely affect our ability to discover, develop, and commercialize products.</w:t>
      </w:r>
    </w:p>
    <w:p w14:paraId="33AFF3D1" w14:textId="77777777" w:rsidR="00A16FBD" w:rsidRPr="00A16FBD" w:rsidRDefault="00A16FBD" w:rsidP="00A16FBD">
      <w:pPr>
        <w:ind w:left="144" w:right="144"/>
      </w:pPr>
      <w:r w:rsidRPr="00A16FBD">
        <w:t> </w:t>
      </w:r>
    </w:p>
    <w:p w14:paraId="00296A3A" w14:textId="77777777" w:rsidR="00A16FBD" w:rsidRPr="00A16FBD" w:rsidRDefault="00A16FBD" w:rsidP="00C66962">
      <w:pPr>
        <w:jc w:val="both"/>
      </w:pPr>
      <w:r w:rsidRPr="00A16FBD">
        <w:t>We expect to seek collaborations for the development and commercialization of product candidates in the future. The timing and terms of any collaboration will depend on the evaluation by prospective collaborators of the clinical trial results and other aspects of a product’s safety and efficacy profile. If we are unable to reach agreements with suitable collaborators for any product candidate, we will be forced to fund the entire development and commercialization of such product candidates, ourselves, and we may not have the resources to do so. If resource constraints require us to enter into a collaboration agreement early in the development of a product candidate, we may be forced to accept a more limited share of any revenues the product may eventually generate. We face significant competition in seeking appropriate collaborators. Moreover, these collaboration arrangements are complex and time-consuming to negotiate and document. We may not be successful in our efforts to establish collaborations or other alternative arrangements for any product candidate. Even if we are successful in establishing collaborations, we may not be able to ensure fulfillment by collaborators of their obligations or our expectations.</w:t>
      </w:r>
    </w:p>
    <w:p w14:paraId="2C17656A" w14:textId="77777777" w:rsidR="00D9591B" w:rsidRDefault="00D9591B" w:rsidP="00A16FBD">
      <w:pPr>
        <w:rPr>
          <w:b/>
          <w:bCs/>
          <w:i/>
          <w:iCs/>
        </w:rPr>
      </w:pPr>
    </w:p>
    <w:p w14:paraId="68FB353A" w14:textId="1CF9895D" w:rsidR="00A16FBD" w:rsidRPr="00A16FBD" w:rsidRDefault="00A16FBD" w:rsidP="00A16FBD">
      <w:r w:rsidRPr="00A16FBD">
        <w:rPr>
          <w:b/>
          <w:bCs/>
          <w:i/>
          <w:iCs/>
        </w:rPr>
        <w:t>We do not have manufacturing, sales, or marketing experience.</w:t>
      </w:r>
    </w:p>
    <w:p w14:paraId="0835F0B4" w14:textId="77777777" w:rsidR="00A16FBD" w:rsidRPr="00A16FBD" w:rsidRDefault="00A16FBD" w:rsidP="00A16FBD">
      <w:pPr>
        <w:ind w:left="144" w:right="144"/>
      </w:pPr>
      <w:r w:rsidRPr="00A16FBD">
        <w:t> </w:t>
      </w:r>
    </w:p>
    <w:p w14:paraId="185FDBD2" w14:textId="77777777" w:rsidR="00A16FBD" w:rsidRPr="00A16FBD" w:rsidRDefault="00A16FBD" w:rsidP="00C66962">
      <w:pPr>
        <w:jc w:val="both"/>
      </w:pPr>
      <w:r w:rsidRPr="00A16FBD">
        <w:t>We do not have experience in manufacturing, selling, or marketing. To obtain the expertise necessary to successfully manufacture, market, and sell our products, we must develop our own commercial infrastructure and/or collaborative commercial arrangements and partnerships. Our ability to execute our current operating plan is dependent on numerous factors, including, the performance of third-party collaborators with whom we may contract.</w:t>
      </w:r>
    </w:p>
    <w:p w14:paraId="3080C422" w14:textId="77777777" w:rsidR="00A16FBD" w:rsidRPr="00A16FBD" w:rsidRDefault="00A16FBD" w:rsidP="00A16FBD">
      <w:pPr>
        <w:ind w:left="144" w:right="144"/>
      </w:pPr>
      <w:r w:rsidRPr="00A16FBD">
        <w:t> </w:t>
      </w:r>
    </w:p>
    <w:p w14:paraId="56F112B5" w14:textId="77777777" w:rsidR="00A16FBD" w:rsidRPr="00A16FBD" w:rsidRDefault="00A16FBD" w:rsidP="00A16FBD">
      <w:r w:rsidRPr="00A16FBD">
        <w:rPr>
          <w:b/>
          <w:bCs/>
          <w:i/>
          <w:iCs/>
        </w:rPr>
        <w:t>Our products under development may not gain market acceptance.</w:t>
      </w:r>
    </w:p>
    <w:p w14:paraId="79679918" w14:textId="77777777" w:rsidR="00A16FBD" w:rsidRPr="00A16FBD" w:rsidRDefault="00A16FBD" w:rsidP="00A16FBD">
      <w:pPr>
        <w:ind w:left="144" w:right="144"/>
      </w:pPr>
      <w:r w:rsidRPr="00A16FBD">
        <w:t> </w:t>
      </w:r>
    </w:p>
    <w:p w14:paraId="16692AC7" w14:textId="77777777" w:rsidR="00A16FBD" w:rsidRPr="00A16FBD" w:rsidRDefault="00A16FBD" w:rsidP="00C66962">
      <w:pPr>
        <w:jc w:val="both"/>
      </w:pPr>
      <w:r w:rsidRPr="00A16FBD">
        <w:t>Our products may not gain market acceptance among physicians, patients, healthcare payers and the medical community. Significant factors in determining whether we will be able to compete successfully include:</w:t>
      </w:r>
    </w:p>
    <w:p w14:paraId="5B9ACDE9" w14:textId="77777777" w:rsidR="00A16FBD" w:rsidRPr="00A16FBD" w:rsidRDefault="00A16FBD" w:rsidP="00A16FBD">
      <w:pPr>
        <w:ind w:left="144" w:right="144" w:firstLine="720"/>
      </w:pPr>
      <w:r w:rsidRPr="00A16FBD">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22B6A5CA" w14:textId="77777777" w:rsidTr="00A16FBD">
        <w:trPr>
          <w:tblCellSpacing w:w="0" w:type="dxa"/>
        </w:trPr>
        <w:tc>
          <w:tcPr>
            <w:tcW w:w="720" w:type="dxa"/>
            <w:hideMark/>
          </w:tcPr>
          <w:p w14:paraId="5CDA57A2" w14:textId="77777777" w:rsidR="00A16FBD" w:rsidRPr="00A16FBD" w:rsidRDefault="00A16FBD" w:rsidP="00A16FBD">
            <w:pPr>
              <w:rPr>
                <w:sz w:val="24"/>
                <w:szCs w:val="24"/>
              </w:rPr>
            </w:pPr>
            <w:r w:rsidRPr="00A16FBD">
              <w:rPr>
                <w:sz w:val="24"/>
                <w:szCs w:val="24"/>
              </w:rPr>
              <w:t> </w:t>
            </w:r>
          </w:p>
        </w:tc>
        <w:tc>
          <w:tcPr>
            <w:tcW w:w="360" w:type="dxa"/>
            <w:hideMark/>
          </w:tcPr>
          <w:p w14:paraId="3F60C296" w14:textId="77777777" w:rsidR="00A16FBD" w:rsidRPr="00A16FBD" w:rsidRDefault="00A16FBD" w:rsidP="00A16FBD">
            <w:r w:rsidRPr="00A16FBD">
              <w:t>•</w:t>
            </w:r>
          </w:p>
        </w:tc>
        <w:tc>
          <w:tcPr>
            <w:tcW w:w="0" w:type="auto"/>
            <w:hideMark/>
          </w:tcPr>
          <w:p w14:paraId="7E15BB12" w14:textId="77777777" w:rsidR="00A16FBD" w:rsidRPr="00A16FBD" w:rsidRDefault="00A16FBD" w:rsidP="00A16FBD">
            <w:r w:rsidRPr="00A16FBD">
              <w:t>the efficacy and safety of our products;</w:t>
            </w:r>
          </w:p>
        </w:tc>
      </w:tr>
    </w:tbl>
    <w:p w14:paraId="540300C9"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188E2E39" w14:textId="77777777" w:rsidTr="00A16FBD">
        <w:trPr>
          <w:tblCellSpacing w:w="0" w:type="dxa"/>
        </w:trPr>
        <w:tc>
          <w:tcPr>
            <w:tcW w:w="720" w:type="dxa"/>
            <w:hideMark/>
          </w:tcPr>
          <w:p w14:paraId="12420706" w14:textId="77777777" w:rsidR="00A16FBD" w:rsidRPr="00A16FBD" w:rsidRDefault="00A16FBD" w:rsidP="00A16FBD">
            <w:pPr>
              <w:rPr>
                <w:sz w:val="24"/>
                <w:szCs w:val="24"/>
              </w:rPr>
            </w:pPr>
            <w:r w:rsidRPr="00A16FBD">
              <w:rPr>
                <w:sz w:val="24"/>
                <w:szCs w:val="24"/>
              </w:rPr>
              <w:t> </w:t>
            </w:r>
          </w:p>
        </w:tc>
        <w:tc>
          <w:tcPr>
            <w:tcW w:w="360" w:type="dxa"/>
            <w:hideMark/>
          </w:tcPr>
          <w:p w14:paraId="0A142928" w14:textId="77777777" w:rsidR="00A16FBD" w:rsidRPr="00A16FBD" w:rsidRDefault="00A16FBD" w:rsidP="00A16FBD">
            <w:r w:rsidRPr="00A16FBD">
              <w:t>•</w:t>
            </w:r>
          </w:p>
        </w:tc>
        <w:tc>
          <w:tcPr>
            <w:tcW w:w="0" w:type="auto"/>
            <w:hideMark/>
          </w:tcPr>
          <w:p w14:paraId="427B8AF2" w14:textId="77777777" w:rsidR="00A16FBD" w:rsidRPr="00A16FBD" w:rsidRDefault="00A16FBD" w:rsidP="00A16FBD">
            <w:r w:rsidRPr="00A16FBD">
              <w:t>the time and scope of regulatory approval;</w:t>
            </w:r>
          </w:p>
        </w:tc>
      </w:tr>
    </w:tbl>
    <w:p w14:paraId="218FFF0D"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38938E93" w14:textId="77777777" w:rsidTr="00A16FBD">
        <w:trPr>
          <w:tblCellSpacing w:w="0" w:type="dxa"/>
        </w:trPr>
        <w:tc>
          <w:tcPr>
            <w:tcW w:w="720" w:type="dxa"/>
            <w:hideMark/>
          </w:tcPr>
          <w:p w14:paraId="2C384DFF" w14:textId="77777777" w:rsidR="00A16FBD" w:rsidRPr="00A16FBD" w:rsidRDefault="00A16FBD" w:rsidP="00A16FBD">
            <w:pPr>
              <w:rPr>
                <w:sz w:val="24"/>
                <w:szCs w:val="24"/>
              </w:rPr>
            </w:pPr>
            <w:r w:rsidRPr="00A16FBD">
              <w:rPr>
                <w:sz w:val="24"/>
                <w:szCs w:val="24"/>
              </w:rPr>
              <w:t> </w:t>
            </w:r>
          </w:p>
        </w:tc>
        <w:tc>
          <w:tcPr>
            <w:tcW w:w="360" w:type="dxa"/>
            <w:hideMark/>
          </w:tcPr>
          <w:p w14:paraId="0714F2ED" w14:textId="77777777" w:rsidR="00A16FBD" w:rsidRPr="00A16FBD" w:rsidRDefault="00A16FBD" w:rsidP="00A16FBD">
            <w:r w:rsidRPr="00A16FBD">
              <w:t>•</w:t>
            </w:r>
          </w:p>
        </w:tc>
        <w:tc>
          <w:tcPr>
            <w:tcW w:w="0" w:type="auto"/>
            <w:hideMark/>
          </w:tcPr>
          <w:p w14:paraId="49B825EB" w14:textId="77777777" w:rsidR="00A16FBD" w:rsidRPr="00A16FBD" w:rsidRDefault="00A16FBD" w:rsidP="00A16FBD">
            <w:r w:rsidRPr="00A16FBD">
              <w:t>reimbursement coverage from insurance companies and others;</w:t>
            </w:r>
          </w:p>
        </w:tc>
      </w:tr>
    </w:tbl>
    <w:p w14:paraId="0FD16DF4"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722B286D" w14:textId="77777777" w:rsidTr="00A16FBD">
        <w:trPr>
          <w:tblCellSpacing w:w="0" w:type="dxa"/>
        </w:trPr>
        <w:tc>
          <w:tcPr>
            <w:tcW w:w="720" w:type="dxa"/>
            <w:hideMark/>
          </w:tcPr>
          <w:p w14:paraId="7073E73B" w14:textId="77777777" w:rsidR="00A16FBD" w:rsidRPr="00A16FBD" w:rsidRDefault="00A16FBD" w:rsidP="00A16FBD">
            <w:pPr>
              <w:rPr>
                <w:sz w:val="24"/>
                <w:szCs w:val="24"/>
              </w:rPr>
            </w:pPr>
            <w:r w:rsidRPr="00A16FBD">
              <w:rPr>
                <w:sz w:val="24"/>
                <w:szCs w:val="24"/>
              </w:rPr>
              <w:t> </w:t>
            </w:r>
          </w:p>
        </w:tc>
        <w:tc>
          <w:tcPr>
            <w:tcW w:w="360" w:type="dxa"/>
            <w:hideMark/>
          </w:tcPr>
          <w:p w14:paraId="297AA81D" w14:textId="77777777" w:rsidR="00A16FBD" w:rsidRPr="00A16FBD" w:rsidRDefault="00A16FBD" w:rsidP="00A16FBD">
            <w:r w:rsidRPr="00A16FBD">
              <w:t>•</w:t>
            </w:r>
          </w:p>
        </w:tc>
        <w:tc>
          <w:tcPr>
            <w:tcW w:w="0" w:type="auto"/>
            <w:hideMark/>
          </w:tcPr>
          <w:p w14:paraId="619026BE" w14:textId="77777777" w:rsidR="00A16FBD" w:rsidRPr="00A16FBD" w:rsidRDefault="00A16FBD" w:rsidP="00A16FBD">
            <w:r w:rsidRPr="00A16FBD">
              <w:t>the price and cost-effectiveness of our products, especially as compared to any competitive products; and</w:t>
            </w:r>
          </w:p>
        </w:tc>
      </w:tr>
    </w:tbl>
    <w:p w14:paraId="7CBAE2E4"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308CCD40" w14:textId="77777777" w:rsidTr="00A16FBD">
        <w:trPr>
          <w:tblCellSpacing w:w="0" w:type="dxa"/>
        </w:trPr>
        <w:tc>
          <w:tcPr>
            <w:tcW w:w="720" w:type="dxa"/>
            <w:hideMark/>
          </w:tcPr>
          <w:p w14:paraId="289F4A6D" w14:textId="77777777" w:rsidR="00A16FBD" w:rsidRPr="00A16FBD" w:rsidRDefault="00A16FBD" w:rsidP="00A16FBD">
            <w:pPr>
              <w:rPr>
                <w:sz w:val="24"/>
                <w:szCs w:val="24"/>
              </w:rPr>
            </w:pPr>
            <w:r w:rsidRPr="00A16FBD">
              <w:rPr>
                <w:sz w:val="24"/>
                <w:szCs w:val="24"/>
              </w:rPr>
              <w:t> </w:t>
            </w:r>
          </w:p>
        </w:tc>
        <w:tc>
          <w:tcPr>
            <w:tcW w:w="360" w:type="dxa"/>
            <w:hideMark/>
          </w:tcPr>
          <w:p w14:paraId="01F70C58" w14:textId="77777777" w:rsidR="00A16FBD" w:rsidRPr="00A16FBD" w:rsidRDefault="00A16FBD" w:rsidP="00A16FBD">
            <w:r w:rsidRPr="00A16FBD">
              <w:t>•</w:t>
            </w:r>
          </w:p>
        </w:tc>
        <w:tc>
          <w:tcPr>
            <w:tcW w:w="0" w:type="auto"/>
            <w:hideMark/>
          </w:tcPr>
          <w:p w14:paraId="7DA15026" w14:textId="77777777" w:rsidR="00A16FBD" w:rsidRPr="00A16FBD" w:rsidRDefault="00A16FBD" w:rsidP="00A16FBD">
            <w:r w:rsidRPr="00A16FBD">
              <w:t>the ability to maintain patent protection.</w:t>
            </w:r>
          </w:p>
        </w:tc>
      </w:tr>
    </w:tbl>
    <w:p w14:paraId="24AADC01" w14:textId="77777777" w:rsidR="00A16FBD" w:rsidRPr="00A16FBD" w:rsidRDefault="00A16FBD" w:rsidP="00A16FBD">
      <w:pPr>
        <w:ind w:left="144" w:right="144"/>
      </w:pPr>
      <w:r w:rsidRPr="00A16FBD">
        <w:rPr>
          <w:b/>
          <w:bCs/>
          <w:i/>
          <w:iCs/>
        </w:rPr>
        <w:t> </w:t>
      </w:r>
    </w:p>
    <w:p w14:paraId="49C6DE57" w14:textId="77777777" w:rsidR="00A16FBD" w:rsidRPr="00A16FBD" w:rsidRDefault="00A16FBD" w:rsidP="00A16FBD">
      <w:r w:rsidRPr="00A16FBD">
        <w:rPr>
          <w:b/>
          <w:bCs/>
          <w:i/>
          <w:iCs/>
        </w:rPr>
        <w:t>We may be required to defend lawsuits or pay damages for product liability claims.</w:t>
      </w:r>
    </w:p>
    <w:p w14:paraId="6D4C907C" w14:textId="77777777" w:rsidR="00A16FBD" w:rsidRPr="00A16FBD" w:rsidRDefault="00A16FBD" w:rsidP="00A16FBD">
      <w:pPr>
        <w:ind w:left="144" w:right="144"/>
      </w:pPr>
      <w:r w:rsidRPr="00A16FBD">
        <w:t> </w:t>
      </w:r>
    </w:p>
    <w:p w14:paraId="2D4FDFEE" w14:textId="77777777" w:rsidR="00A16FBD" w:rsidRPr="00A16FBD" w:rsidRDefault="00A16FBD" w:rsidP="00C66962">
      <w:pPr>
        <w:jc w:val="both"/>
      </w:pPr>
      <w:r w:rsidRPr="00A16FBD">
        <w:t>Product liability is a major risk in testing and marketing biotechnology and pharmaceutical products. We may face substantial product liability exposure in human clinical trials and for products that we sell after regulatory approval. We carry product liability insurance and we expect to continue such policies. However, product liability claims, regardless of their merits, could exceed policy limits, divert management’s attention, and adversely affect our reputation and demand for our products.</w:t>
      </w:r>
    </w:p>
    <w:p w14:paraId="6C4E831A" w14:textId="77777777" w:rsidR="00A16FBD" w:rsidRPr="00A16FBD" w:rsidRDefault="00A16FBD" w:rsidP="00A16FBD">
      <w:pPr>
        <w:ind w:left="144" w:right="144"/>
      </w:pPr>
      <w:r w:rsidRPr="00A16FBD">
        <w:t> </w:t>
      </w:r>
    </w:p>
    <w:p w14:paraId="1B086DE4" w14:textId="77777777" w:rsidR="00A16FBD" w:rsidRPr="00A16FBD" w:rsidRDefault="00A16FBD" w:rsidP="00A16FBD">
      <w:r w:rsidRPr="00A16FBD">
        <w:rPr>
          <w:b/>
          <w:bCs/>
          <w:i/>
          <w:iCs/>
        </w:rPr>
        <w:t>Reimbursement decisions by third-party payors may have an adverse effect on pricing and market acceptance. If there is not sufficient reimbursement for our products, it is less likely that they will be widely used.</w:t>
      </w:r>
    </w:p>
    <w:p w14:paraId="2D6C779B" w14:textId="77777777" w:rsidR="00A16FBD" w:rsidRPr="00A16FBD" w:rsidRDefault="00A16FBD" w:rsidP="00A16FBD">
      <w:pPr>
        <w:ind w:left="144" w:right="144"/>
      </w:pPr>
      <w:r w:rsidRPr="00A16FBD">
        <w:t> </w:t>
      </w:r>
    </w:p>
    <w:p w14:paraId="35353C7E" w14:textId="77777777" w:rsidR="00A16FBD" w:rsidRPr="00A16FBD" w:rsidRDefault="00A16FBD" w:rsidP="00C66962">
      <w:pPr>
        <w:jc w:val="both"/>
      </w:pPr>
      <w:r w:rsidRPr="00A16FBD">
        <w:t>Market acceptance of products we develop, if approved, will depend on reimbursement policies and may be affected by, among other things, future healthcare reform measures. Government authorities and third-party payors, such as private health insurers and health maintenance organizations, decide which drugs they will cover and establish payment levels. We cannot be certain that reimbursement will be available for any products that we may develop. Also, we cannot be certain that reimbursement policies will not reduce the demand for, or the price paid for our products. If reimbursement is not available or is available on a limited basis, we may not be able to successfully commercialize products that we develop.</w:t>
      </w:r>
    </w:p>
    <w:p w14:paraId="565E76AD" w14:textId="77777777" w:rsidR="00A16FBD" w:rsidRPr="00A16FBD" w:rsidRDefault="00A16FBD" w:rsidP="00A16FBD">
      <w:pPr>
        <w:ind w:left="144" w:right="144" w:firstLine="720"/>
      </w:pPr>
      <w:r w:rsidRPr="00A16FBD">
        <w:rPr>
          <w:b/>
          <w:bCs/>
        </w:rPr>
        <w:t> </w:t>
      </w:r>
    </w:p>
    <w:p w14:paraId="00FBC0F0" w14:textId="77777777" w:rsidR="00A16FBD" w:rsidRPr="00A16FBD" w:rsidRDefault="00A16FBD" w:rsidP="00A16FBD">
      <w:pPr>
        <w:ind w:left="144" w:right="144"/>
        <w:jc w:val="center"/>
      </w:pPr>
      <w:r w:rsidRPr="00A16FBD">
        <w:rPr>
          <w:b/>
          <w:bCs/>
        </w:rPr>
        <w:t>Risks Related to Our Intellectual Property</w:t>
      </w:r>
    </w:p>
    <w:p w14:paraId="552574DA" w14:textId="77777777" w:rsidR="00A16FBD" w:rsidRPr="00A16FBD" w:rsidRDefault="00A16FBD" w:rsidP="00A16FBD">
      <w:pPr>
        <w:ind w:left="144" w:right="144"/>
      </w:pPr>
      <w:r w:rsidRPr="00A16FBD">
        <w:t> </w:t>
      </w:r>
    </w:p>
    <w:p w14:paraId="1900BBD8" w14:textId="77777777" w:rsidR="00A16FBD" w:rsidRPr="00A16FBD" w:rsidRDefault="00A16FBD" w:rsidP="00A16FBD">
      <w:r w:rsidRPr="00A16FBD">
        <w:rPr>
          <w:b/>
          <w:bCs/>
          <w:i/>
          <w:iCs/>
        </w:rPr>
        <w:t>We could lose our license rights to our important intellectual property if we do not fulfill our contractual obligations to our licensors.</w:t>
      </w:r>
    </w:p>
    <w:p w14:paraId="4C331AF2" w14:textId="77777777" w:rsidR="00A16FBD" w:rsidRPr="00A16FBD" w:rsidRDefault="00A16FBD" w:rsidP="00A16FBD">
      <w:pPr>
        <w:ind w:left="144" w:right="144"/>
      </w:pPr>
      <w:r w:rsidRPr="00A16FBD">
        <w:t> </w:t>
      </w:r>
    </w:p>
    <w:p w14:paraId="5F9D88B5" w14:textId="77777777" w:rsidR="00A16FBD" w:rsidRPr="00A16FBD" w:rsidRDefault="00A16FBD" w:rsidP="00C66962">
      <w:pPr>
        <w:jc w:val="both"/>
      </w:pPr>
      <w:r w:rsidRPr="00A16FBD">
        <w:t>Our rights to significant parts of the technology we use in our products are licensed from third parties and are subject to termination if we do not fulfill our contractual obligations to our licensors. Termination of intellectual property rights under any of our license agreements could adversely impact our ability to produce or protect our products. Our obligations under our license agreements include requirements that we make milestone payments to our licensors upon the achievement of clinical development and regulatory approval milestones, royalties as we sell commercial products, and reimbursement of patent filing and maintenance expenses. Should we become bankrupt or otherwise unable to fulfill our contractual obligations, our licensors could terminate our rights to critical technology that we rely upon.</w:t>
      </w:r>
    </w:p>
    <w:p w14:paraId="39927CF1" w14:textId="77777777" w:rsidR="00A16FBD" w:rsidRPr="00A16FBD" w:rsidRDefault="00A16FBD" w:rsidP="00A16FBD">
      <w:pPr>
        <w:ind w:left="144" w:right="144"/>
      </w:pPr>
      <w:r w:rsidRPr="00A16FBD">
        <w:t> </w:t>
      </w:r>
    </w:p>
    <w:p w14:paraId="50A95393" w14:textId="77777777" w:rsidR="00A16FBD" w:rsidRPr="00A16FBD" w:rsidRDefault="00A16FBD" w:rsidP="00A16FBD">
      <w:pPr>
        <w:jc w:val="both"/>
      </w:pPr>
      <w:r w:rsidRPr="00A16FBD">
        <w:rPr>
          <w:b/>
          <w:bCs/>
          <w:i/>
          <w:iCs/>
        </w:rPr>
        <w:t>If we are unable to finalize our license agreements with the NIH, we may not be able to continue our work.</w:t>
      </w:r>
    </w:p>
    <w:p w14:paraId="0AF80878" w14:textId="77777777" w:rsidR="00A16FBD" w:rsidRPr="00A16FBD" w:rsidRDefault="00A16FBD" w:rsidP="00A16FBD">
      <w:pPr>
        <w:ind w:left="144" w:right="144"/>
      </w:pPr>
      <w:r w:rsidRPr="00A16FBD">
        <w:t> </w:t>
      </w:r>
    </w:p>
    <w:p w14:paraId="6869A3CE" w14:textId="51134F4B" w:rsidR="00A16FBD" w:rsidRPr="00A16FBD" w:rsidRDefault="00D9591B" w:rsidP="00C66962">
      <w:pPr>
        <w:jc w:val="both"/>
      </w:pPr>
      <w:r>
        <w:t>W</w:t>
      </w:r>
      <w:r w:rsidR="00A16FBD" w:rsidRPr="00A16FBD">
        <w:t xml:space="preserve">e have </w:t>
      </w:r>
      <w:r w:rsidR="00C66962">
        <w:t>secured a</w:t>
      </w:r>
      <w:r w:rsidR="00A16FBD" w:rsidRPr="00A16FBD">
        <w:t xml:space="preserve"> non-exclusive commercial license to the NIH MVA backbone for our SARS CoV-2 vaccine with the NIAID of the NIH on behalf of the United States, which includes the use of certain patents and patent applications arising from the Moss laboratory and the provided materials. We have also agreed on material terms for a non-exclusive research and development license to use the MVA backbone for our other vaccine candidates</w:t>
      </w:r>
      <w:r w:rsidR="00C66962">
        <w:t xml:space="preserve">, which has </w:t>
      </w:r>
      <w:r w:rsidR="00A16FBD" w:rsidRPr="00A16FBD">
        <w:t xml:space="preserve">been approved by the appropriate committees within the NIH and </w:t>
      </w:r>
      <w:r w:rsidR="00C66962">
        <w:t>is</w:t>
      </w:r>
      <w:r w:rsidR="00A16FBD" w:rsidRPr="00A16FBD">
        <w:t xml:space="preserve"> awaiting final signature. If we later decide to commercialize vaccine candidates that are under the research and development license, we will need to negotiate appropriate commercialization licenses. If we are unable to finalize these agreements on the agreed-upon terms, we may have to accept less favorable terms, and it is possible that we will be unable to agree. In that case, we may not be able to continue our work.</w:t>
      </w:r>
    </w:p>
    <w:p w14:paraId="37BE093A" w14:textId="77777777" w:rsidR="00A16FBD" w:rsidRPr="00A16FBD" w:rsidRDefault="00A16FBD" w:rsidP="00A16FBD">
      <w:pPr>
        <w:ind w:left="144" w:right="144"/>
      </w:pPr>
      <w:r w:rsidRPr="00A16FBD">
        <w:t> </w:t>
      </w:r>
    </w:p>
    <w:p w14:paraId="1074C56C" w14:textId="77777777" w:rsidR="00A16FBD" w:rsidRPr="00A16FBD" w:rsidRDefault="00A16FBD" w:rsidP="00A16FBD">
      <w:r w:rsidRPr="00A16FBD">
        <w:rPr>
          <w:b/>
          <w:bCs/>
          <w:i/>
          <w:iCs/>
        </w:rPr>
        <w:t>Other parties may claim that we infringe their intellectual property or proprietary rights, which could cause us to incur significant expenses or prevent us from selling products.</w:t>
      </w:r>
    </w:p>
    <w:p w14:paraId="6AC6816B" w14:textId="77777777" w:rsidR="00A16FBD" w:rsidRPr="00A16FBD" w:rsidRDefault="00A16FBD" w:rsidP="00A16FBD">
      <w:pPr>
        <w:ind w:left="144" w:right="144"/>
      </w:pPr>
      <w:r w:rsidRPr="00A16FBD">
        <w:t> </w:t>
      </w:r>
    </w:p>
    <w:p w14:paraId="5C5FE71F" w14:textId="77777777" w:rsidR="00A16FBD" w:rsidRPr="00A16FBD" w:rsidRDefault="00A16FBD" w:rsidP="00C66962">
      <w:pPr>
        <w:jc w:val="both"/>
      </w:pPr>
      <w:r w:rsidRPr="00A16FBD">
        <w:t>Our success will depend in part on our ability to operate without infringing the patents and proprietary rights of third parties. The manufacture, use and sale of new products have been subject to substantial patent rights litigation in the pharmaceutical industry. These lawsuits generally relate to the validity and infringement of patents or proprietary rights of third parties. Infringement litigation is prevalent with respect to generic versions of products for which the patent covering the brand name product is expiring, particularly since many companies that market generic products focus their development efforts on products with expiring patents. Pharmaceutical companies, biotechnology companies, universities, research institutions or other third parties may have filed patent applications or may have been granted patents that cover aspects of our products or our licensors’ products, product candidates or other technologies.</w:t>
      </w:r>
    </w:p>
    <w:p w14:paraId="663276D6" w14:textId="77777777" w:rsidR="00A16FBD" w:rsidRPr="00A16FBD" w:rsidRDefault="00A16FBD" w:rsidP="00A16FBD">
      <w:pPr>
        <w:ind w:left="144" w:right="144"/>
        <w:jc w:val="both"/>
      </w:pPr>
      <w:r w:rsidRPr="00A16FBD">
        <w:t> </w:t>
      </w:r>
    </w:p>
    <w:p w14:paraId="3905E322" w14:textId="77777777" w:rsidR="00A16FBD" w:rsidRPr="00A16FBD" w:rsidRDefault="00A16FBD" w:rsidP="00C66962">
      <w:pPr>
        <w:jc w:val="both"/>
      </w:pPr>
      <w:r w:rsidRPr="00A16FBD">
        <w:t>Future or existing patents issued to third parties may contain patent claims that conflict with those of our products. We expect to be subject to infringement claims from time to time in the ordinary course of business, and third parties could assert infringement claims against us in the future with respect to our current products or with respect to products that we may develop or license. Litigation or interference proceedings could force us to:</w:t>
      </w:r>
    </w:p>
    <w:p w14:paraId="31E75EB4" w14:textId="77777777" w:rsidR="00A16FBD" w:rsidRPr="00A16FBD" w:rsidRDefault="00A16FBD" w:rsidP="00A16FBD">
      <w:pPr>
        <w:ind w:left="144" w:right="144" w:firstLine="720"/>
        <w:jc w:val="both"/>
      </w:pPr>
      <w:r w:rsidRPr="00A16FBD">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303E1F0B" w14:textId="77777777" w:rsidTr="00A16FBD">
        <w:trPr>
          <w:tblCellSpacing w:w="0" w:type="dxa"/>
        </w:trPr>
        <w:tc>
          <w:tcPr>
            <w:tcW w:w="720" w:type="dxa"/>
            <w:hideMark/>
          </w:tcPr>
          <w:p w14:paraId="1428E095" w14:textId="77777777" w:rsidR="00A16FBD" w:rsidRPr="00A16FBD" w:rsidRDefault="00A16FBD" w:rsidP="00A16FBD">
            <w:pPr>
              <w:rPr>
                <w:sz w:val="24"/>
                <w:szCs w:val="24"/>
              </w:rPr>
            </w:pPr>
            <w:r w:rsidRPr="00A16FBD">
              <w:rPr>
                <w:sz w:val="24"/>
                <w:szCs w:val="24"/>
              </w:rPr>
              <w:t> </w:t>
            </w:r>
          </w:p>
        </w:tc>
        <w:tc>
          <w:tcPr>
            <w:tcW w:w="360" w:type="dxa"/>
            <w:hideMark/>
          </w:tcPr>
          <w:p w14:paraId="7F3C68A6" w14:textId="77777777" w:rsidR="00A16FBD" w:rsidRPr="00A16FBD" w:rsidRDefault="00A16FBD" w:rsidP="00A16FBD">
            <w:r w:rsidRPr="00A16FBD">
              <w:t>•</w:t>
            </w:r>
          </w:p>
        </w:tc>
        <w:tc>
          <w:tcPr>
            <w:tcW w:w="0" w:type="auto"/>
            <w:hideMark/>
          </w:tcPr>
          <w:p w14:paraId="4B87B52B" w14:textId="77777777" w:rsidR="00A16FBD" w:rsidRPr="00A16FBD" w:rsidRDefault="00A16FBD" w:rsidP="00A16FBD">
            <w:pPr>
              <w:jc w:val="both"/>
            </w:pPr>
            <w:r w:rsidRPr="00A16FBD">
              <w:t>stop or delay selling, manufacturing or using products that incorporate, or are made using the challenged intellectual property;</w:t>
            </w:r>
          </w:p>
        </w:tc>
      </w:tr>
    </w:tbl>
    <w:p w14:paraId="5A39BC77"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2938F70C" w14:textId="77777777" w:rsidTr="00A16FBD">
        <w:trPr>
          <w:tblCellSpacing w:w="0" w:type="dxa"/>
        </w:trPr>
        <w:tc>
          <w:tcPr>
            <w:tcW w:w="720" w:type="dxa"/>
            <w:hideMark/>
          </w:tcPr>
          <w:p w14:paraId="74000867" w14:textId="77777777" w:rsidR="00A16FBD" w:rsidRPr="00A16FBD" w:rsidRDefault="00A16FBD" w:rsidP="00A16FBD">
            <w:pPr>
              <w:rPr>
                <w:sz w:val="24"/>
                <w:szCs w:val="24"/>
              </w:rPr>
            </w:pPr>
            <w:r w:rsidRPr="00A16FBD">
              <w:rPr>
                <w:sz w:val="24"/>
                <w:szCs w:val="24"/>
              </w:rPr>
              <w:t> </w:t>
            </w:r>
          </w:p>
        </w:tc>
        <w:tc>
          <w:tcPr>
            <w:tcW w:w="360" w:type="dxa"/>
            <w:hideMark/>
          </w:tcPr>
          <w:p w14:paraId="404F5C31" w14:textId="77777777" w:rsidR="00A16FBD" w:rsidRPr="00A16FBD" w:rsidRDefault="00A16FBD" w:rsidP="00A16FBD">
            <w:pPr>
              <w:jc w:val="both"/>
            </w:pPr>
            <w:r w:rsidRPr="00A16FBD">
              <w:t>•</w:t>
            </w:r>
          </w:p>
        </w:tc>
        <w:tc>
          <w:tcPr>
            <w:tcW w:w="0" w:type="auto"/>
            <w:hideMark/>
          </w:tcPr>
          <w:p w14:paraId="3F90988C" w14:textId="77777777" w:rsidR="00A16FBD" w:rsidRPr="00A16FBD" w:rsidRDefault="00A16FBD" w:rsidP="00A16FBD">
            <w:pPr>
              <w:jc w:val="both"/>
            </w:pPr>
            <w:r w:rsidRPr="00A16FBD">
              <w:t>pay damages; or</w:t>
            </w:r>
          </w:p>
        </w:tc>
      </w:tr>
    </w:tbl>
    <w:p w14:paraId="096A4614" w14:textId="77777777" w:rsidR="00A16FBD" w:rsidRPr="00A16FBD" w:rsidRDefault="00A16FBD" w:rsidP="00A16FBD">
      <w:pPr>
        <w:rPr>
          <w:vanish/>
        </w:rPr>
      </w:pPr>
    </w:p>
    <w:tbl>
      <w:tblPr>
        <w:tblW w:w="5000" w:type="pct"/>
        <w:tblCellSpacing w:w="0" w:type="dxa"/>
        <w:tblCellMar>
          <w:left w:w="0" w:type="dxa"/>
          <w:right w:w="0" w:type="dxa"/>
        </w:tblCellMar>
        <w:tblLook w:val="04A0" w:firstRow="1" w:lastRow="0" w:firstColumn="1" w:lastColumn="0" w:noHBand="0" w:noVBand="1"/>
      </w:tblPr>
      <w:tblGrid>
        <w:gridCol w:w="720"/>
        <w:gridCol w:w="360"/>
        <w:gridCol w:w="8856"/>
      </w:tblGrid>
      <w:tr w:rsidR="00A16FBD" w:rsidRPr="00A16FBD" w14:paraId="45B8A2C2" w14:textId="77777777" w:rsidTr="00A16FBD">
        <w:trPr>
          <w:tblCellSpacing w:w="0" w:type="dxa"/>
        </w:trPr>
        <w:tc>
          <w:tcPr>
            <w:tcW w:w="720" w:type="dxa"/>
            <w:hideMark/>
          </w:tcPr>
          <w:p w14:paraId="4D0F2204" w14:textId="77777777" w:rsidR="00A16FBD" w:rsidRPr="00A16FBD" w:rsidRDefault="00A16FBD" w:rsidP="00A16FBD">
            <w:pPr>
              <w:rPr>
                <w:sz w:val="24"/>
                <w:szCs w:val="24"/>
              </w:rPr>
            </w:pPr>
            <w:r w:rsidRPr="00A16FBD">
              <w:rPr>
                <w:sz w:val="24"/>
                <w:szCs w:val="24"/>
              </w:rPr>
              <w:t> </w:t>
            </w:r>
          </w:p>
        </w:tc>
        <w:tc>
          <w:tcPr>
            <w:tcW w:w="360" w:type="dxa"/>
            <w:hideMark/>
          </w:tcPr>
          <w:p w14:paraId="5898C87F" w14:textId="77777777" w:rsidR="00A16FBD" w:rsidRPr="00A16FBD" w:rsidRDefault="00A16FBD" w:rsidP="00A16FBD">
            <w:pPr>
              <w:jc w:val="both"/>
            </w:pPr>
            <w:r w:rsidRPr="00A16FBD">
              <w:t>•</w:t>
            </w:r>
          </w:p>
        </w:tc>
        <w:tc>
          <w:tcPr>
            <w:tcW w:w="0" w:type="auto"/>
            <w:hideMark/>
          </w:tcPr>
          <w:p w14:paraId="78509031" w14:textId="77777777" w:rsidR="00A16FBD" w:rsidRPr="00A16FBD" w:rsidRDefault="00A16FBD" w:rsidP="00A16FBD">
            <w:pPr>
              <w:jc w:val="both"/>
            </w:pPr>
            <w:r w:rsidRPr="00A16FBD">
              <w:t>enter into licensing or royalty agreements that may not be available on acceptable terms, if at all.</w:t>
            </w:r>
          </w:p>
        </w:tc>
      </w:tr>
    </w:tbl>
    <w:p w14:paraId="5748C929" w14:textId="77777777" w:rsidR="00A16FBD" w:rsidRPr="00A16FBD" w:rsidRDefault="00A16FBD" w:rsidP="00A16FBD">
      <w:pPr>
        <w:ind w:left="144" w:right="144"/>
        <w:jc w:val="both"/>
      </w:pPr>
      <w:r w:rsidRPr="00A16FBD">
        <w:t> </w:t>
      </w:r>
    </w:p>
    <w:p w14:paraId="1E5A1E30" w14:textId="77777777" w:rsidR="00A16FBD" w:rsidRPr="00A16FBD" w:rsidRDefault="00A16FBD" w:rsidP="00C66962">
      <w:pPr>
        <w:jc w:val="both"/>
      </w:pPr>
      <w:r w:rsidRPr="00A16FBD">
        <w:t>Any litigation or interference proceedings, regardless of their outcome, would likely delay the regulatory approval process, be costly and require significant time and attention of our key management and technical personnel.</w:t>
      </w:r>
    </w:p>
    <w:p w14:paraId="0244C752" w14:textId="77777777" w:rsidR="00A16FBD" w:rsidRPr="00A16FBD" w:rsidRDefault="00A16FBD" w:rsidP="00A16FBD">
      <w:pPr>
        <w:ind w:left="144" w:right="144"/>
      </w:pPr>
      <w:r w:rsidRPr="00A16FBD">
        <w:t> </w:t>
      </w:r>
    </w:p>
    <w:p w14:paraId="239F4AE4" w14:textId="77777777" w:rsidR="00A16FBD" w:rsidRPr="00A16FBD" w:rsidRDefault="00A16FBD" w:rsidP="00A16FBD">
      <w:pPr>
        <w:jc w:val="both"/>
      </w:pPr>
      <w:r w:rsidRPr="00A16FBD">
        <w:rPr>
          <w:b/>
          <w:bCs/>
          <w:i/>
          <w:iCs/>
        </w:rPr>
        <w:t>Any inability to protect intellectual property rights in the United States and foreign countries could limit our ability to manufacture or sell products.</w:t>
      </w:r>
    </w:p>
    <w:p w14:paraId="3108C5DA" w14:textId="77777777" w:rsidR="00A16FBD" w:rsidRPr="00A16FBD" w:rsidRDefault="00A16FBD" w:rsidP="00A16FBD">
      <w:pPr>
        <w:ind w:left="144" w:right="144"/>
      </w:pPr>
      <w:r w:rsidRPr="00A16FBD">
        <w:t> </w:t>
      </w:r>
    </w:p>
    <w:p w14:paraId="389B0F71" w14:textId="77777777" w:rsidR="00A16FBD" w:rsidRPr="00A16FBD" w:rsidRDefault="00A16FBD" w:rsidP="00C66962">
      <w:pPr>
        <w:jc w:val="both"/>
      </w:pPr>
      <w:r w:rsidRPr="00A16FBD">
        <w:t>We will rely on trade secrets, unpatented proprietary know-how, continuing technological innovation and, in some cases, patent protection to preserve our competitive position. Our patents and licensed patent rights may be challenged, invalidated, infringed or circumvented, and the rights granted in those patents may not provide proprietary protection or competitive advantages to us. We and our licensors may not be able to develop patentable products with acceptable patent protection. Even if patent claims are allowed, the claims may not issue, or in the event of issuance, may not be sufficient to protect the technology owned by or licensed to us. If patents containing competitive or conflicting claims are issued to third parties, we may be prevented from commercializing the products covered by such patents or may be required to obtain or develop alternate technology. In addition, other parties may duplicate, design around or independently develop similar or alternative technologies.</w:t>
      </w:r>
    </w:p>
    <w:p w14:paraId="2FAC3453" w14:textId="77777777" w:rsidR="00A16FBD" w:rsidRPr="00A16FBD" w:rsidRDefault="00A16FBD" w:rsidP="00A16FBD">
      <w:pPr>
        <w:ind w:left="144" w:right="144"/>
      </w:pPr>
      <w:r w:rsidRPr="00A16FBD">
        <w:t> </w:t>
      </w:r>
    </w:p>
    <w:p w14:paraId="7C60188F" w14:textId="77777777" w:rsidR="00A16FBD" w:rsidRPr="00A16FBD" w:rsidRDefault="00A16FBD" w:rsidP="00C66962">
      <w:pPr>
        <w:jc w:val="both"/>
      </w:pPr>
      <w:r w:rsidRPr="00A16FBD">
        <w:t>We may not be able to prevent third parties from infringing or using our intellectual property, and the parties from whom we may license intellectual property may not be able to prevent third parties from infringing or using the licensed intellectual property. We generally attempt to control and limit access to, and the distribution of, our product documentation and other proprietary information. Despite efforts to protect this proprietary information, unauthorized parties may obtain and use information that we may regard as proprietary. Other parties may independently develop similar know-how or may even obtain access to these technologies.</w:t>
      </w:r>
    </w:p>
    <w:p w14:paraId="0D9B1FF0" w14:textId="77777777" w:rsidR="00A16FBD" w:rsidRPr="00A16FBD" w:rsidRDefault="00A16FBD" w:rsidP="00A16FBD">
      <w:pPr>
        <w:ind w:left="144" w:right="144"/>
        <w:jc w:val="both"/>
      </w:pPr>
      <w:r w:rsidRPr="00A16FBD">
        <w:t> </w:t>
      </w:r>
    </w:p>
    <w:p w14:paraId="1324E294" w14:textId="77777777" w:rsidR="00A16FBD" w:rsidRPr="00A16FBD" w:rsidRDefault="00A16FBD" w:rsidP="00C66962">
      <w:pPr>
        <w:jc w:val="both"/>
      </w:pPr>
      <w:r w:rsidRPr="00A16FBD">
        <w:t>The laws of some foreign countries do not protect proprietary information to the same extent as the laws of the United States, and many companies have encountered significant problems and costs in protecting their proprietary information in these foreign countries.</w:t>
      </w:r>
    </w:p>
    <w:p w14:paraId="0914F793" w14:textId="77777777" w:rsidR="00A16FBD" w:rsidRPr="00A16FBD" w:rsidRDefault="00A16FBD" w:rsidP="00A16FBD">
      <w:pPr>
        <w:ind w:left="144" w:right="144"/>
        <w:jc w:val="both"/>
      </w:pPr>
      <w:r w:rsidRPr="00A16FBD">
        <w:t> </w:t>
      </w:r>
    </w:p>
    <w:p w14:paraId="046A7189" w14:textId="77777777" w:rsidR="00A16FBD" w:rsidRPr="00A16FBD" w:rsidRDefault="00A16FBD" w:rsidP="00C66962">
      <w:pPr>
        <w:jc w:val="both"/>
      </w:pPr>
      <w:r w:rsidRPr="00A16FBD">
        <w:t>Neither the U.S. Patent and Trademark Office nor the courts have established a consistent policy regarding the breadth of claims allowed in pharmaceutical patents. The allowance of broader claims may increase the incidence and cost of patent interference proceedings and the risk of infringement litigation. On the other hand, the allowance of narrower claims may limit the value of our proprietary rights.</w:t>
      </w:r>
    </w:p>
    <w:p w14:paraId="0D82253D" w14:textId="14CAFF80" w:rsidR="00A16FBD" w:rsidRPr="00A16FBD" w:rsidRDefault="00A16FBD" w:rsidP="00D9591B">
      <w:pPr>
        <w:ind w:firstLine="720"/>
        <w:jc w:val="both"/>
      </w:pPr>
      <w:r w:rsidRPr="00A16FBD">
        <w:t> </w:t>
      </w:r>
    </w:p>
    <w:p w14:paraId="54DB5DFD" w14:textId="77777777" w:rsidR="00A16FBD" w:rsidRPr="00A16FBD" w:rsidRDefault="00A16FBD" w:rsidP="00A16FBD">
      <w:r w:rsidRPr="00A16FBD">
        <w:t> </w:t>
      </w:r>
    </w:p>
    <w:p w14:paraId="7EB1A206" w14:textId="77777777" w:rsidR="00A16FBD" w:rsidRPr="00A16FBD" w:rsidRDefault="00A16FBD" w:rsidP="00A16FBD">
      <w:r w:rsidRPr="00A16FBD">
        <w:t> </w:t>
      </w:r>
    </w:p>
    <w:p w14:paraId="7FA1CEB1" w14:textId="77777777" w:rsidR="00A16FBD" w:rsidRPr="00A16FBD" w:rsidRDefault="00A16FBD" w:rsidP="00A16FBD">
      <w:pPr>
        <w:ind w:left="144" w:right="144"/>
        <w:jc w:val="center"/>
      </w:pPr>
      <w:r w:rsidRPr="00A16FBD">
        <w:rPr>
          <w:b/>
          <w:bCs/>
        </w:rPr>
        <w:t>Risks Related to Our Common Stock</w:t>
      </w:r>
    </w:p>
    <w:p w14:paraId="7D8348B8" w14:textId="77777777" w:rsidR="00A16FBD" w:rsidRPr="00A16FBD" w:rsidRDefault="00A16FBD" w:rsidP="00A16FBD">
      <w:pPr>
        <w:ind w:left="144" w:right="144"/>
      </w:pPr>
      <w:r w:rsidRPr="00A16FBD">
        <w:t> </w:t>
      </w:r>
    </w:p>
    <w:p w14:paraId="3089B4C1" w14:textId="77777777" w:rsidR="00A16FBD" w:rsidRPr="00A16FBD" w:rsidRDefault="00A16FBD" w:rsidP="00A16FBD">
      <w:pPr>
        <w:jc w:val="both"/>
      </w:pPr>
      <w:r w:rsidRPr="00A16FBD">
        <w:rPr>
          <w:b/>
          <w:bCs/>
          <w:i/>
          <w:iCs/>
        </w:rPr>
        <w:t xml:space="preserve">Upon exercise of our outstanding warrants we will be obligated to issue a substantial number of additional shares of common stock which will dilute our present shareholders. </w:t>
      </w:r>
    </w:p>
    <w:p w14:paraId="2DE817F9" w14:textId="77777777" w:rsidR="00A16FBD" w:rsidRPr="00A16FBD" w:rsidRDefault="00A16FBD" w:rsidP="00A16FBD">
      <w:pPr>
        <w:ind w:left="144" w:right="144" w:firstLine="720"/>
      </w:pPr>
      <w:r w:rsidRPr="00A16FBD">
        <w:t> </w:t>
      </w:r>
    </w:p>
    <w:p w14:paraId="3BEC665A" w14:textId="5E3EA1EF" w:rsidR="00A16FBD" w:rsidRPr="00A16FBD" w:rsidRDefault="00A16FBD" w:rsidP="00C66962">
      <w:pPr>
        <w:jc w:val="both"/>
      </w:pPr>
      <w:r w:rsidRPr="00A16FBD">
        <w:t xml:space="preserve">We are obligated to issue additional shares of our common stock in connection with our outstanding warrants. Currently outstanding warrants are exercisable for </w:t>
      </w:r>
      <w:r w:rsidR="00D9591B">
        <w:t>3,</w:t>
      </w:r>
      <w:r w:rsidR="00C66962">
        <w:t>600</w:t>
      </w:r>
      <w:r w:rsidR="00D9591B">
        <w:t>,337</w:t>
      </w:r>
      <w:r w:rsidRPr="00A16FBD">
        <w:t xml:space="preserve"> shares. The exercise of these warrants will cause us to issue additional shares of our common stock and will dilute the percentage ownership of our shareholders.</w:t>
      </w:r>
    </w:p>
    <w:p w14:paraId="771F5BB1" w14:textId="77777777" w:rsidR="00A16FBD" w:rsidRPr="00A16FBD" w:rsidRDefault="00A16FBD" w:rsidP="00A16FBD">
      <w:pPr>
        <w:ind w:left="144" w:right="144"/>
      </w:pPr>
      <w:r w:rsidRPr="00A16FBD">
        <w:t> </w:t>
      </w:r>
    </w:p>
    <w:p w14:paraId="090D7CB5" w14:textId="77777777" w:rsidR="00A16FBD" w:rsidRPr="00A16FBD" w:rsidRDefault="00A16FBD" w:rsidP="00A16FBD">
      <w:pPr>
        <w:jc w:val="both"/>
      </w:pPr>
      <w:r w:rsidRPr="00A16FBD">
        <w:rPr>
          <w:b/>
          <w:bCs/>
          <w:i/>
          <w:iCs/>
        </w:rPr>
        <w:t>The market price of our common stock is highly volatile.</w:t>
      </w:r>
    </w:p>
    <w:p w14:paraId="6575D257" w14:textId="77777777" w:rsidR="00A16FBD" w:rsidRPr="00A16FBD" w:rsidRDefault="00A16FBD" w:rsidP="00A16FBD">
      <w:pPr>
        <w:ind w:left="144" w:right="144"/>
      </w:pPr>
      <w:r w:rsidRPr="00A16FBD">
        <w:t> </w:t>
      </w:r>
    </w:p>
    <w:p w14:paraId="74134259" w14:textId="77777777" w:rsidR="00A16FBD" w:rsidRPr="00A16FBD" w:rsidRDefault="00A16FBD" w:rsidP="00C66962">
      <w:pPr>
        <w:jc w:val="both"/>
      </w:pPr>
      <w:r w:rsidRPr="00A16FBD">
        <w:t>The market price of our common stock has been, and is expected to continue to be, highly volatile. Certain factors, including announcements of new developments by us or other companies, regulatory matters, new or existing medicines or procedures, concerns about our financial position, operating results, litigation, government regulation, developments or disputes relating to agreements, patents or proprietary rights, may have a significant impact on the market price of our stock. In addition, potential dilutive effects of future sales of shares of common stock by us, and subsequent sales of common stock by the holders of our Convertible Debentures and other options and warrants, including the June 2020 Warrants, could have an adverse effect on the market price of our shares.</w:t>
      </w:r>
    </w:p>
    <w:p w14:paraId="21E53C02" w14:textId="77777777" w:rsidR="00A16FBD" w:rsidRPr="00A16FBD" w:rsidRDefault="00A16FBD" w:rsidP="00A16FBD">
      <w:pPr>
        <w:ind w:left="144" w:right="144"/>
        <w:jc w:val="both"/>
      </w:pPr>
      <w:r w:rsidRPr="00A16FBD">
        <w:t> </w:t>
      </w:r>
    </w:p>
    <w:p w14:paraId="723BCCF3" w14:textId="77777777" w:rsidR="00A16FBD" w:rsidRPr="00A16FBD" w:rsidRDefault="00A16FBD" w:rsidP="00C66962">
      <w:pPr>
        <w:jc w:val="both"/>
      </w:pPr>
      <w:r w:rsidRPr="00A16FBD">
        <w:t>In addition, the securities markets from time to time experience significant price and volume fluctuations that are unrelated to the operating performance of particular companies. These market fluctuations may also materially and adversely affect the market price of our common stock.</w:t>
      </w:r>
    </w:p>
    <w:p w14:paraId="7B327744" w14:textId="77777777" w:rsidR="00A16FBD" w:rsidRPr="00A16FBD" w:rsidRDefault="00A16FBD" w:rsidP="00A16FBD">
      <w:pPr>
        <w:ind w:left="144" w:right="144"/>
        <w:jc w:val="both"/>
      </w:pPr>
      <w:r w:rsidRPr="00A16FBD">
        <w:t> </w:t>
      </w:r>
    </w:p>
    <w:p w14:paraId="5A16689B" w14:textId="77777777" w:rsidR="00A16FBD" w:rsidRPr="00A16FBD" w:rsidRDefault="00A16FBD" w:rsidP="00A16FBD">
      <w:pPr>
        <w:jc w:val="both"/>
      </w:pPr>
      <w:r w:rsidRPr="00A16FBD">
        <w:rPr>
          <w:b/>
          <w:bCs/>
          <w:i/>
          <w:iCs/>
        </w:rPr>
        <w:t>Our common stock does not have a vigorous trading market and investors may not be able to sell their securities when desired.</w:t>
      </w:r>
    </w:p>
    <w:p w14:paraId="28B7FAB8" w14:textId="77777777" w:rsidR="00A16FBD" w:rsidRPr="00A16FBD" w:rsidRDefault="00A16FBD" w:rsidP="00A16FBD">
      <w:pPr>
        <w:ind w:left="144" w:right="144"/>
        <w:jc w:val="both"/>
      </w:pPr>
      <w:r w:rsidRPr="00A16FBD">
        <w:t> </w:t>
      </w:r>
    </w:p>
    <w:p w14:paraId="351A3AB6" w14:textId="77777777" w:rsidR="00A16FBD" w:rsidRPr="00A16FBD" w:rsidRDefault="00A16FBD" w:rsidP="00C66962">
      <w:pPr>
        <w:jc w:val="both"/>
      </w:pPr>
      <w:r w:rsidRPr="00A16FBD">
        <w:t>We have a limited active public market for our common stock. A more active public market, allowing investors to buy and sell large quantities of our common stock, may never develop even though our shares are now listed on Nasdaq. Consequently, investors may not be able to liquidate their investments in the event of an emergency or for any other reason.</w:t>
      </w:r>
    </w:p>
    <w:p w14:paraId="4A4B381A" w14:textId="77777777" w:rsidR="00A16FBD" w:rsidRPr="00A16FBD" w:rsidRDefault="00A16FBD" w:rsidP="00A16FBD">
      <w:pPr>
        <w:ind w:left="144" w:right="144"/>
        <w:jc w:val="both"/>
      </w:pPr>
      <w:r w:rsidRPr="00A16FBD">
        <w:t> </w:t>
      </w:r>
    </w:p>
    <w:p w14:paraId="42B40B12" w14:textId="76194510" w:rsidR="00A16FBD" w:rsidRPr="00A16FBD" w:rsidRDefault="00A16FBD" w:rsidP="00A16FBD">
      <w:pPr>
        <w:jc w:val="both"/>
      </w:pPr>
      <w:r w:rsidRPr="00A16FBD">
        <w:rPr>
          <w:b/>
          <w:bCs/>
          <w:i/>
          <w:iCs/>
        </w:rPr>
        <w:t xml:space="preserve">We </w:t>
      </w:r>
      <w:r w:rsidR="00C66962">
        <w:rPr>
          <w:b/>
          <w:bCs/>
          <w:i/>
          <w:iCs/>
        </w:rPr>
        <w:t xml:space="preserve">will </w:t>
      </w:r>
      <w:r w:rsidRPr="00A16FBD">
        <w:rPr>
          <w:b/>
          <w:bCs/>
          <w:i/>
          <w:iCs/>
        </w:rPr>
        <w:t>need additional capital, and the sale of additional shares or other equity securities could result in additional dilution to our stockholders.</w:t>
      </w:r>
    </w:p>
    <w:p w14:paraId="10199246" w14:textId="77777777" w:rsidR="00A16FBD" w:rsidRPr="00A16FBD" w:rsidRDefault="00A16FBD" w:rsidP="00A16FBD">
      <w:pPr>
        <w:ind w:left="144" w:right="144" w:firstLine="720"/>
        <w:jc w:val="both"/>
      </w:pPr>
      <w:r w:rsidRPr="00A16FBD">
        <w:t> </w:t>
      </w:r>
    </w:p>
    <w:p w14:paraId="400D4E03" w14:textId="74C91C3E" w:rsidR="00A16FBD" w:rsidRPr="00A16FBD" w:rsidRDefault="00A16FBD" w:rsidP="00C66962">
      <w:pPr>
        <w:jc w:val="both"/>
      </w:pPr>
      <w:r w:rsidRPr="00A16FBD">
        <w:t>In order to meet our operating cash flow needs, we may plan additional offerings of our equity securities, debt, or convertible debt instruments. The sale of additional equity securities could result in significant additional dilution to our stockholders. Certain securities, such as our outstanding warrants, and subsequent issuances, contain or may contain anti-dilution provisions which could result in the issuance of additional shares at lower prices if we sell other shares below specified prices. The incurrence of indebtedness could result in debt service obligations and operating and financing covenants that would restrict our operations. We cannot assure investors that financing will be available in amounts or on terms acceptable to us, if at all.</w:t>
      </w:r>
    </w:p>
    <w:p w14:paraId="5976A6F9" w14:textId="77777777" w:rsidR="00A16FBD" w:rsidRPr="00A16FBD" w:rsidRDefault="00A16FBD" w:rsidP="00A16FBD">
      <w:pPr>
        <w:ind w:left="144" w:right="144"/>
      </w:pPr>
      <w:r w:rsidRPr="00A16FBD">
        <w:t> </w:t>
      </w:r>
    </w:p>
    <w:p w14:paraId="37F08F26" w14:textId="77777777" w:rsidR="00A16FBD" w:rsidRPr="00A16FBD" w:rsidRDefault="00A16FBD" w:rsidP="00A16FBD">
      <w:pPr>
        <w:jc w:val="both"/>
      </w:pPr>
      <w:r w:rsidRPr="00A16FBD">
        <w:rPr>
          <w:b/>
          <w:bCs/>
          <w:i/>
          <w:iCs/>
        </w:rPr>
        <w:t>We have never paid dividends and have no plans to do so.</w:t>
      </w:r>
    </w:p>
    <w:p w14:paraId="22B085D7" w14:textId="77777777" w:rsidR="00A16FBD" w:rsidRPr="00A16FBD" w:rsidRDefault="00A16FBD" w:rsidP="00A16FBD">
      <w:pPr>
        <w:ind w:firstLine="720"/>
        <w:jc w:val="both"/>
      </w:pPr>
      <w:r w:rsidRPr="00A16FBD">
        <w:t> </w:t>
      </w:r>
    </w:p>
    <w:p w14:paraId="690B4532" w14:textId="77777777" w:rsidR="00A16FBD" w:rsidRPr="00A16FBD" w:rsidRDefault="00A16FBD" w:rsidP="00C66962">
      <w:pPr>
        <w:jc w:val="both"/>
      </w:pPr>
      <w:r w:rsidRPr="00A16FBD">
        <w:t>Holders of shares of our common stock are entitled to receive such dividends as may be declared by our Board of Directors. 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p>
    <w:p w14:paraId="706A82ED" w14:textId="77777777" w:rsidR="00A16FBD" w:rsidRPr="00A16FBD" w:rsidRDefault="00A16FBD" w:rsidP="00A16FBD">
      <w:pPr>
        <w:ind w:left="144" w:right="144"/>
        <w:jc w:val="both"/>
      </w:pPr>
      <w:r w:rsidRPr="00A16FBD">
        <w:t> </w:t>
      </w:r>
    </w:p>
    <w:p w14:paraId="412DB04A" w14:textId="77777777" w:rsidR="00A16FBD" w:rsidRPr="00A16FBD" w:rsidRDefault="00A16FBD" w:rsidP="00A16FBD">
      <w:pPr>
        <w:jc w:val="both"/>
      </w:pPr>
      <w:r w:rsidRPr="00A16FBD">
        <w:rPr>
          <w:b/>
          <w:bCs/>
          <w:i/>
          <w:iCs/>
        </w:rPr>
        <w:t>If we fail to maintain an effective system of internal controls, we may not be able to accurately report our financial results or prevent fraud.</w:t>
      </w:r>
    </w:p>
    <w:p w14:paraId="10D0D9D5" w14:textId="77777777" w:rsidR="00A16FBD" w:rsidRPr="00A16FBD" w:rsidRDefault="00A16FBD" w:rsidP="00A16FBD">
      <w:pPr>
        <w:ind w:left="144" w:right="144"/>
        <w:jc w:val="both"/>
      </w:pPr>
      <w:r w:rsidRPr="00A16FBD">
        <w:t> </w:t>
      </w:r>
    </w:p>
    <w:p w14:paraId="374176C7" w14:textId="77777777" w:rsidR="00A16FBD" w:rsidRPr="00A16FBD" w:rsidRDefault="00A16FBD" w:rsidP="00C66962">
      <w:pPr>
        <w:jc w:val="both"/>
      </w:pPr>
      <w:r w:rsidRPr="00A16FBD">
        <w:t>We are subject to reporting obligations under the United States securities laws. The SEC, as required by the Sarbanes-Oxley Act of 2002, adopted rules requiring every public company to include a management report on such company’s internal controls over financial reporting in its annual report. Effective internal controls are necessary for us to produce reliable financial reports and are important to help prevent fraud. As a result, our failure to achieve and maintain effective internal controls over financial reporting could result in the loss of investor confidence in the reliability of our financial statements, which in turn could negatively impact the trading price of our stock.</w:t>
      </w:r>
    </w:p>
    <w:p w14:paraId="6576852F" w14:textId="77777777" w:rsidR="00A16FBD" w:rsidRPr="00A16FBD" w:rsidRDefault="00A16FBD" w:rsidP="00A16FBD">
      <w:pPr>
        <w:ind w:left="144" w:right="144" w:firstLine="720"/>
        <w:jc w:val="both"/>
      </w:pPr>
      <w:r w:rsidRPr="00A16FBD">
        <w:t> </w:t>
      </w:r>
    </w:p>
    <w:p w14:paraId="0EE05490" w14:textId="77777777" w:rsidR="00A16FBD" w:rsidRPr="00A16FBD" w:rsidRDefault="00A16FBD" w:rsidP="00A16FBD">
      <w:pPr>
        <w:jc w:val="both"/>
      </w:pPr>
      <w:r w:rsidRPr="00A16FBD">
        <w:rPr>
          <w:b/>
          <w:bCs/>
          <w:i/>
          <w:iCs/>
        </w:rPr>
        <w:t>Public company compliance may make it more difficult for us to attract and retain officers and directors.</w:t>
      </w:r>
    </w:p>
    <w:p w14:paraId="4F18CEC9" w14:textId="77777777" w:rsidR="00A16FBD" w:rsidRPr="00A16FBD" w:rsidRDefault="00A16FBD" w:rsidP="00A16FBD">
      <w:pPr>
        <w:ind w:left="144" w:right="144"/>
        <w:jc w:val="both"/>
      </w:pPr>
      <w:r w:rsidRPr="00A16FBD">
        <w:rPr>
          <w:b/>
          <w:bCs/>
          <w:i/>
          <w:iCs/>
        </w:rPr>
        <w:t> </w:t>
      </w:r>
    </w:p>
    <w:p w14:paraId="05C1D0E3" w14:textId="77777777" w:rsidR="00A16FBD" w:rsidRPr="00A16FBD" w:rsidRDefault="00A16FBD" w:rsidP="00C66962">
      <w:pPr>
        <w:jc w:val="both"/>
      </w:pPr>
      <w:r w:rsidRPr="00A16FBD">
        <w:t>The Sarbanes-Oxley Act, the Dodd-Frank Act, the JOBS Act, the FAST Act, and rules subsequently implemented by the SEC have required changes in corporate governance practices of public companies. As a public company, we expect these rules and regulations, and amendments to them, to contribute to our compliance costs and to make certain activities more time consuming and costly. As a public company, we also expect that these rules and regulations may make it difficult and expensive for us to obtain director and officer liability insurance and we may be required to accept reduced policy limits and coverage or incur substantially higher costs to obtain the same or similar coverage. As a result, it may be difficult for us to attract and retain qualified persons to serve on our board of directors or as executive officers.</w:t>
      </w:r>
    </w:p>
    <w:p w14:paraId="1E031527" w14:textId="75173E9F" w:rsidR="00A16FBD" w:rsidRPr="00A16FBD" w:rsidRDefault="00A16FBD" w:rsidP="00D9591B">
      <w:pPr>
        <w:ind w:left="144" w:right="144" w:firstLine="720"/>
      </w:pPr>
      <w:r w:rsidRPr="00A16FBD">
        <w:t> </w:t>
      </w:r>
    </w:p>
    <w:p w14:paraId="774F3FE6" w14:textId="77777777" w:rsidR="00A16FBD" w:rsidRPr="00A16FBD" w:rsidRDefault="00A16FBD" w:rsidP="00A16FBD">
      <w:pPr>
        <w:jc w:val="both"/>
      </w:pPr>
      <w:r w:rsidRPr="00A16FBD">
        <w:rPr>
          <w:b/>
          <w:bCs/>
          <w:i/>
          <w:iCs/>
        </w:rPr>
        <w:t xml:space="preserve">Our Certificate of Incorporation and Bylaws may be amended by the affirmative vote of a majority of our stockholders. </w:t>
      </w:r>
    </w:p>
    <w:p w14:paraId="36534661" w14:textId="77777777" w:rsidR="00A16FBD" w:rsidRPr="00A16FBD" w:rsidRDefault="00A16FBD" w:rsidP="00A16FBD">
      <w:pPr>
        <w:ind w:left="144" w:right="144"/>
        <w:jc w:val="both"/>
      </w:pPr>
      <w:r w:rsidRPr="00A16FBD">
        <w:rPr>
          <w:b/>
          <w:bCs/>
          <w:i/>
          <w:iCs/>
        </w:rPr>
        <w:t> </w:t>
      </w:r>
    </w:p>
    <w:p w14:paraId="33BFB967" w14:textId="77777777" w:rsidR="00A16FBD" w:rsidRPr="00A16FBD" w:rsidRDefault="00A16FBD" w:rsidP="00C66962">
      <w:pPr>
        <w:jc w:val="both"/>
      </w:pPr>
      <w:r w:rsidRPr="00A16FBD">
        <w:t>Under the Delaware General Corporation Law, a corporation’s certificate of incorporation may be amended by the affirmative vote of the holders of a majority of the outstanding shares entitled to vote, and a majority of the outstanding shares of each class entitled to vote as a class, unless the articles require the vote of a larger percentage of shares. Our Certificate of Incorporation, as amended, does not require the vote of a larger percentage of shares. As permitted under the Delaware General Corporation Law, our Bylaws give our board of directors the power to adopt, amend, or repeal our Bylaws. Our stockholders entitled to vote have concurrent power to adopt, amend, or repeal our Bylaws.</w:t>
      </w:r>
    </w:p>
    <w:p w14:paraId="5D3866CE" w14:textId="77777777" w:rsidR="00A16FBD" w:rsidRPr="00A16FBD" w:rsidRDefault="00A16FBD" w:rsidP="00A16FBD">
      <w:pPr>
        <w:ind w:left="144" w:right="144"/>
        <w:jc w:val="both"/>
      </w:pPr>
      <w:r w:rsidRPr="00A16FBD">
        <w:t> </w:t>
      </w:r>
    </w:p>
    <w:p w14:paraId="57CCC420" w14:textId="77777777" w:rsidR="00A16FBD" w:rsidRPr="00A16FBD" w:rsidRDefault="00A16FBD" w:rsidP="00A16FBD">
      <w:pPr>
        <w:jc w:val="both"/>
      </w:pPr>
      <w:r w:rsidRPr="00A16FBD">
        <w:rPr>
          <w:b/>
          <w:bCs/>
          <w:i/>
          <w:iCs/>
        </w:rPr>
        <w:t>Broker-dealers may be discouraged from effecting transactions in shares of our common stock if we are considered to be a penny stock and thus subject to the penny stock rules.</w:t>
      </w:r>
      <w:r w:rsidRPr="00A16FBD">
        <w:t> </w:t>
      </w:r>
    </w:p>
    <w:p w14:paraId="658CF0EA" w14:textId="77777777" w:rsidR="00A16FBD" w:rsidRPr="00A16FBD" w:rsidRDefault="00A16FBD" w:rsidP="00A16FBD">
      <w:pPr>
        <w:ind w:left="144" w:right="144"/>
        <w:jc w:val="both"/>
      </w:pPr>
      <w:r w:rsidRPr="00A16FBD">
        <w:t> </w:t>
      </w:r>
    </w:p>
    <w:p w14:paraId="6B03336C" w14:textId="77777777" w:rsidR="00A16FBD" w:rsidRPr="00A16FBD" w:rsidRDefault="00A16FBD" w:rsidP="00C66962">
      <w:pPr>
        <w:jc w:val="both"/>
      </w:pPr>
      <w:r w:rsidRPr="00A16FBD">
        <w:t>The SEC has adopted a number of rules to regulate “penny stocks” that restrict transactions involving stock which is deemed to be penny stock. Such rules include Rules 3a51-1, 15g-1, 15g-2, 15g-3, 15g-4, 15g-5, 15g-6, 15g-7, and 15g-9 under the Exchange Act. These rules may have the effect of reducing the liquidity of penny stocks. “Penny stocks” generally are equity securities with a price of less than $5.00 per share (other than securities registered on certain national securities exchanges or quoted on Nasdaq if current price and volume information with respect to transactions in such securities is provided by the exchange or system). Our securities have in the past constituted, and may again in the future, if we are delisted from Nasdaq, constitute, “penny stock” within the meaning of the rules. The additional sales practice and disclosure requirements imposed upon U.S. broker-dealers may discourage broker-dealers from effecting transactions in shares of our common stock, which could severely limit the market liquidity of such shares and impede their sale in the secondary market.</w:t>
      </w:r>
    </w:p>
    <w:p w14:paraId="74D89E15" w14:textId="77777777" w:rsidR="00A16FBD" w:rsidRPr="00A16FBD" w:rsidRDefault="00A16FBD" w:rsidP="00A16FBD">
      <w:pPr>
        <w:ind w:left="144" w:right="144"/>
        <w:jc w:val="both"/>
      </w:pPr>
      <w:r w:rsidRPr="00A16FBD">
        <w:t> </w:t>
      </w:r>
    </w:p>
    <w:p w14:paraId="3535828B" w14:textId="77777777" w:rsidR="00A16FBD" w:rsidRPr="00A16FBD" w:rsidRDefault="00A16FBD" w:rsidP="00C66962">
      <w:pPr>
        <w:jc w:val="both"/>
      </w:pPr>
      <w:r w:rsidRPr="00A16FBD">
        <w:t>A U.S. broker-dealer selling penny stock to anyone other than an established customer or “accredited investor” (generally, an individual with net worth in excess of $1,000,000 (exclusive of personal residence) or an annual income exceeding $200,000, or $300,000 together with his or her spouse) must make a special suitability determination for the purchaser and must receive the purchaser’s written consent to the transaction prior to sale, unless the broker-dealer or the transaction is otherwise exempt. In addition, the “penny stock” regulations require the U.S. broker-dealer to deliver, prior to any transaction involving a “penny stock”, a disclosure schedule prepared in accordance with SEC standards relating to the “penny stock” market, unless the broker-dealer or the transaction is otherwise exempt. A U.S. broker-dealer is also required to disclose commissions payable to the U.S. broker-dealer and the registered representative and current quotations for the securities. Finally, a U.S. broker-dealer is required to submit monthly statements disclosing recent price information with respect to the “penny stock” held in a customer’s account and information with respect to the limited market in “penny stocks”.</w:t>
      </w:r>
    </w:p>
    <w:p w14:paraId="60DDCC29" w14:textId="77777777" w:rsidR="00A16FBD" w:rsidRPr="00A16FBD" w:rsidRDefault="00A16FBD" w:rsidP="00A16FBD">
      <w:pPr>
        <w:ind w:left="144" w:right="144" w:firstLine="720"/>
        <w:jc w:val="both"/>
      </w:pPr>
      <w:r w:rsidRPr="00A16FBD">
        <w:t> </w:t>
      </w:r>
    </w:p>
    <w:p w14:paraId="37EE2D8B" w14:textId="77777777" w:rsidR="00A16FBD" w:rsidRPr="00A16FBD" w:rsidRDefault="00A16FBD" w:rsidP="00C66962">
      <w:pPr>
        <w:jc w:val="both"/>
      </w:pPr>
      <w:r w:rsidRPr="00A16FBD">
        <w:t>Stockholders should be aware that, according to the SEC, the market for “penny stocks” has suffered in recent years from patterns of fraud and abuse. Such patterns include (i) control of the market for the security by one or a few broker-dealers that are often related to the promoter or issuer; (ii) manipulation of prices through prearranged matching of purchases and sales and false and misleading press releases; (iii) “boiler room” practices involving high-pressure sales tactics and unrealistic price projections by inexperienced sales persons; (iv) excessive and undisclosed bid-ask differentials and markups by selling broker-dealers; and (v) the wholesale dumping of the same securities by promoters and broker-dealers after prices have been manipulated to a desired level, resulting in investor losses. Our management is aware of the abuses that have occurred historically in the penny stock market. Although we do not expect to be in a position to dictate the behavior of the market or of broker-dealers who participate in the market, management will strive within the confines of practical limitations to prevent the described patterns from being established with respect to our securities.</w:t>
      </w:r>
    </w:p>
    <w:p w14:paraId="6ED5860D" w14:textId="7FC7D22A" w:rsidR="00A16FBD" w:rsidRDefault="00A16FBD" w:rsidP="007D4131">
      <w:pPr>
        <w:ind w:right="144"/>
      </w:pPr>
    </w:p>
    <w:p w14:paraId="46F8B1A4" w14:textId="1D0DF037" w:rsidR="007D4131" w:rsidRDefault="007D4131">
      <w:pPr>
        <w:rPr>
          <w:b/>
        </w:rPr>
      </w:pPr>
      <w:r>
        <w:rPr>
          <w:b/>
        </w:rPr>
        <w:br w:type="page"/>
      </w:r>
    </w:p>
    <w:p w14:paraId="3AC51E3C"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40" w:name="_Toc197922416"/>
      <w:r w:rsidRPr="001C6303">
        <w:t>Unregistered Sale</w:t>
      </w:r>
      <w:r w:rsidR="00A63414" w:rsidRPr="001C6303">
        <w:t>s</w:t>
      </w:r>
      <w:r w:rsidRPr="001C6303">
        <w:t xml:space="preserve"> of Equity Securities and Use of Proceeds</w:t>
      </w:r>
      <w:bookmarkEnd w:id="40"/>
    </w:p>
    <w:p w14:paraId="12D60E19" w14:textId="77777777" w:rsidR="000A55AE" w:rsidRDefault="000A55AE" w:rsidP="000A55AE">
      <w:pPr>
        <w:pStyle w:val="BodyText"/>
        <w:spacing w:after="0"/>
      </w:pPr>
      <w:bookmarkStart w:id="41" w:name="_Toc197922417"/>
    </w:p>
    <w:p w14:paraId="11D252DD" w14:textId="0CEF1A9E" w:rsidR="000A55AE" w:rsidRDefault="00817694" w:rsidP="000A55AE">
      <w:pPr>
        <w:pStyle w:val="BodyText"/>
        <w:spacing w:after="0"/>
      </w:pPr>
      <w:r>
        <w:t>None.</w:t>
      </w:r>
    </w:p>
    <w:p w14:paraId="4BDCD6C5" w14:textId="77777777" w:rsidR="00817694" w:rsidRPr="001C6303" w:rsidRDefault="00817694"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41"/>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6315D336" w:rsidR="00F44C3F" w:rsidRDefault="000D4A4B" w:rsidP="000A55AE">
      <w:r>
        <w:t>Not applicable</w:t>
      </w:r>
      <w:r w:rsidR="00202722">
        <w:t>.</w:t>
      </w:r>
    </w:p>
    <w:p w14:paraId="28701372" w14:textId="77777777" w:rsidR="000A55AE" w:rsidRDefault="000A55AE" w:rsidP="000A55AE"/>
    <w:p w14:paraId="189BAF65" w14:textId="77777777" w:rsidR="00025C72" w:rsidRPr="001C6303" w:rsidRDefault="00C07C60" w:rsidP="000A55AE">
      <w:pPr>
        <w:pStyle w:val="Heading2"/>
        <w:spacing w:after="0"/>
      </w:pPr>
      <w:bookmarkStart w:id="42" w:name="_Toc197922419"/>
      <w:r>
        <w:t>Other Information</w:t>
      </w:r>
      <w:r w:rsidR="00025C72" w:rsidRPr="001C6303">
        <w:t xml:space="preserve"> </w:t>
      </w:r>
    </w:p>
    <w:p w14:paraId="72A27140" w14:textId="77777777" w:rsidR="000A55AE" w:rsidRDefault="000A55AE" w:rsidP="000A55AE"/>
    <w:p w14:paraId="27A46366" w14:textId="51E5A973" w:rsidR="00A17B7E" w:rsidRDefault="003467A5" w:rsidP="000A55AE">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2"/>
    </w:p>
    <w:p w14:paraId="0D468E33" w14:textId="77777777" w:rsidR="000A55AE" w:rsidRDefault="000A55AE" w:rsidP="000A55AE"/>
    <w:p w14:paraId="3B899785" w14:textId="4D67E677" w:rsidR="00717940" w:rsidRPr="005A62F5" w:rsidRDefault="005E7A32" w:rsidP="00742E05">
      <w:pPr>
        <w:pStyle w:val="Heading2"/>
        <w:numPr>
          <w:ilvl w:val="0"/>
          <w:numId w:val="0"/>
        </w:numPr>
        <w:tabs>
          <w:tab w:val="left" w:pos="1000"/>
        </w:tabs>
        <w:spacing w:after="0"/>
        <w:rPr>
          <w:u w:val="none"/>
        </w:rPr>
      </w:pPr>
      <w:bookmarkStart w:id="43" w:name="_Toc197922420"/>
      <w:r w:rsidRPr="001C6303">
        <w:rPr>
          <w:u w:val="none"/>
        </w:rPr>
        <w:t>Item 6</w:t>
      </w:r>
      <w:r w:rsidRPr="001C6303">
        <w:rPr>
          <w:u w:val="none"/>
        </w:rPr>
        <w:tab/>
      </w:r>
      <w:r w:rsidR="00BD6BBE" w:rsidRPr="001C6303">
        <w:t>Exhibits</w:t>
      </w:r>
      <w:bookmarkEnd w:id="43"/>
    </w:p>
    <w:p w14:paraId="45FC33B7" w14:textId="77777777" w:rsidR="000B66B5" w:rsidRPr="00742E05" w:rsidRDefault="000B66B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717940">
      <w:pPr>
        <w:keepNext/>
        <w:tabs>
          <w:tab w:val="left" w:pos="900"/>
        </w:tabs>
        <w:spacing w:after="60"/>
        <w:rPr>
          <w:u w:val="single"/>
        </w:rPr>
      </w:pPr>
      <w:r w:rsidRPr="001C6303">
        <w:rPr>
          <w:u w:val="single"/>
        </w:rPr>
        <w:t>Number</w:t>
      </w:r>
      <w:r w:rsidRPr="001C6303">
        <w:tab/>
      </w:r>
      <w:r w:rsidRPr="001C6303">
        <w:rPr>
          <w:u w:val="single"/>
        </w:rPr>
        <w:t>Description</w:t>
      </w:r>
    </w:p>
    <w:p w14:paraId="12B738D0" w14:textId="6FFA180C" w:rsidR="00851443" w:rsidRDefault="00851443" w:rsidP="00851443">
      <w:pPr>
        <w:ind w:left="900" w:hanging="900"/>
        <w:rPr>
          <w:bCs/>
        </w:rPr>
      </w:pPr>
      <w:r>
        <w:rPr>
          <w:bCs/>
        </w:rPr>
        <w:t>1.1</w:t>
      </w:r>
      <w:r>
        <w:rPr>
          <w:bCs/>
        </w:rPr>
        <w:tab/>
      </w:r>
      <w:hyperlink r:id="rId23" w:history="1">
        <w:r w:rsidRPr="00851443">
          <w:rPr>
            <w:rStyle w:val="Hyperlink"/>
            <w:bCs/>
          </w:rPr>
          <w:t>Underwriting Agreement dated September 24, 2020 between the Company and Maxim Group LLC, as representative of the underwriters (7)</w:t>
        </w:r>
      </w:hyperlink>
    </w:p>
    <w:p w14:paraId="0EB056D1" w14:textId="2DFB09E4" w:rsidR="00277C53" w:rsidRDefault="00277C53" w:rsidP="00851443">
      <w:pPr>
        <w:ind w:left="900" w:hanging="900"/>
        <w:rPr>
          <w:bCs/>
        </w:rPr>
      </w:pPr>
      <w:r>
        <w:rPr>
          <w:bCs/>
        </w:rPr>
        <w:t>3.1</w:t>
      </w:r>
      <w:r>
        <w:rPr>
          <w:bCs/>
        </w:rPr>
        <w:tab/>
      </w:r>
      <w:hyperlink r:id="rId24" w:history="1">
        <w:r w:rsidRPr="00B00B21">
          <w:rPr>
            <w:rStyle w:val="Hyperlink"/>
            <w:bCs/>
          </w:rPr>
          <w:t>Certificate of Amendment to the Certificate of Incorporation of GeoVax Labs, Inc. filed January 21, 2020 (</w:t>
        </w:r>
        <w:r>
          <w:rPr>
            <w:rStyle w:val="Hyperlink"/>
            <w:bCs/>
          </w:rPr>
          <w:t>1</w:t>
        </w:r>
        <w:r w:rsidRPr="00B00B21">
          <w:rPr>
            <w:rStyle w:val="Hyperlink"/>
            <w:bCs/>
          </w:rPr>
          <w:t>)</w:t>
        </w:r>
      </w:hyperlink>
    </w:p>
    <w:p w14:paraId="1CC7C54E" w14:textId="1817A66E" w:rsidR="00851443" w:rsidRDefault="00851443" w:rsidP="00851443">
      <w:pPr>
        <w:ind w:left="900" w:hanging="900"/>
        <w:rPr>
          <w:bCs/>
        </w:rPr>
      </w:pPr>
      <w:r>
        <w:rPr>
          <w:bCs/>
        </w:rPr>
        <w:t>3.2</w:t>
      </w:r>
      <w:r>
        <w:rPr>
          <w:bCs/>
        </w:rPr>
        <w:tab/>
      </w:r>
      <w:hyperlink r:id="rId25" w:history="1">
        <w:r w:rsidRPr="00851443">
          <w:rPr>
            <w:rStyle w:val="Hyperlink"/>
            <w:bCs/>
          </w:rPr>
          <w:t>Certificate of Amendment to the Certificate of Incorporation of GeoVax Labs, Inc. filed September 24, 2020 (7)</w:t>
        </w:r>
      </w:hyperlink>
    </w:p>
    <w:p w14:paraId="1CF2AA43" w14:textId="59AEAA4A" w:rsidR="00277C53" w:rsidRDefault="00277C53" w:rsidP="00851443">
      <w:pPr>
        <w:ind w:left="900" w:hanging="900"/>
        <w:rPr>
          <w:bCs/>
        </w:rPr>
      </w:pPr>
      <w:r>
        <w:rPr>
          <w:bCs/>
        </w:rPr>
        <w:t>4.1</w:t>
      </w:r>
      <w:r>
        <w:rPr>
          <w:bCs/>
        </w:rPr>
        <w:tab/>
      </w:r>
      <w:hyperlink r:id="rId26" w:history="1">
        <w:r w:rsidRPr="00B00B21">
          <w:rPr>
            <w:rStyle w:val="Hyperlink"/>
            <w:bCs/>
          </w:rPr>
          <w:t>Form of Stock Certificate represent</w:t>
        </w:r>
        <w:r>
          <w:rPr>
            <w:rStyle w:val="Hyperlink"/>
            <w:bCs/>
          </w:rPr>
          <w:t>ing</w:t>
        </w:r>
        <w:r w:rsidRPr="00B00B21">
          <w:rPr>
            <w:rStyle w:val="Hyperlink"/>
            <w:bCs/>
          </w:rPr>
          <w:t xml:space="preserve"> the Company’s Common Stock, par value $0.001 per share (</w:t>
        </w:r>
        <w:r>
          <w:rPr>
            <w:rStyle w:val="Hyperlink"/>
            <w:bCs/>
          </w:rPr>
          <w:t>1</w:t>
        </w:r>
        <w:r w:rsidRPr="00B00B21">
          <w:rPr>
            <w:rStyle w:val="Hyperlink"/>
            <w:bCs/>
          </w:rPr>
          <w:t>)</w:t>
        </w:r>
      </w:hyperlink>
    </w:p>
    <w:p w14:paraId="38431F24" w14:textId="01A7E226" w:rsidR="003221E7" w:rsidRDefault="003221E7" w:rsidP="00851443">
      <w:pPr>
        <w:ind w:left="900" w:hanging="900"/>
        <w:rPr>
          <w:bCs/>
        </w:rPr>
      </w:pPr>
      <w:r>
        <w:rPr>
          <w:bCs/>
        </w:rPr>
        <w:t>4.1.2</w:t>
      </w:r>
      <w:r>
        <w:rPr>
          <w:bCs/>
        </w:rPr>
        <w:tab/>
      </w:r>
      <w:hyperlink r:id="rId27" w:history="1">
        <w:r w:rsidRPr="003221E7">
          <w:rPr>
            <w:rStyle w:val="Hyperlink"/>
            <w:bCs/>
          </w:rPr>
          <w:t>Form of Stock Certificate representing the Company’s Common Stock par value $0.001 per share after the reverse stock split effected September 25, 2020 (9)</w:t>
        </w:r>
      </w:hyperlink>
    </w:p>
    <w:p w14:paraId="1D1E1370" w14:textId="5F9D7FF7" w:rsidR="00277C53" w:rsidRDefault="00277C53" w:rsidP="00851443">
      <w:pPr>
        <w:ind w:left="900" w:hanging="900"/>
        <w:rPr>
          <w:bCs/>
        </w:rPr>
      </w:pPr>
      <w:r>
        <w:rPr>
          <w:bCs/>
        </w:rPr>
        <w:t>4.</w:t>
      </w:r>
      <w:r w:rsidR="00742E05">
        <w:rPr>
          <w:bCs/>
        </w:rPr>
        <w:t>2</w:t>
      </w:r>
      <w:r>
        <w:rPr>
          <w:bCs/>
        </w:rPr>
        <w:tab/>
      </w:r>
      <w:hyperlink r:id="rId28" w:history="1">
        <w:r w:rsidRPr="00B00B21">
          <w:rPr>
            <w:rStyle w:val="Hyperlink"/>
            <w:bCs/>
          </w:rPr>
          <w:t>Form of Stock Certificate for the Series J Convertible Preferred Stock (</w:t>
        </w:r>
        <w:r>
          <w:rPr>
            <w:rStyle w:val="Hyperlink"/>
            <w:bCs/>
          </w:rPr>
          <w:t>2</w:t>
        </w:r>
        <w:r w:rsidRPr="00B00B21">
          <w:rPr>
            <w:rStyle w:val="Hyperlink"/>
            <w:bCs/>
          </w:rPr>
          <w:t>)</w:t>
        </w:r>
      </w:hyperlink>
    </w:p>
    <w:p w14:paraId="7DEA0311" w14:textId="41155F3A" w:rsidR="0040192D" w:rsidRDefault="0040192D" w:rsidP="00851443">
      <w:pPr>
        <w:ind w:left="900" w:hanging="900"/>
      </w:pPr>
      <w:r>
        <w:t>4.3</w:t>
      </w:r>
      <w:r>
        <w:tab/>
      </w:r>
      <w:hyperlink r:id="rId29" w:history="1">
        <w:r w:rsidRPr="0040192D">
          <w:rPr>
            <w:rStyle w:val="Hyperlink"/>
          </w:rPr>
          <w:t>Form of Common Stock Purchase Warrant (11)</w:t>
        </w:r>
      </w:hyperlink>
    </w:p>
    <w:p w14:paraId="6ABCAB15" w14:textId="62684F90" w:rsidR="00D35532" w:rsidRDefault="00D35532" w:rsidP="00851443">
      <w:pPr>
        <w:ind w:left="900" w:hanging="900"/>
      </w:pPr>
      <w:r>
        <w:t>4.3</w:t>
      </w:r>
      <w:r w:rsidR="0040192D">
        <w:t>.1</w:t>
      </w:r>
      <w:r>
        <w:tab/>
      </w:r>
      <w:hyperlink r:id="rId30" w:history="1">
        <w:r w:rsidRPr="00D35532">
          <w:rPr>
            <w:rStyle w:val="Hyperlink"/>
          </w:rPr>
          <w:t>Form of Pre-Funded Warrant (7)</w:t>
        </w:r>
      </w:hyperlink>
    </w:p>
    <w:p w14:paraId="6E000007" w14:textId="2960CCAC" w:rsidR="00D35532" w:rsidRDefault="00D35532" w:rsidP="00851443">
      <w:pPr>
        <w:ind w:left="900" w:hanging="900"/>
      </w:pPr>
      <w:r>
        <w:t>4.3.</w:t>
      </w:r>
      <w:r w:rsidR="0040192D">
        <w:t>2</w:t>
      </w:r>
      <w:r>
        <w:tab/>
      </w:r>
      <w:hyperlink r:id="rId31" w:history="1">
        <w:r w:rsidRPr="00D35532">
          <w:rPr>
            <w:rStyle w:val="Hyperlink"/>
          </w:rPr>
          <w:t>Form of Pre-Funded Warrant issued to holders of Convertible Debentures (8)</w:t>
        </w:r>
      </w:hyperlink>
    </w:p>
    <w:p w14:paraId="1856A664" w14:textId="14305ACC" w:rsidR="00D35532" w:rsidRDefault="00D35532" w:rsidP="00851443">
      <w:pPr>
        <w:ind w:left="900" w:hanging="900"/>
      </w:pPr>
      <w:r>
        <w:t>4.3.</w:t>
      </w:r>
      <w:r w:rsidR="0040192D">
        <w:t>3</w:t>
      </w:r>
      <w:r>
        <w:tab/>
      </w:r>
      <w:hyperlink r:id="rId32" w:history="1">
        <w:r w:rsidRPr="00D35532">
          <w:rPr>
            <w:rStyle w:val="Hyperlink"/>
          </w:rPr>
          <w:t>Form of Warrant issued to holders of Convertible Debentures (8)</w:t>
        </w:r>
      </w:hyperlink>
    </w:p>
    <w:p w14:paraId="146ABA0D" w14:textId="48BD5629" w:rsidR="003221E7" w:rsidRDefault="003221E7" w:rsidP="00851443">
      <w:pPr>
        <w:ind w:left="900" w:hanging="900"/>
      </w:pPr>
      <w:r>
        <w:t>4.3.</w:t>
      </w:r>
      <w:r w:rsidR="0040192D">
        <w:t>4</w:t>
      </w:r>
      <w:r>
        <w:tab/>
      </w:r>
      <w:hyperlink r:id="rId33" w:history="1">
        <w:r w:rsidRPr="003221E7">
          <w:rPr>
            <w:rStyle w:val="Hyperlink"/>
          </w:rPr>
          <w:t>Form of Representative’s Warrant Agreement (10)</w:t>
        </w:r>
      </w:hyperlink>
    </w:p>
    <w:p w14:paraId="2E05E85F" w14:textId="7299B3B8" w:rsidR="003221E7" w:rsidRDefault="003221E7" w:rsidP="00851443">
      <w:pPr>
        <w:ind w:left="900" w:hanging="900"/>
      </w:pPr>
      <w:r>
        <w:t>4.3.</w:t>
      </w:r>
      <w:r w:rsidR="0040192D">
        <w:t>5</w:t>
      </w:r>
      <w:r>
        <w:tab/>
      </w:r>
      <w:hyperlink r:id="rId34" w:history="1">
        <w:r w:rsidRPr="003221E7">
          <w:rPr>
            <w:rStyle w:val="Hyperlink"/>
          </w:rPr>
          <w:t>Form of Warrant issued to Management Creditors (10)</w:t>
        </w:r>
      </w:hyperlink>
    </w:p>
    <w:p w14:paraId="6AFD8D0A" w14:textId="22764370" w:rsidR="00D35532" w:rsidRDefault="00D35532" w:rsidP="00851443">
      <w:pPr>
        <w:ind w:left="900" w:hanging="900"/>
      </w:pPr>
      <w:r>
        <w:t>4.4</w:t>
      </w:r>
      <w:r>
        <w:tab/>
      </w:r>
      <w:hyperlink r:id="rId35" w:history="1">
        <w:r w:rsidRPr="00D35532">
          <w:rPr>
            <w:rStyle w:val="Hyperlink"/>
          </w:rPr>
          <w:t>Warrant Agent Agreement dated September 29, 2020 between the Company and American Stock Transfer &amp; Trust Company, LLC (8)</w:t>
        </w:r>
      </w:hyperlink>
    </w:p>
    <w:p w14:paraId="1C9F4B4D" w14:textId="70EB4A9C" w:rsidR="003221E7" w:rsidRDefault="003221E7" w:rsidP="00851443">
      <w:pPr>
        <w:ind w:left="900" w:hanging="900"/>
      </w:pPr>
      <w:r>
        <w:t>4.5</w:t>
      </w:r>
      <w:r>
        <w:tab/>
      </w:r>
      <w:hyperlink r:id="rId36" w:history="1">
        <w:r w:rsidR="0040192D" w:rsidRPr="0040192D">
          <w:rPr>
            <w:rStyle w:val="Hyperlink"/>
          </w:rPr>
          <w:t>Form of Subscription Agreement executed by Management Creditors (10)</w:t>
        </w:r>
      </w:hyperlink>
    </w:p>
    <w:p w14:paraId="344FA035" w14:textId="541AA0FF" w:rsidR="00277C53" w:rsidRDefault="00277C53" w:rsidP="00851443">
      <w:pPr>
        <w:ind w:left="900" w:hanging="900"/>
      </w:pPr>
      <w:r>
        <w:t>10.</w:t>
      </w:r>
      <w:r w:rsidR="00742E05">
        <w:t>1</w:t>
      </w:r>
      <w:r w:rsidRPr="003434EE">
        <w:tab/>
      </w:r>
      <w:hyperlink r:id="rId37" w:history="1">
        <w:r w:rsidRPr="00742E05">
          <w:rPr>
            <w:rStyle w:val="Hyperlink"/>
            <w:bCs/>
          </w:rPr>
          <w:t>Office and Laboratory Lease between UCB, Inc. and GeoVax, Inc. (3)</w:t>
        </w:r>
      </w:hyperlink>
    </w:p>
    <w:p w14:paraId="4394E6F4" w14:textId="752777C7" w:rsidR="00277C53" w:rsidRDefault="00277C53" w:rsidP="00851443">
      <w:pPr>
        <w:ind w:left="900" w:hanging="900"/>
        <w:rPr>
          <w:bCs/>
        </w:rPr>
      </w:pPr>
      <w:r>
        <w:rPr>
          <w:bCs/>
        </w:rPr>
        <w:t>10.</w:t>
      </w:r>
      <w:r w:rsidR="00742E05">
        <w:rPr>
          <w:bCs/>
        </w:rPr>
        <w:t>2</w:t>
      </w:r>
      <w:r>
        <w:rPr>
          <w:bCs/>
        </w:rPr>
        <w:tab/>
      </w:r>
      <w:hyperlink r:id="rId38" w:history="1">
        <w:r w:rsidRPr="00B00B21">
          <w:rPr>
            <w:rStyle w:val="Hyperlink"/>
            <w:bCs/>
          </w:rPr>
          <w:t>Form of Securities Purchase Agreement dated January 24, 2020 (</w:t>
        </w:r>
        <w:r>
          <w:rPr>
            <w:rStyle w:val="Hyperlink"/>
            <w:bCs/>
          </w:rPr>
          <w:t>2</w:t>
        </w:r>
        <w:r w:rsidRPr="00B00B21">
          <w:rPr>
            <w:rStyle w:val="Hyperlink"/>
            <w:bCs/>
          </w:rPr>
          <w:t>)</w:t>
        </w:r>
      </w:hyperlink>
    </w:p>
    <w:p w14:paraId="0BDCDE00" w14:textId="701EEE86" w:rsidR="00074805" w:rsidRPr="00077C69" w:rsidRDefault="00074805" w:rsidP="00851443">
      <w:pPr>
        <w:ind w:left="900" w:hanging="900"/>
      </w:pPr>
      <w:r w:rsidRPr="00077C69">
        <w:t>10.3</w:t>
      </w:r>
      <w:r w:rsidRPr="00077C69">
        <w:tab/>
      </w:r>
      <w:hyperlink r:id="rId39" w:history="1">
        <w:r w:rsidRPr="00077C69">
          <w:rPr>
            <w:rStyle w:val="Hyperlink"/>
          </w:rPr>
          <w:t>Form of Note dated April 17, 2020 (4)</w:t>
        </w:r>
      </w:hyperlink>
    </w:p>
    <w:p w14:paraId="3239C44D" w14:textId="485836D7" w:rsidR="005D3DDB" w:rsidRPr="00077C69" w:rsidRDefault="005D3DDB" w:rsidP="00851443">
      <w:pPr>
        <w:ind w:left="900" w:hanging="900"/>
      </w:pPr>
      <w:r w:rsidRPr="00077C69">
        <w:t>10.</w:t>
      </w:r>
      <w:r w:rsidR="00871BAD">
        <w:t>4</w:t>
      </w:r>
      <w:r w:rsidRPr="00077C69">
        <w:tab/>
      </w:r>
      <w:hyperlink r:id="rId40" w:history="1">
        <w:r w:rsidRPr="00C459F4">
          <w:rPr>
            <w:rStyle w:val="Hyperlink"/>
          </w:rPr>
          <w:t>2020 Stock Incentive Plan (</w:t>
        </w:r>
        <w:r w:rsidR="00871BAD">
          <w:rPr>
            <w:rStyle w:val="Hyperlink"/>
          </w:rPr>
          <w:t>5</w:t>
        </w:r>
        <w:r w:rsidRPr="00C459F4">
          <w:rPr>
            <w:rStyle w:val="Hyperlink"/>
          </w:rPr>
          <w:t>)</w:t>
        </w:r>
      </w:hyperlink>
    </w:p>
    <w:p w14:paraId="139FB607" w14:textId="5FB2C58E" w:rsidR="005D3DDB" w:rsidRPr="00077C69" w:rsidRDefault="005D3DDB" w:rsidP="00851443">
      <w:pPr>
        <w:ind w:left="900" w:hanging="900"/>
      </w:pPr>
      <w:r w:rsidRPr="00077C69">
        <w:t>10.</w:t>
      </w:r>
      <w:r w:rsidR="00871BAD">
        <w:t>5</w:t>
      </w:r>
      <w:r w:rsidRPr="00077C69">
        <w:tab/>
      </w:r>
      <w:hyperlink r:id="rId41" w:history="1">
        <w:r w:rsidRPr="00077C69">
          <w:rPr>
            <w:rStyle w:val="Hyperlink"/>
          </w:rPr>
          <w:t>Securities Purchase Agreement dated June 26, 2020 (</w:t>
        </w:r>
        <w:r w:rsidR="00871BAD">
          <w:rPr>
            <w:rStyle w:val="Hyperlink"/>
          </w:rPr>
          <w:t>6</w:t>
        </w:r>
        <w:r w:rsidRPr="00077C69">
          <w:rPr>
            <w:rStyle w:val="Hyperlink"/>
          </w:rPr>
          <w:t>)</w:t>
        </w:r>
      </w:hyperlink>
    </w:p>
    <w:p w14:paraId="6D708595" w14:textId="21874DA7" w:rsidR="005D3DDB" w:rsidRPr="00077C69" w:rsidRDefault="005D3DDB" w:rsidP="00851443">
      <w:pPr>
        <w:ind w:left="900" w:hanging="900"/>
      </w:pPr>
      <w:r w:rsidRPr="00077C69">
        <w:t>10.</w:t>
      </w:r>
      <w:r w:rsidR="00871BAD">
        <w:t>6</w:t>
      </w:r>
      <w:r w:rsidRPr="00077C69">
        <w:tab/>
      </w:r>
      <w:hyperlink r:id="rId42" w:history="1">
        <w:r w:rsidRPr="00077C69">
          <w:rPr>
            <w:rStyle w:val="Hyperlink"/>
          </w:rPr>
          <w:t>Form of 5% Original Issue Discount Senior Secured Convertible Debenture dated June 26, 2020 (</w:t>
        </w:r>
        <w:r w:rsidR="00871BAD">
          <w:rPr>
            <w:rStyle w:val="Hyperlink"/>
          </w:rPr>
          <w:t>6</w:t>
        </w:r>
        <w:r w:rsidRPr="00077C69">
          <w:rPr>
            <w:rStyle w:val="Hyperlink"/>
          </w:rPr>
          <w:t>)</w:t>
        </w:r>
      </w:hyperlink>
    </w:p>
    <w:p w14:paraId="347D5931" w14:textId="3B5AA568" w:rsidR="005D3DDB" w:rsidRPr="00077C69" w:rsidRDefault="005D3DDB" w:rsidP="00851443">
      <w:pPr>
        <w:ind w:left="900" w:hanging="900"/>
      </w:pPr>
      <w:r w:rsidRPr="00077C69">
        <w:t>10.</w:t>
      </w:r>
      <w:r w:rsidR="00871BAD">
        <w:t>7</w:t>
      </w:r>
      <w:r w:rsidRPr="00077C69">
        <w:tab/>
      </w:r>
      <w:hyperlink r:id="rId43" w:history="1">
        <w:r w:rsidRPr="00077C69">
          <w:rPr>
            <w:rStyle w:val="Hyperlink"/>
          </w:rPr>
          <w:t>Form of Common Stock Purchase Warrant dated June 26, 2020 (</w:t>
        </w:r>
        <w:r w:rsidR="00871BAD">
          <w:rPr>
            <w:rStyle w:val="Hyperlink"/>
          </w:rPr>
          <w:t>6</w:t>
        </w:r>
        <w:r w:rsidRPr="00077C69">
          <w:rPr>
            <w:rStyle w:val="Hyperlink"/>
          </w:rPr>
          <w:t>)</w:t>
        </w:r>
      </w:hyperlink>
    </w:p>
    <w:p w14:paraId="69DCCB79" w14:textId="4E4B814B" w:rsidR="005D3DDB" w:rsidRPr="00077C69" w:rsidRDefault="005D3DDB" w:rsidP="00851443">
      <w:pPr>
        <w:ind w:left="900" w:hanging="900"/>
      </w:pPr>
      <w:r w:rsidRPr="00077C69">
        <w:t>10.</w:t>
      </w:r>
      <w:r w:rsidR="00871BAD">
        <w:t>8</w:t>
      </w:r>
      <w:r w:rsidRPr="00077C69">
        <w:tab/>
      </w:r>
      <w:hyperlink r:id="rId44" w:history="1">
        <w:r w:rsidRPr="00077C69">
          <w:rPr>
            <w:rStyle w:val="Hyperlink"/>
          </w:rPr>
          <w:t>Form of Security Agreement dated June 26, 2020 (</w:t>
        </w:r>
        <w:r w:rsidR="00871BAD">
          <w:rPr>
            <w:rStyle w:val="Hyperlink"/>
          </w:rPr>
          <w:t>6</w:t>
        </w:r>
        <w:r w:rsidRPr="00077C69">
          <w:rPr>
            <w:rStyle w:val="Hyperlink"/>
          </w:rPr>
          <w:t>)</w:t>
        </w:r>
      </w:hyperlink>
    </w:p>
    <w:p w14:paraId="0835D647" w14:textId="7FEA5D31" w:rsidR="005D3DDB" w:rsidRPr="00077C69" w:rsidRDefault="005D3DDB" w:rsidP="00851443">
      <w:pPr>
        <w:ind w:left="900" w:hanging="900"/>
      </w:pPr>
      <w:r w:rsidRPr="00077C69">
        <w:t>10.</w:t>
      </w:r>
      <w:r w:rsidR="00871BAD">
        <w:t>9</w:t>
      </w:r>
      <w:r w:rsidRPr="00077C69">
        <w:tab/>
      </w:r>
      <w:hyperlink r:id="rId45" w:history="1">
        <w:r w:rsidRPr="00077C69">
          <w:rPr>
            <w:rStyle w:val="Hyperlink"/>
          </w:rPr>
          <w:t>Form of Subsidiary Guarantee dated June 26, 2020 (</w:t>
        </w:r>
        <w:r w:rsidR="00871BAD">
          <w:rPr>
            <w:rStyle w:val="Hyperlink"/>
          </w:rPr>
          <w:t>6</w:t>
        </w:r>
        <w:r w:rsidRPr="00077C69">
          <w:rPr>
            <w:rStyle w:val="Hyperlink"/>
          </w:rPr>
          <w:t>)</w:t>
        </w:r>
      </w:hyperlink>
    </w:p>
    <w:p w14:paraId="34AE4AE7" w14:textId="4D6C8949" w:rsidR="005D3DDB" w:rsidRDefault="005D3DDB" w:rsidP="00851443">
      <w:pPr>
        <w:ind w:left="900" w:hanging="900"/>
      </w:pPr>
      <w:r w:rsidRPr="00077C69">
        <w:t>10.1</w:t>
      </w:r>
      <w:r w:rsidR="00871BAD">
        <w:t>0</w:t>
      </w:r>
      <w:r w:rsidRPr="00077C69">
        <w:tab/>
      </w:r>
      <w:hyperlink r:id="rId46" w:history="1">
        <w:r w:rsidRPr="00077C69">
          <w:rPr>
            <w:rStyle w:val="Hyperlink"/>
          </w:rPr>
          <w:t>Agreement Regarding Outstanding Convertible Preferred Stock and Warrants dated June 26, 2020</w:t>
        </w:r>
        <w:r w:rsidR="00F45A44" w:rsidRPr="00077C69">
          <w:rPr>
            <w:rStyle w:val="Hyperlink"/>
          </w:rPr>
          <w:t xml:space="preserve"> (</w:t>
        </w:r>
        <w:r w:rsidR="00871BAD">
          <w:rPr>
            <w:rStyle w:val="Hyperlink"/>
          </w:rPr>
          <w:t>6</w:t>
        </w:r>
        <w:r w:rsidR="00F45A44" w:rsidRPr="00077C69">
          <w:rPr>
            <w:rStyle w:val="Hyperlink"/>
          </w:rPr>
          <w:t>)</w:t>
        </w:r>
      </w:hyperlink>
    </w:p>
    <w:p w14:paraId="4C16E9A3" w14:textId="1CABD931" w:rsidR="00DA23FC" w:rsidRDefault="00DA23FC" w:rsidP="00851443">
      <w:pPr>
        <w:ind w:left="900" w:hanging="900"/>
      </w:pPr>
      <w:r>
        <w:t>10.11</w:t>
      </w:r>
      <w:r>
        <w:tab/>
      </w:r>
      <w:hyperlink r:id="rId47" w:history="1">
        <w:r w:rsidRPr="005B00DF">
          <w:rPr>
            <w:rStyle w:val="Hyperlink"/>
          </w:rPr>
          <w:t>Patent and Biological Materials License Agreement with the National Institute of Allergy and Infectious Diseases, dated October 22, 2020 (12)</w:t>
        </w:r>
      </w:hyperlink>
    </w:p>
    <w:p w14:paraId="769D58A4" w14:textId="4647D082" w:rsidR="00717940" w:rsidRPr="001C6303" w:rsidRDefault="00717940" w:rsidP="00851443">
      <w:pPr>
        <w:ind w:left="900" w:hanging="900"/>
      </w:pPr>
      <w:r w:rsidRPr="001C6303">
        <w:t>31.1*</w:t>
      </w:r>
      <w:r w:rsidRPr="001C6303">
        <w:tab/>
        <w:t xml:space="preserve">Certification pursuant to Rule 13a-14(a) or 15d-14(a) of the Securities Exchange Act of 1934 </w:t>
      </w:r>
    </w:p>
    <w:p w14:paraId="0D5E8471" w14:textId="77777777" w:rsidR="00717940" w:rsidRPr="001C6303" w:rsidRDefault="00717940" w:rsidP="00851443">
      <w:pPr>
        <w:ind w:left="900" w:hanging="900"/>
      </w:pPr>
      <w:r w:rsidRPr="001C6303">
        <w:t>31.2*</w:t>
      </w:r>
      <w:r w:rsidRPr="001C6303">
        <w:tab/>
        <w:t xml:space="preserve">Certification pursuant to Rule 13a-14(a) or 15d-14(a) of the Securities Exchange Act of 1934 </w:t>
      </w:r>
    </w:p>
    <w:p w14:paraId="7E0B9613" w14:textId="77777777" w:rsidR="00717940" w:rsidRPr="001C6303" w:rsidRDefault="00717940" w:rsidP="00851443">
      <w:pPr>
        <w:ind w:left="900" w:hanging="90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851443">
      <w:pPr>
        <w:tabs>
          <w:tab w:val="left" w:pos="1080"/>
          <w:tab w:val="left" w:pos="2340"/>
          <w:tab w:val="left" w:pos="3600"/>
          <w:tab w:val="left" w:pos="7920"/>
        </w:tabs>
        <w:ind w:left="900" w:hanging="900"/>
      </w:pPr>
      <w:r w:rsidRPr="001C6303">
        <w:t>32.2*</w:t>
      </w:r>
      <w:r w:rsidRPr="001C6303">
        <w:tab/>
        <w:t xml:space="preserve">Certification pursuant to 18 U.S.C. Section 1350, as adopted by Section 906 of the Sarbanes-Oxley Act of 2002 </w:t>
      </w:r>
    </w:p>
    <w:p w14:paraId="6B43401B" w14:textId="1F9F7270" w:rsidR="00277C53" w:rsidRDefault="00277C53" w:rsidP="00851443">
      <w:pPr>
        <w:ind w:left="900" w:hanging="900"/>
      </w:pPr>
      <w:r>
        <w:t>101.INS**</w:t>
      </w:r>
      <w:r>
        <w:tab/>
      </w:r>
      <w:r w:rsidR="0040192D">
        <w:tab/>
      </w:r>
      <w:r>
        <w:t>XBRL Instance Document</w:t>
      </w:r>
    </w:p>
    <w:p w14:paraId="0DFF493E" w14:textId="77777777" w:rsidR="00277C53" w:rsidRDefault="00277C53" w:rsidP="00851443">
      <w:pPr>
        <w:ind w:left="900" w:hanging="900"/>
      </w:pPr>
      <w:r>
        <w:t>101.SCH**</w:t>
      </w:r>
      <w:r>
        <w:tab/>
        <w:t>XBRL Taxonomy Extension Schema Document</w:t>
      </w:r>
    </w:p>
    <w:p w14:paraId="15A985B3" w14:textId="77777777" w:rsidR="00277C53" w:rsidRDefault="00277C53" w:rsidP="00851443">
      <w:pPr>
        <w:ind w:left="900" w:hanging="900"/>
      </w:pPr>
      <w:r>
        <w:t>101.CAL**</w:t>
      </w:r>
      <w:r>
        <w:tab/>
        <w:t>XBRL Taxonomy Extension Calculation Linkbase Document</w:t>
      </w:r>
    </w:p>
    <w:p w14:paraId="237AE405" w14:textId="77777777" w:rsidR="00277C53" w:rsidRDefault="00277C53" w:rsidP="00851443">
      <w:pPr>
        <w:ind w:left="900" w:hanging="900"/>
      </w:pPr>
      <w:r>
        <w:t>101.DEF**</w:t>
      </w:r>
      <w:r>
        <w:tab/>
        <w:t>XBRL Taxonomy Extension Definition Linkbase Document</w:t>
      </w:r>
    </w:p>
    <w:p w14:paraId="3C8A4BF0" w14:textId="77777777" w:rsidR="00277C53" w:rsidRDefault="00277C53" w:rsidP="00851443">
      <w:pPr>
        <w:ind w:left="900" w:hanging="900"/>
      </w:pPr>
      <w:r>
        <w:t>101.LAB**</w:t>
      </w:r>
      <w:r>
        <w:tab/>
        <w:t>XBRL Taxonomy Extension Label Linkbase Document</w:t>
      </w:r>
    </w:p>
    <w:p w14:paraId="209011E7" w14:textId="77777777" w:rsidR="00277C53" w:rsidRPr="001C6303" w:rsidRDefault="00277C53" w:rsidP="00851443">
      <w:pPr>
        <w:ind w:left="900" w:hanging="900"/>
      </w:pPr>
      <w:r>
        <w:t>101.PRE**</w:t>
      </w:r>
      <w:r>
        <w:tab/>
        <w:t>XBRL Taxonomy Extension Presentation Linkbase Document</w:t>
      </w:r>
    </w:p>
    <w:p w14:paraId="2B7BC306" w14:textId="77777777" w:rsidR="00717940" w:rsidRDefault="00717940" w:rsidP="00717940"/>
    <w:p w14:paraId="45F577B3" w14:textId="77777777" w:rsidR="00717940" w:rsidRDefault="00717940" w:rsidP="00717940">
      <w:r>
        <w:t>_____________________</w:t>
      </w:r>
    </w:p>
    <w:p w14:paraId="74FDE28B" w14:textId="77777777" w:rsidR="00717940" w:rsidRDefault="00717940" w:rsidP="0040192D">
      <w:pPr>
        <w:ind w:left="450" w:hanging="450"/>
      </w:pPr>
      <w:r w:rsidRPr="001C6303">
        <w:t>*</w:t>
      </w:r>
      <w:r w:rsidRPr="001C6303">
        <w:tab/>
        <w:t>Filed herewith</w:t>
      </w:r>
    </w:p>
    <w:p w14:paraId="67B69AA3" w14:textId="062AF346" w:rsidR="00717940" w:rsidRDefault="00717940" w:rsidP="0040192D">
      <w:pPr>
        <w:ind w:left="450" w:hanging="450"/>
      </w:pPr>
      <w:r>
        <w:t>**</w:t>
      </w:r>
      <w:r>
        <w:tab/>
      </w:r>
      <w:r w:rsidR="00277C53">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01DC92B6" w14:textId="55416CDA" w:rsidR="00277C53" w:rsidRDefault="00277C53" w:rsidP="0040192D">
      <w:pPr>
        <w:ind w:left="450" w:hanging="450"/>
      </w:pPr>
      <w:r>
        <w:t>(1)</w:t>
      </w:r>
      <w:r>
        <w:tab/>
      </w:r>
      <w:r w:rsidRPr="00A92006">
        <w:t xml:space="preserve">Incorporated by reference from the registrant’s Current Report on Form 8-K filed </w:t>
      </w:r>
      <w:r>
        <w:t>January</w:t>
      </w:r>
      <w:r w:rsidRPr="00A92006">
        <w:t xml:space="preserve"> 2</w:t>
      </w:r>
      <w:r>
        <w:t>1</w:t>
      </w:r>
      <w:r w:rsidRPr="00A92006">
        <w:t>, 20</w:t>
      </w:r>
      <w:r>
        <w:t>20.</w:t>
      </w:r>
    </w:p>
    <w:p w14:paraId="05F4FD14" w14:textId="0D2CABDD" w:rsidR="00277C53" w:rsidRPr="00A92006" w:rsidRDefault="00277C53" w:rsidP="0040192D">
      <w:pPr>
        <w:ind w:left="450" w:hanging="450"/>
      </w:pPr>
      <w:bookmarkStart w:id="44" w:name="_Hlk38036491"/>
      <w:r>
        <w:t>(2)</w:t>
      </w:r>
      <w:r>
        <w:tab/>
      </w:r>
      <w:r w:rsidRPr="00A92006">
        <w:t xml:space="preserve">Incorporated by reference from the registrant’s Current Report on Form 8-K filed </w:t>
      </w:r>
      <w:r>
        <w:t>January</w:t>
      </w:r>
      <w:r w:rsidRPr="00A92006">
        <w:t xml:space="preserve"> 2</w:t>
      </w:r>
      <w:r>
        <w:t>4</w:t>
      </w:r>
      <w:r w:rsidRPr="00A92006">
        <w:t>, 20</w:t>
      </w:r>
      <w:r>
        <w:t>20.</w:t>
      </w:r>
    </w:p>
    <w:bookmarkEnd w:id="44"/>
    <w:p w14:paraId="598FE840" w14:textId="6CE9C988" w:rsidR="00277C53" w:rsidRDefault="00277C53" w:rsidP="0040192D">
      <w:pPr>
        <w:ind w:left="450" w:hanging="450"/>
      </w:pPr>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2</w:t>
      </w:r>
      <w:r>
        <w:t>4</w:t>
      </w:r>
      <w:r w:rsidRPr="00A92006">
        <w:t>, 20</w:t>
      </w:r>
      <w:r>
        <w:t>20.</w:t>
      </w:r>
    </w:p>
    <w:p w14:paraId="2656C730" w14:textId="4BBD1ED9" w:rsidR="00717940" w:rsidRDefault="00074805" w:rsidP="0040192D">
      <w:pPr>
        <w:ind w:left="450" w:hanging="450"/>
      </w:pPr>
      <w:r>
        <w:t>(4)</w:t>
      </w:r>
      <w:r>
        <w:tab/>
      </w:r>
      <w:r w:rsidRPr="00A92006">
        <w:t xml:space="preserve">Incorporated by reference from the registrant’s Current Report on Form 8-K filed </w:t>
      </w:r>
      <w:r>
        <w:t>April</w:t>
      </w:r>
      <w:r w:rsidRPr="00A92006">
        <w:t xml:space="preserve"> 2</w:t>
      </w:r>
      <w:r>
        <w:t>0</w:t>
      </w:r>
      <w:r w:rsidRPr="00A92006">
        <w:t>, 20</w:t>
      </w:r>
      <w:r>
        <w:t>20.</w:t>
      </w:r>
    </w:p>
    <w:p w14:paraId="0DBD72CD" w14:textId="3A0B1235" w:rsidR="005D3DDB" w:rsidRDefault="005D3DDB" w:rsidP="0040192D">
      <w:pPr>
        <w:ind w:left="450" w:hanging="450"/>
      </w:pPr>
      <w:r>
        <w:t>(</w:t>
      </w:r>
      <w:r w:rsidR="00871BAD">
        <w:t>5</w:t>
      </w:r>
      <w:r>
        <w:t>)</w:t>
      </w:r>
      <w:r>
        <w:tab/>
      </w:r>
      <w:r w:rsidRPr="00A92006">
        <w:t>Incorporated by reference from the registrant’s Current Report on Form 8-K filed</w:t>
      </w:r>
      <w:r>
        <w:t xml:space="preserve"> June 25</w:t>
      </w:r>
      <w:r w:rsidRPr="00A92006">
        <w:t>, 20</w:t>
      </w:r>
      <w:r>
        <w:t>20.</w:t>
      </w:r>
    </w:p>
    <w:p w14:paraId="2559C94E" w14:textId="322BE8E1" w:rsidR="005D3DDB" w:rsidRDefault="005D3DDB" w:rsidP="0040192D">
      <w:pPr>
        <w:ind w:left="450" w:hanging="450"/>
      </w:pPr>
      <w:r>
        <w:t>(</w:t>
      </w:r>
      <w:r w:rsidR="00871BAD">
        <w:t>6</w:t>
      </w:r>
      <w:r>
        <w:t>)</w:t>
      </w:r>
      <w:r>
        <w:tab/>
      </w:r>
      <w:r w:rsidRPr="00A92006">
        <w:t xml:space="preserve">Incorporated by reference from the registrant’s Current Report on Form 8-K filed </w:t>
      </w:r>
      <w:r>
        <w:t>June 26</w:t>
      </w:r>
      <w:r w:rsidRPr="00A92006">
        <w:t>, 20</w:t>
      </w:r>
      <w:r>
        <w:t>20.</w:t>
      </w:r>
    </w:p>
    <w:p w14:paraId="21BDA649" w14:textId="43D08B4E" w:rsidR="00851443" w:rsidRDefault="00851443" w:rsidP="0040192D">
      <w:pPr>
        <w:ind w:left="450" w:hanging="450"/>
      </w:pPr>
      <w:r>
        <w:t>(7)</w:t>
      </w:r>
      <w:r>
        <w:tab/>
      </w:r>
      <w:r w:rsidRPr="00A92006">
        <w:t xml:space="preserve">Incorporated by reference from the registrant’s Current Report on Form 8-K filed </w:t>
      </w:r>
      <w:r>
        <w:t>September 25</w:t>
      </w:r>
      <w:r w:rsidRPr="00A92006">
        <w:t>, 20</w:t>
      </w:r>
      <w:r>
        <w:t>20.</w:t>
      </w:r>
    </w:p>
    <w:p w14:paraId="49E7DCDE" w14:textId="40E8A652" w:rsidR="00D35532" w:rsidRDefault="00D35532" w:rsidP="0040192D">
      <w:pPr>
        <w:ind w:left="450" w:hanging="450"/>
      </w:pPr>
      <w:r>
        <w:t>(8)</w:t>
      </w:r>
      <w:r>
        <w:tab/>
      </w:r>
      <w:r w:rsidRPr="00A92006">
        <w:t xml:space="preserve">Incorporated by reference from the registrant’s Current Report on Form 8-K filed </w:t>
      </w:r>
      <w:r>
        <w:t>September 29</w:t>
      </w:r>
      <w:r w:rsidRPr="00A92006">
        <w:t>, 20</w:t>
      </w:r>
      <w:r>
        <w:t>20.</w:t>
      </w:r>
    </w:p>
    <w:p w14:paraId="38417467" w14:textId="1B0851BA" w:rsidR="003221E7" w:rsidRDefault="003221E7" w:rsidP="0040192D">
      <w:pPr>
        <w:ind w:left="450" w:hanging="450"/>
      </w:pPr>
      <w:r>
        <w:t>(9)</w:t>
      </w:r>
      <w:r>
        <w:tab/>
      </w:r>
      <w:r w:rsidRPr="00A92006">
        <w:t xml:space="preserve">Incorporated by reference from the </w:t>
      </w:r>
      <w:r>
        <w:t xml:space="preserve">Amendment No. 2 to </w:t>
      </w:r>
      <w:r w:rsidRPr="00A92006">
        <w:t xml:space="preserve">registrant’s </w:t>
      </w:r>
      <w:r>
        <w:t>Registration Statement on Form S-1 (File No. 333-239958) filed</w:t>
      </w:r>
      <w:r w:rsidRPr="00A92006">
        <w:t xml:space="preserve"> </w:t>
      </w:r>
      <w:r>
        <w:t>August 26</w:t>
      </w:r>
      <w:r w:rsidRPr="00A92006">
        <w:t>, 20</w:t>
      </w:r>
      <w:r>
        <w:t>20</w:t>
      </w:r>
    </w:p>
    <w:p w14:paraId="6A84F430" w14:textId="4A804FC4" w:rsidR="003221E7" w:rsidRDefault="003221E7" w:rsidP="0040192D">
      <w:pPr>
        <w:ind w:left="450" w:hanging="450"/>
      </w:pPr>
      <w:r>
        <w:t>(10)</w:t>
      </w:r>
      <w:r>
        <w:tab/>
      </w:r>
      <w:r w:rsidRPr="00A92006">
        <w:t xml:space="preserve">Incorporated by reference from the </w:t>
      </w:r>
      <w:r>
        <w:t xml:space="preserve">Amendment No. 3 to </w:t>
      </w:r>
      <w:r w:rsidRPr="00A92006">
        <w:t xml:space="preserve">registrant’s </w:t>
      </w:r>
      <w:r>
        <w:t>Registration Statement on Form S-1 (File No. 333-239958) filed</w:t>
      </w:r>
      <w:r w:rsidRPr="00A92006">
        <w:t xml:space="preserve"> </w:t>
      </w:r>
      <w:r>
        <w:t>September 8</w:t>
      </w:r>
      <w:r w:rsidRPr="00A92006">
        <w:t>, 20</w:t>
      </w:r>
      <w:r>
        <w:t>20</w:t>
      </w:r>
    </w:p>
    <w:p w14:paraId="500D853F" w14:textId="6622FB9D" w:rsidR="0040192D" w:rsidRDefault="0040192D" w:rsidP="0040192D">
      <w:pPr>
        <w:ind w:left="450" w:hanging="450"/>
      </w:pPr>
      <w:r>
        <w:t>(11)</w:t>
      </w:r>
      <w:r>
        <w:tab/>
      </w:r>
      <w:r w:rsidRPr="00A92006">
        <w:t xml:space="preserve">Incorporated by reference from the </w:t>
      </w:r>
      <w:r>
        <w:t xml:space="preserve">Amendment No. 4 to </w:t>
      </w:r>
      <w:r w:rsidRPr="00A92006">
        <w:t xml:space="preserve">registrant’s </w:t>
      </w:r>
      <w:r>
        <w:t>Registration Statement on Form S-1 (File No. 333-239958) filed</w:t>
      </w:r>
      <w:r w:rsidRPr="00A92006">
        <w:t xml:space="preserve"> </w:t>
      </w:r>
      <w:r>
        <w:t>September 23</w:t>
      </w:r>
      <w:r w:rsidRPr="00A92006">
        <w:t>, 20</w:t>
      </w:r>
      <w:r>
        <w:t>20</w:t>
      </w:r>
    </w:p>
    <w:p w14:paraId="3F817EDD" w14:textId="6D1E01C9" w:rsidR="00DA23FC" w:rsidRDefault="00DA23FC" w:rsidP="00DA23FC">
      <w:pPr>
        <w:ind w:left="450" w:hanging="450"/>
      </w:pPr>
      <w:r>
        <w:t>(12)</w:t>
      </w:r>
      <w:r>
        <w:tab/>
      </w:r>
      <w:r w:rsidRPr="00A92006">
        <w:t xml:space="preserve">Incorporated by reference from the registrant’s Current Report on Form 8-K filed </w:t>
      </w:r>
      <w:r>
        <w:t>October 26</w:t>
      </w:r>
      <w:r w:rsidRPr="00A92006">
        <w:t>, 20</w:t>
      </w:r>
      <w:r>
        <w:t>20.</w:t>
      </w:r>
      <w:r w:rsidRPr="00DA23FC">
        <w:t xml:space="preserve"> </w:t>
      </w:r>
      <w:r w:rsidRPr="00CB1EAA">
        <w:t>Pursuant to Item 601(b)(10) of Regulation S-K, certain confid</w:t>
      </w:r>
      <w:r>
        <w:t>ential portions of this exhibit</w:t>
      </w:r>
      <w:r w:rsidRPr="00CB1EAA">
        <w:t xml:space="preserve"> have been omitted as the Company has determined (i) the omitted information is not material and (ii) the omitted information would likely cause </w:t>
      </w:r>
      <w:r>
        <w:t xml:space="preserve">competitive </w:t>
      </w:r>
      <w:r w:rsidRPr="00CB1EAA">
        <w:t>harm to the Company if publicly disclosed</w:t>
      </w:r>
      <w:r>
        <w:t>.</w:t>
      </w:r>
    </w:p>
    <w:p w14:paraId="671B9D22" w14:textId="77777777" w:rsidR="00DA23FC" w:rsidRDefault="00DA23FC" w:rsidP="0040192D">
      <w:pPr>
        <w:ind w:left="450" w:hanging="450"/>
      </w:pPr>
    </w:p>
    <w:p w14:paraId="3780EFA4" w14:textId="77777777" w:rsidR="0040192D" w:rsidRDefault="0040192D" w:rsidP="0040192D">
      <w:pPr>
        <w:ind w:left="450" w:hanging="450"/>
      </w:pPr>
    </w:p>
    <w:p w14:paraId="0CA1CF67" w14:textId="369E5D3D" w:rsidR="00717940" w:rsidRDefault="00717940" w:rsidP="000A55AE"/>
    <w:p w14:paraId="746BB730" w14:textId="77777777" w:rsidR="00717940" w:rsidRPr="001C6303"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45DD5E22" w:rsidR="00BD6BBE" w:rsidRPr="001C6303" w:rsidRDefault="005277CB">
      <w:pPr>
        <w:tabs>
          <w:tab w:val="left" w:pos="720"/>
          <w:tab w:val="left" w:pos="5400"/>
          <w:tab w:val="center" w:pos="7380"/>
        </w:tabs>
      </w:pPr>
      <w:r w:rsidRPr="001C6303">
        <w:t>Date:</w:t>
      </w:r>
      <w:r w:rsidRPr="001C6303">
        <w:tab/>
      </w:r>
      <w:r w:rsidR="000B66B5">
        <w:t>November</w:t>
      </w:r>
      <w:r w:rsidR="00A17B7E" w:rsidRPr="00CD5558">
        <w:t xml:space="preserve"> </w:t>
      </w:r>
      <w:r w:rsidR="00C52B70">
        <w:t>5</w:t>
      </w:r>
      <w:r w:rsidR="006B43ED" w:rsidRPr="00CD5558">
        <w:t>, 20</w:t>
      </w:r>
      <w:r w:rsidR="00717940">
        <w:t>20</w:t>
      </w:r>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48"/>
      <w:headerReference w:type="default" r:id="rId49"/>
      <w:footerReference w:type="even" r:id="rId50"/>
      <w:footerReference w:type="default" r:id="rId51"/>
      <w:headerReference w:type="first" r:id="rId52"/>
      <w:footerReference w:type="first" r:id="rId5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CBE4" w14:textId="77777777" w:rsidR="009F771E" w:rsidRDefault="009F771E">
      <w:r>
        <w:separator/>
      </w:r>
    </w:p>
  </w:endnote>
  <w:endnote w:type="continuationSeparator" w:id="0">
    <w:p w14:paraId="7804C108" w14:textId="77777777" w:rsidR="009F771E" w:rsidRDefault="009F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5BA6" w14:textId="77777777" w:rsidR="009F771E" w:rsidRDefault="009F771E"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9F771E" w:rsidRDefault="009F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D819" w14:textId="77777777" w:rsidR="009F771E" w:rsidRDefault="009F771E">
    <w:pPr>
      <w:pStyle w:val="Footer"/>
      <w:framePr w:wrap="around" w:vAnchor="text" w:hAnchor="margin" w:xAlign="center" w:y="1"/>
      <w:rPr>
        <w:rStyle w:val="PageNumber"/>
      </w:rPr>
    </w:pPr>
  </w:p>
  <w:p w14:paraId="16540C0E" w14:textId="77777777" w:rsidR="009F771E" w:rsidRDefault="009F771E">
    <w:pPr>
      <w:pStyle w:val="Footer"/>
    </w:pPr>
  </w:p>
  <w:p w14:paraId="5B0D7315" w14:textId="77777777" w:rsidR="009F771E" w:rsidRDefault="009F771E" w:rsidP="003A5897">
    <w:pPr>
      <w:pStyle w:val="Footer"/>
    </w:pPr>
  </w:p>
  <w:p w14:paraId="315F27D0" w14:textId="27995F67" w:rsidR="009F771E" w:rsidRDefault="009F771E" w:rsidP="003A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A202" w14:textId="77777777" w:rsidR="009F771E" w:rsidRDefault="009F771E">
    <w:pPr>
      <w:pStyle w:val="Footer"/>
    </w:pPr>
  </w:p>
  <w:p w14:paraId="537C21E5" w14:textId="715EA3BD" w:rsidR="009F771E" w:rsidRDefault="009F771E" w:rsidP="003A5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85014"/>
      <w:docPartObj>
        <w:docPartGallery w:val="Page Numbers (Bottom of Page)"/>
        <w:docPartUnique/>
      </w:docPartObj>
    </w:sdtPr>
    <w:sdtEndPr/>
    <w:sdtContent>
      <w:p w14:paraId="5B8BCD02" w14:textId="2F4DA6F7" w:rsidR="009F771E" w:rsidRDefault="009F771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5</w:t>
        </w:r>
        <w:r w:rsidRPr="00175A7C">
          <w:rPr>
            <w:rFonts w:ascii="Times New Roman" w:hAnsi="Times New Roman"/>
            <w:sz w:val="20"/>
          </w:rPr>
          <w:fldChar w:fldCharType="end"/>
        </w:r>
      </w:p>
    </w:sdtContent>
  </w:sdt>
  <w:p w14:paraId="6FBA21FF" w14:textId="77777777" w:rsidR="009F771E" w:rsidRDefault="009F771E" w:rsidP="003A5897">
    <w:pPr>
      <w:pStyle w:val="Footer"/>
    </w:pPr>
  </w:p>
  <w:p w14:paraId="1D44A63D" w14:textId="41EDC0CB" w:rsidR="009F771E" w:rsidRDefault="009F771E" w:rsidP="003A57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D917"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9F771E" w:rsidRDefault="009F771E">
    <w:pPr>
      <w:pStyle w:val="Footer"/>
    </w:pPr>
  </w:p>
  <w:p w14:paraId="6BB4EA6F" w14:textId="5466BDC3" w:rsidR="009F771E" w:rsidRDefault="009F771E" w:rsidP="003A5709">
    <w:pPr>
      <w:pStyle w:val="Footer"/>
    </w:pPr>
    <w:r>
      <w:rPr>
        <w:rFonts w:ascii="Times New Roman" w:hAnsi="Times New Roman"/>
        <w:sz w:val="18"/>
      </w:rPr>
      <w:fldChar w:fldCharType="begin"/>
    </w:r>
    <w:r>
      <w:rPr>
        <w:rFonts w:ascii="Times New Roman" w:hAnsi="Times New Roman"/>
        <w:sz w:val="18"/>
      </w:rPr>
      <w:instrText xml:space="preserve"> </w:instrText>
    </w:r>
    <w:r w:rsidRPr="003A5709">
      <w:rPr>
        <w:rFonts w:ascii="Times New Roman" w:hAnsi="Times New Roman"/>
        <w:sz w:val="18"/>
      </w:rPr>
      <w:instrText>IF "</w:instrText>
    </w:r>
    <w:r w:rsidRPr="003A5709">
      <w:rPr>
        <w:rFonts w:ascii="Times New Roman" w:hAnsi="Times New Roman"/>
        <w:sz w:val="18"/>
      </w:rPr>
      <w:fldChar w:fldCharType="begin"/>
    </w:r>
    <w:r w:rsidRPr="003A5709">
      <w:rPr>
        <w:rFonts w:ascii="Times New Roman" w:hAnsi="Times New Roman"/>
        <w:sz w:val="18"/>
      </w:rPr>
      <w:instrText xml:space="preserve"> DOCVARIABLE "SWDocIDLocation" </w:instrText>
    </w:r>
    <w:r w:rsidRPr="003A5709">
      <w:rPr>
        <w:rFonts w:ascii="Times New Roman" w:hAnsi="Times New Roman"/>
        <w:sz w:val="18"/>
      </w:rPr>
      <w:fldChar w:fldCharType="separate"/>
    </w:r>
    <w:r w:rsidR="00E76881">
      <w:rPr>
        <w:rFonts w:ascii="Times New Roman" w:hAnsi="Times New Roman"/>
        <w:sz w:val="18"/>
      </w:rPr>
      <w:instrText>1</w:instrText>
    </w:r>
    <w:r w:rsidRPr="003A5709">
      <w:rPr>
        <w:rFonts w:ascii="Times New Roman" w:hAnsi="Times New Roman"/>
        <w:sz w:val="18"/>
      </w:rPr>
      <w:fldChar w:fldCharType="end"/>
    </w:r>
    <w:r w:rsidRPr="003A5709">
      <w:rPr>
        <w:rFonts w:ascii="Times New Roman" w:hAnsi="Times New Roman"/>
        <w:sz w:val="18"/>
      </w:rPr>
      <w:instrText>" = "1" "</w:instrText>
    </w:r>
    <w:r w:rsidRPr="003A5709">
      <w:rPr>
        <w:rFonts w:ascii="Times New Roman" w:hAnsi="Times New Roman"/>
        <w:sz w:val="18"/>
      </w:rPr>
      <w:fldChar w:fldCharType="begin"/>
    </w:r>
    <w:r w:rsidRPr="003A5709">
      <w:rPr>
        <w:rFonts w:ascii="Times New Roman" w:hAnsi="Times New Roman"/>
        <w:sz w:val="18"/>
      </w:rPr>
      <w:instrText xml:space="preserve"> DOCPROPERTY "SWDocID" </w:instrText>
    </w:r>
    <w:r w:rsidRPr="003A5709">
      <w:rPr>
        <w:rFonts w:ascii="Times New Roman" w:hAnsi="Times New Roman"/>
        <w:sz w:val="18"/>
      </w:rPr>
      <w:fldChar w:fldCharType="separate"/>
    </w:r>
    <w:r w:rsidR="00E76881">
      <w:rPr>
        <w:rFonts w:ascii="Times New Roman" w:hAnsi="Times New Roman"/>
        <w:sz w:val="18"/>
      </w:rPr>
      <w:instrText>WBD (US) 50488916v2</w:instrText>
    </w:r>
    <w:r w:rsidRPr="003A5709">
      <w:rPr>
        <w:rFonts w:ascii="Times New Roman" w:hAnsi="Times New Roman"/>
        <w:sz w:val="18"/>
      </w:rPr>
      <w:fldChar w:fldCharType="end"/>
    </w:r>
    <w:r w:rsidRPr="003A5709">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E76881">
      <w:rPr>
        <w:rFonts w:ascii="Times New Roman" w:hAnsi="Times New Roman"/>
        <w:noProof/>
        <w:sz w:val="18"/>
      </w:rPr>
      <w:t>WBD (US) 50488916v2</w:t>
    </w:r>
    <w:r>
      <w:rPr>
        <w:rFonts w:ascii="Times New Roman" w:hAnsi="Times New Roman"/>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B4E" w14:textId="1B121EFC"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190A3F9" w14:textId="77777777" w:rsidR="009F771E" w:rsidRDefault="009F771E">
    <w:pPr>
      <w:pStyle w:val="Footer"/>
    </w:pPr>
  </w:p>
  <w:p w14:paraId="54EF80D7" w14:textId="7E6843C9" w:rsidR="009F771E" w:rsidRDefault="009F771E" w:rsidP="003A57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FFC3"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9F771E" w:rsidRDefault="009F771E">
    <w:pPr>
      <w:pStyle w:val="Footer"/>
      <w:rPr>
        <w:sz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8380" w14:textId="01348301"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18</w:t>
    </w:r>
    <w:r>
      <w:rPr>
        <w:rStyle w:val="PageNumber"/>
        <w:sz w:val="19"/>
      </w:rPr>
      <w:fldChar w:fldCharType="end"/>
    </w:r>
  </w:p>
  <w:p w14:paraId="4D76E9DF" w14:textId="77777777" w:rsidR="009F771E" w:rsidRDefault="009F771E">
    <w:pPr>
      <w:pStyle w:val="Footer"/>
    </w:pPr>
  </w:p>
  <w:p w14:paraId="5509A841" w14:textId="00FD6A3D" w:rsidR="009F771E" w:rsidRDefault="009F771E" w:rsidP="003A57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2A3"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8DBB" w14:textId="77777777" w:rsidR="009F771E" w:rsidRDefault="009F771E">
      <w:r>
        <w:separator/>
      </w:r>
    </w:p>
  </w:footnote>
  <w:footnote w:type="continuationSeparator" w:id="0">
    <w:p w14:paraId="055C4732" w14:textId="77777777" w:rsidR="009F771E" w:rsidRDefault="009F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308" w14:textId="77777777" w:rsidR="009F771E" w:rsidRDefault="009F77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9073" w14:textId="77777777" w:rsidR="009F771E" w:rsidRDefault="009F7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9AD5" w14:textId="77777777" w:rsidR="009F771E" w:rsidRDefault="009F7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1C2D" w14:textId="77777777" w:rsidR="009F771E" w:rsidRDefault="009F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F292" w14:textId="77777777" w:rsidR="009F771E" w:rsidRDefault="009F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7CC3" w14:textId="77777777" w:rsidR="009F771E" w:rsidRDefault="009F7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8D29" w14:textId="77777777" w:rsidR="009F771E" w:rsidRDefault="009F7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5D70" w14:textId="77777777" w:rsidR="009F771E" w:rsidRDefault="009F7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797" w14:textId="77777777" w:rsidR="009F771E" w:rsidRDefault="009F771E">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B2FE" w14:textId="77777777" w:rsidR="009F771E" w:rsidRDefault="009F7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8AA9" w14:textId="77777777" w:rsidR="009F771E" w:rsidRDefault="009F77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3184" w14:textId="77777777" w:rsidR="009F771E" w:rsidRDefault="009F771E">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1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7"/>
  </w:num>
  <w:num w:numId="12">
    <w:abstractNumId w:val="10"/>
  </w:num>
  <w:num w:numId="13">
    <w:abstractNumId w:val="1"/>
  </w:num>
  <w:num w:numId="14">
    <w:abstractNumId w:val="9"/>
  </w:num>
  <w:num w:numId="15">
    <w:abstractNumId w:val="8"/>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1"/>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983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1067F"/>
    <w:rsid w:val="00110E4D"/>
    <w:rsid w:val="00110F05"/>
    <w:rsid w:val="001113CE"/>
    <w:rsid w:val="0011159C"/>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CEB"/>
    <w:rsid w:val="002A4B7D"/>
    <w:rsid w:val="002A5063"/>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98"/>
    <w:rsid w:val="00457C00"/>
    <w:rsid w:val="00460775"/>
    <w:rsid w:val="004612F7"/>
    <w:rsid w:val="0046257C"/>
    <w:rsid w:val="0046273F"/>
    <w:rsid w:val="0046286C"/>
    <w:rsid w:val="00463064"/>
    <w:rsid w:val="00463FB7"/>
    <w:rsid w:val="004640D8"/>
    <w:rsid w:val="00464893"/>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4F5"/>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1257"/>
    <w:rsid w:val="00BC1D08"/>
    <w:rsid w:val="00BC1F3E"/>
    <w:rsid w:val="00BC418A"/>
    <w:rsid w:val="00BC442B"/>
    <w:rsid w:val="00BC44C4"/>
    <w:rsid w:val="00BC4ACE"/>
    <w:rsid w:val="00BC4FC4"/>
    <w:rsid w:val="00BC5080"/>
    <w:rsid w:val="00BC59D3"/>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35AD"/>
    <w:rsid w:val="00D442CA"/>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96"/>
    <w:rsid w:val="00D94D1C"/>
    <w:rsid w:val="00D94E2D"/>
    <w:rsid w:val="00D9526A"/>
    <w:rsid w:val="00D95286"/>
    <w:rsid w:val="00D9591B"/>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sec.gov/Archives/edgar/data/832489/000143774920000912/ex_169968.htm" TargetMode="External"/><Relationship Id="rId39" Type="http://schemas.openxmlformats.org/officeDocument/2006/relationships/hyperlink" Target="https://www.sec.gov/Archives/edgar/data/832489/000143774920008037/ex_181862.htm" TargetMode="External"/><Relationship Id="rId21" Type="http://schemas.openxmlformats.org/officeDocument/2006/relationships/footer" Target="footer6.xml"/><Relationship Id="rId34" Type="http://schemas.openxmlformats.org/officeDocument/2006/relationships/hyperlink" Target="https://www.sec.gov/Archives/edgar/data/832489/000143774920019373/ex_203037.htm" TargetMode="External"/><Relationship Id="rId42" Type="http://schemas.openxmlformats.org/officeDocument/2006/relationships/hyperlink" Target="https://www.sec.gov/Archives/edgar/data/832489/000143774920014012/ex_191613.htm" TargetMode="External"/><Relationship Id="rId47" Type="http://schemas.openxmlformats.org/officeDocument/2006/relationships/hyperlink" Target="https://www.sec.gov/Archives/edgar/data/832489/000143774920021652/ex_208661.htm"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sec.gov/Archives/edgar/data/832489/000143774920020061/ex_204703.htm" TargetMode="External"/><Relationship Id="rId11" Type="http://schemas.openxmlformats.org/officeDocument/2006/relationships/header" Target="header1.xml"/><Relationship Id="rId24" Type="http://schemas.openxmlformats.org/officeDocument/2006/relationships/hyperlink" Target="https://www.sec.gov/Archives/edgar/data/832489/000143774920000912/ex_169967.htm" TargetMode="External"/><Relationship Id="rId32" Type="http://schemas.openxmlformats.org/officeDocument/2006/relationships/hyperlink" Target="https://www.sec.gov/Archives/edgar/data/832489/000143774920020446/ex_205381.htm" TargetMode="External"/><Relationship Id="rId37" Type="http://schemas.openxmlformats.org/officeDocument/2006/relationships/hyperlink" Target="https://www.sec.gov/Archives/edgar/data/832489/000143774920006029/ex_178175.htm" TargetMode="External"/><Relationship Id="rId40" Type="http://schemas.openxmlformats.org/officeDocument/2006/relationships/hyperlink" Target="https://www.sec.gov/Archives/edgar/data/832489/000143774920013883/ex_191698.htm" TargetMode="External"/><Relationship Id="rId45" Type="http://schemas.openxmlformats.org/officeDocument/2006/relationships/hyperlink" Target="https://www.sec.gov/Archives/edgar/data/832489/000143774920014012/ex_191616.htm" TargetMode="Externa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hyperlink" Target="https://www.sec.gov/Archives/edgar/data/832489/000143774920020446/ex_205507.htm" TargetMode="External"/><Relationship Id="rId44" Type="http://schemas.openxmlformats.org/officeDocument/2006/relationships/hyperlink" Target="https://www.sec.gov/Archives/edgar/data/832489/000143774920014012/ex_191615.htm"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yperlink" Target="https://www.sec.gov/Archives/edgar/data/832489/000143774920018705/ex_201544.htm" TargetMode="External"/><Relationship Id="rId30" Type="http://schemas.openxmlformats.org/officeDocument/2006/relationships/hyperlink" Target="https://www.sec.gov/Archives/edgar/data/832489/000143774920020279/ex_205105.htm" TargetMode="External"/><Relationship Id="rId35" Type="http://schemas.openxmlformats.org/officeDocument/2006/relationships/hyperlink" Target="https://www.sec.gov/Archives/edgar/data/832489/000143774920020446/ex_205380.htm" TargetMode="External"/><Relationship Id="rId43" Type="http://schemas.openxmlformats.org/officeDocument/2006/relationships/hyperlink" Target="https://www.sec.gov/Archives/edgar/data/832489/000143774920014012/ex_191614.htm" TargetMode="External"/><Relationship Id="rId48" Type="http://schemas.openxmlformats.org/officeDocument/2006/relationships/header" Target="header10.xml"/><Relationship Id="rId8" Type="http://schemas.openxmlformats.org/officeDocument/2006/relationships/footer" Target="foot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www.sec.gov/Archives/edgar/data/832489/000143774920020279/ex_205103.htm" TargetMode="External"/><Relationship Id="rId33" Type="http://schemas.openxmlformats.org/officeDocument/2006/relationships/hyperlink" Target="https://www.sec.gov/Archives/edgar/data/832489/000143774920019373/ex_203004.htm" TargetMode="External"/><Relationship Id="rId38" Type="http://schemas.openxmlformats.org/officeDocument/2006/relationships/hyperlink" Target="https://www.sec.gov/Archives/edgar/data/832489/000143774920001117/ex_170314.htm" TargetMode="External"/><Relationship Id="rId46" Type="http://schemas.openxmlformats.org/officeDocument/2006/relationships/hyperlink" Target="https://www.sec.gov/Archives/edgar/data/832489/000143774920014012/ex_191617.htm" TargetMode="External"/><Relationship Id="rId20" Type="http://schemas.openxmlformats.org/officeDocument/2006/relationships/header" Target="header8.xml"/><Relationship Id="rId41" Type="http://schemas.openxmlformats.org/officeDocument/2006/relationships/hyperlink" Target="https://www.sec.gov/Archives/edgar/data/832489/000143774920014012/ex_191612.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sec.gov/Archives/edgar/data/832489/000143774920020279/ex_205102.htm" TargetMode="External"/><Relationship Id="rId28" Type="http://schemas.openxmlformats.org/officeDocument/2006/relationships/hyperlink" Target="https://www.sec.gov/Archives/edgar/data/832489/000143774920001117/ex_170313.htm" TargetMode="External"/><Relationship Id="rId36" Type="http://schemas.openxmlformats.org/officeDocument/2006/relationships/hyperlink" Target="https://www.sec.gov/Archives/edgar/data/832489/000143774920019373/ex_203005.htm" TargetMode="External"/><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BA7E-4D9A-4761-B8F7-67F5C83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18375</Words>
  <Characters>104739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122869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2</cp:revision>
  <cp:lastPrinted>2020-11-04T12:44:00Z</cp:lastPrinted>
  <dcterms:created xsi:type="dcterms:W3CDTF">2020-11-05T21:25:00Z</dcterms:created>
  <dcterms:modified xsi:type="dcterms:W3CDTF">2020-11-05T21:25:00Z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50488916v2</vt:lpwstr>
  </property>
</Properties>
</file>