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D27C90">
        <w:rPr>
          <w:b/>
          <w:sz w:val="24"/>
        </w:rPr>
      </w:r>
      <w:r w:rsidR="00D27C90">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5BFB6627" w:rsidR="00BD6BBE" w:rsidRPr="00F87A5B" w:rsidRDefault="00BD6BBE">
      <w:pPr>
        <w:tabs>
          <w:tab w:val="decimal" w:pos="9180"/>
        </w:tabs>
        <w:ind w:left="720" w:hanging="720"/>
        <w:rPr>
          <w:b/>
        </w:rPr>
      </w:pPr>
      <w:r w:rsidRPr="00F87A5B">
        <w:tab/>
        <w:t xml:space="preserve">For the quarterly period ended </w:t>
      </w:r>
      <w:r w:rsidR="00034E07">
        <w:t>June</w:t>
      </w:r>
      <w:r w:rsidR="00460775">
        <w:t xml:space="preserve"> 3</w:t>
      </w:r>
      <w:r w:rsidR="00034E07">
        <w:t>0</w:t>
      </w:r>
      <w:r w:rsidR="00482106">
        <w:t>,</w:t>
      </w:r>
      <w:r w:rsidR="00460775">
        <w:t xml:space="preserve"> 20</w:t>
      </w:r>
      <w:r w:rsidR="001F62EC">
        <w:t>2</w:t>
      </w:r>
      <w:r w:rsidR="00136153">
        <w:t>3</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D27C90">
        <w:rPr>
          <w:b/>
          <w:sz w:val="24"/>
        </w:rPr>
      </w:r>
      <w:r w:rsidR="00D27C90">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D27C90">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D27C90">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D27C90">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D27C90">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D27C90">
        <w:rPr>
          <w:rFonts w:ascii="Wingdings" w:hAnsi="Wingdings" w:cs="Wingdings"/>
          <w:color w:val="000000"/>
          <w:sz w:val="18"/>
          <w:szCs w:val="18"/>
        </w:rPr>
      </w:r>
      <w:r w:rsidR="00D27C90">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39C2D11B" w:rsidR="0094630A" w:rsidRDefault="0094630A">
      <w:pPr>
        <w:tabs>
          <w:tab w:val="decimal" w:pos="9180"/>
        </w:tabs>
        <w:jc w:val="both"/>
      </w:pPr>
      <w:r w:rsidRPr="003D6A75">
        <w:t>As o</w:t>
      </w:r>
      <w:r w:rsidR="009B114A" w:rsidRPr="003D6A75">
        <w:t xml:space="preserve">f </w:t>
      </w:r>
      <w:r w:rsidR="00034E07">
        <w:t>August</w:t>
      </w:r>
      <w:r w:rsidR="001F0568" w:rsidRPr="004A5874">
        <w:t xml:space="preserve"> </w:t>
      </w:r>
      <w:r w:rsidR="00034E07">
        <w:t>9</w:t>
      </w:r>
      <w:r w:rsidR="009B20E1" w:rsidRPr="004A5874">
        <w:t>,</w:t>
      </w:r>
      <w:r w:rsidR="00460775" w:rsidRPr="004A5874">
        <w:t xml:space="preserve"> 20</w:t>
      </w:r>
      <w:r w:rsidR="001F62EC" w:rsidRPr="004A5874">
        <w:t>2</w:t>
      </w:r>
      <w:r w:rsidR="003963E0">
        <w:t>3</w:t>
      </w:r>
      <w:r w:rsidR="00F75588" w:rsidRPr="006F2532">
        <w:t>,</w:t>
      </w:r>
      <w:r w:rsidR="00B9332C" w:rsidRPr="003D6A75">
        <w:t xml:space="preserve"> </w:t>
      </w:r>
      <w:r w:rsidR="005213AC">
        <w:t>26,443,6</w:t>
      </w:r>
      <w:r w:rsidR="005D52D0">
        <w:t>4</w:t>
      </w:r>
      <w:r w:rsidR="005213AC">
        <w:t>9</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48268EC7" w:rsidR="00482106" w:rsidRPr="000371CC" w:rsidRDefault="00482106" w:rsidP="004E3374">
      <w:pPr>
        <w:tabs>
          <w:tab w:val="right" w:pos="10080"/>
        </w:tabs>
        <w:ind w:left="900"/>
      </w:pPr>
      <w:r>
        <w:t xml:space="preserve">Condensed </w:t>
      </w:r>
      <w:r w:rsidRPr="000371CC">
        <w:t xml:space="preserve">Consolidated Balance Sheets as of </w:t>
      </w:r>
      <w:r w:rsidR="00034E07">
        <w:t>June</w:t>
      </w:r>
      <w:r w:rsidR="00460775">
        <w:t xml:space="preserve"> 3</w:t>
      </w:r>
      <w:r w:rsidR="00034E07">
        <w:t>0</w:t>
      </w:r>
      <w:r w:rsidR="00B35C97">
        <w:t xml:space="preserve">, </w:t>
      </w:r>
      <w:r w:rsidR="00460775">
        <w:t>20</w:t>
      </w:r>
      <w:r w:rsidR="001F62EC">
        <w:t>2</w:t>
      </w:r>
      <w:r w:rsidR="00636763">
        <w:t>3</w:t>
      </w:r>
      <w:r w:rsidR="00ED6B2C">
        <w:t xml:space="preserve"> (unaudited)</w:t>
      </w:r>
      <w:r w:rsidR="00D74F1F">
        <w:t xml:space="preserve"> </w:t>
      </w:r>
      <w:r w:rsidR="00460775">
        <w:t xml:space="preserve">and December 31, </w:t>
      </w:r>
      <w:proofErr w:type="gramStart"/>
      <w:r w:rsidR="00460775">
        <w:t>20</w:t>
      </w:r>
      <w:r w:rsidR="00E63149">
        <w:t>2</w:t>
      </w:r>
      <w:r w:rsidR="00636763">
        <w:t>2</w:t>
      </w:r>
      <w:proofErr w:type="gramEnd"/>
      <w:r w:rsidRPr="000371CC">
        <w:tab/>
        <w:t>1</w:t>
      </w:r>
    </w:p>
    <w:p w14:paraId="323AB257" w14:textId="2706AD26"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034E07">
        <w:t xml:space="preserve">and six-month </w:t>
      </w:r>
      <w:r w:rsidR="00483E00">
        <w:t xml:space="preserve">periods </w:t>
      </w:r>
      <w:proofErr w:type="gramStart"/>
      <w:r w:rsidR="001F0568">
        <w:t>e</w:t>
      </w:r>
      <w:r w:rsidR="00A12E9E">
        <w:t>nded</w:t>
      </w:r>
      <w:proofErr w:type="gramEnd"/>
    </w:p>
    <w:p w14:paraId="10D88DBF" w14:textId="0B57ED2F" w:rsidR="00482106" w:rsidRDefault="004E3374" w:rsidP="004E3374">
      <w:pPr>
        <w:tabs>
          <w:tab w:val="right" w:pos="10080"/>
        </w:tabs>
        <w:ind w:left="900"/>
      </w:pPr>
      <w:r>
        <w:t xml:space="preserve">   </w:t>
      </w:r>
      <w:r w:rsidR="00034E07">
        <w:t>June</w:t>
      </w:r>
      <w:r w:rsidR="0063349C">
        <w:t xml:space="preserve"> </w:t>
      </w:r>
      <w:r w:rsidR="00460775">
        <w:t>3</w:t>
      </w:r>
      <w:r w:rsidR="00034E07">
        <w:t>0</w:t>
      </w:r>
      <w:r w:rsidR="00460775">
        <w:t xml:space="preserve">, </w:t>
      </w:r>
      <w:proofErr w:type="gramStart"/>
      <w:r w:rsidR="00460775">
        <w:t>20</w:t>
      </w:r>
      <w:r w:rsidR="001F62EC">
        <w:t>2</w:t>
      </w:r>
      <w:r w:rsidR="00636763">
        <w:t>3</w:t>
      </w:r>
      <w:proofErr w:type="gramEnd"/>
      <w:r w:rsidR="00731C61">
        <w:t xml:space="preserve"> </w:t>
      </w:r>
      <w:r w:rsidR="00460775">
        <w:t>and 20</w:t>
      </w:r>
      <w:r w:rsidR="00E63149">
        <w:t>2</w:t>
      </w:r>
      <w:r w:rsidR="00636763">
        <w:t>2</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2E6B0620" w:rsidR="00487CAB" w:rsidRPr="000371CC" w:rsidRDefault="00487CAB" w:rsidP="004E3374">
      <w:pPr>
        <w:tabs>
          <w:tab w:val="right" w:pos="10080"/>
        </w:tabs>
        <w:ind w:left="900"/>
      </w:pPr>
      <w:r>
        <w:t xml:space="preserve">   for the three-month </w:t>
      </w:r>
      <w:r w:rsidR="00034E07">
        <w:t xml:space="preserve">and six-month </w:t>
      </w:r>
      <w:r>
        <w:t xml:space="preserve">periods ended </w:t>
      </w:r>
      <w:r w:rsidR="00034E07">
        <w:t>June</w:t>
      </w:r>
      <w:r>
        <w:t xml:space="preserve"> 3</w:t>
      </w:r>
      <w:r w:rsidR="00034E07">
        <w:t>0</w:t>
      </w:r>
      <w:r>
        <w:t xml:space="preserve">, </w:t>
      </w:r>
      <w:proofErr w:type="gramStart"/>
      <w:r>
        <w:t>20</w:t>
      </w:r>
      <w:r w:rsidR="001F62EC">
        <w:t>2</w:t>
      </w:r>
      <w:r w:rsidR="00636763">
        <w:t>3</w:t>
      </w:r>
      <w:proofErr w:type="gramEnd"/>
      <w:r>
        <w:t xml:space="preserve"> and 20</w:t>
      </w:r>
      <w:r w:rsidR="00E63149">
        <w:t>2</w:t>
      </w:r>
      <w:r w:rsidR="00636763">
        <w:t>2</w:t>
      </w:r>
      <w:r>
        <w:t xml:space="preserve"> (unaudited)</w:t>
      </w:r>
      <w:r>
        <w:tab/>
        <w:t>3</w:t>
      </w:r>
    </w:p>
    <w:p w14:paraId="5EC29F91" w14:textId="53F5A547" w:rsidR="004E3374" w:rsidRDefault="00482106" w:rsidP="004E3374">
      <w:pPr>
        <w:tabs>
          <w:tab w:val="right" w:pos="10080"/>
        </w:tabs>
        <w:ind w:left="900"/>
      </w:pPr>
      <w:r>
        <w:t xml:space="preserve">Condensed </w:t>
      </w:r>
      <w:r w:rsidRPr="000371CC">
        <w:t xml:space="preserve">Consolidated Statements of Cash Flows for the </w:t>
      </w:r>
      <w:r w:rsidR="00034E07">
        <w:t>six</w:t>
      </w:r>
      <w:r w:rsidR="00CC2136">
        <w:t>-</w:t>
      </w:r>
      <w:r w:rsidR="00F758D1">
        <w:t xml:space="preserve">month </w:t>
      </w:r>
      <w:r w:rsidR="00483E00">
        <w:t xml:space="preserve">periods </w:t>
      </w:r>
      <w:proofErr w:type="gramStart"/>
      <w:r w:rsidR="00731D11">
        <w:t>ended</w:t>
      </w:r>
      <w:proofErr w:type="gramEnd"/>
    </w:p>
    <w:p w14:paraId="6B706CF1" w14:textId="6674AE7F" w:rsidR="00482106" w:rsidRPr="000371CC" w:rsidRDefault="004E3374" w:rsidP="004E3374">
      <w:pPr>
        <w:tabs>
          <w:tab w:val="right" w:pos="10080"/>
        </w:tabs>
        <w:ind w:left="900"/>
      </w:pPr>
      <w:r>
        <w:t xml:space="preserve">   </w:t>
      </w:r>
      <w:r w:rsidR="00034E07">
        <w:t>June</w:t>
      </w:r>
      <w:r w:rsidR="0063349C">
        <w:t xml:space="preserve"> </w:t>
      </w:r>
      <w:r w:rsidR="00460775">
        <w:t>3</w:t>
      </w:r>
      <w:r w:rsidR="00034E07">
        <w:t>0</w:t>
      </w:r>
      <w:r w:rsidR="00823D2D">
        <w:t xml:space="preserve">, </w:t>
      </w:r>
      <w:proofErr w:type="gramStart"/>
      <w:r w:rsidR="00460775">
        <w:t>20</w:t>
      </w:r>
      <w:r w:rsidR="001F62EC">
        <w:t>2</w:t>
      </w:r>
      <w:r w:rsidR="00636763">
        <w:t>3</w:t>
      </w:r>
      <w:proofErr w:type="gramEnd"/>
      <w:r>
        <w:t xml:space="preserve"> </w:t>
      </w:r>
      <w:r w:rsidR="00460775">
        <w:t>and 20</w:t>
      </w:r>
      <w:r w:rsidR="00E63149">
        <w:t>2</w:t>
      </w:r>
      <w:r w:rsidR="00636763">
        <w:t>2</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05F2DDD"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84BA5">
        <w:t>8</w:t>
      </w:r>
    </w:p>
    <w:p w14:paraId="04727900" w14:textId="77777777" w:rsidR="00482106" w:rsidRDefault="00482106" w:rsidP="004E3374">
      <w:pPr>
        <w:tabs>
          <w:tab w:val="left" w:pos="900"/>
          <w:tab w:val="right" w:pos="10080"/>
        </w:tabs>
      </w:pPr>
    </w:p>
    <w:p w14:paraId="19A98050" w14:textId="27E8CD9F" w:rsidR="00482106" w:rsidRDefault="00482106" w:rsidP="002D1A5A">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793CD5">
        <w:t>3</w:t>
      </w:r>
    </w:p>
    <w:p w14:paraId="0E38D6CC" w14:textId="77777777" w:rsidR="00793CD5" w:rsidRPr="000371CC" w:rsidRDefault="00793CD5" w:rsidP="002D1A5A">
      <w:pPr>
        <w:tabs>
          <w:tab w:val="left" w:pos="900"/>
          <w:tab w:val="right" w:pos="10080"/>
        </w:tabs>
      </w:pPr>
    </w:p>
    <w:p w14:paraId="16AC473F" w14:textId="31E81575"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793CD5">
        <w:t>3</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271EB306"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793CD5">
        <w:t>4</w:t>
      </w:r>
    </w:p>
    <w:p w14:paraId="073F6D6B" w14:textId="77777777" w:rsidR="00482106" w:rsidRPr="000371CC" w:rsidRDefault="00482106" w:rsidP="004E3374">
      <w:pPr>
        <w:tabs>
          <w:tab w:val="left" w:pos="900"/>
          <w:tab w:val="right" w:pos="10200"/>
        </w:tabs>
      </w:pPr>
    </w:p>
    <w:p w14:paraId="27555486" w14:textId="673E22F4"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793CD5">
        <w:t>4</w:t>
      </w:r>
    </w:p>
    <w:p w14:paraId="0F986A6E" w14:textId="77777777" w:rsidR="00482106" w:rsidRPr="000371CC" w:rsidRDefault="00482106" w:rsidP="004E3374">
      <w:pPr>
        <w:tabs>
          <w:tab w:val="left" w:pos="900"/>
          <w:tab w:val="right" w:pos="10080"/>
          <w:tab w:val="right" w:pos="10200"/>
        </w:tabs>
      </w:pPr>
    </w:p>
    <w:p w14:paraId="6537B7F4" w14:textId="20C25C90"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793CD5">
        <w:t>4</w:t>
      </w:r>
    </w:p>
    <w:p w14:paraId="2598FC1C" w14:textId="77777777" w:rsidR="00482106" w:rsidRPr="000371CC" w:rsidRDefault="00482106" w:rsidP="004E3374">
      <w:pPr>
        <w:tabs>
          <w:tab w:val="left" w:pos="900"/>
          <w:tab w:val="right" w:pos="10080"/>
          <w:tab w:val="right" w:pos="10200"/>
        </w:tabs>
      </w:pPr>
    </w:p>
    <w:p w14:paraId="790C8A4C" w14:textId="68F6CF4F"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793CD5">
        <w:t>4</w:t>
      </w:r>
    </w:p>
    <w:p w14:paraId="7122746D" w14:textId="77777777" w:rsidR="00BF7DB7" w:rsidRDefault="00BF7DB7" w:rsidP="004E3374">
      <w:pPr>
        <w:tabs>
          <w:tab w:val="left" w:pos="900"/>
          <w:tab w:val="right" w:pos="10080"/>
          <w:tab w:val="right" w:pos="10200"/>
        </w:tabs>
      </w:pPr>
    </w:p>
    <w:p w14:paraId="51D96C50" w14:textId="331945A9"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793CD5">
        <w:t>4</w:t>
      </w:r>
    </w:p>
    <w:p w14:paraId="1D1D1680" w14:textId="77777777" w:rsidR="00482106" w:rsidRPr="000371CC" w:rsidRDefault="00482106" w:rsidP="004E3374">
      <w:pPr>
        <w:tabs>
          <w:tab w:val="left" w:pos="900"/>
          <w:tab w:val="right" w:pos="10080"/>
          <w:tab w:val="right" w:pos="10200"/>
        </w:tabs>
      </w:pPr>
    </w:p>
    <w:p w14:paraId="7FF4F361" w14:textId="65618A58"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793CD5">
        <w:t>4</w:t>
      </w:r>
    </w:p>
    <w:p w14:paraId="7329C9FE" w14:textId="77777777" w:rsidR="00482106" w:rsidRPr="000371CC" w:rsidRDefault="00482106" w:rsidP="004E3374">
      <w:pPr>
        <w:tabs>
          <w:tab w:val="left" w:pos="900"/>
          <w:tab w:val="right" w:pos="10080"/>
          <w:tab w:val="right" w:pos="10200"/>
        </w:tabs>
      </w:pPr>
    </w:p>
    <w:p w14:paraId="25371BEC" w14:textId="67BE4435"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793CD5">
        <w:t>5</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34961C82"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793CD5">
        <w:t>6</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03AB3F53" w:rsidR="001F62EC" w:rsidRPr="00356734" w:rsidRDefault="00034E07" w:rsidP="001F62EC">
            <w:pPr>
              <w:jc w:val="center"/>
              <w:rPr>
                <w:snapToGrid w:val="0"/>
                <w:color w:val="000000"/>
              </w:rPr>
            </w:pPr>
            <w:r>
              <w:rPr>
                <w:snapToGrid w:val="0"/>
                <w:color w:val="000000"/>
              </w:rPr>
              <w:t>June</w:t>
            </w:r>
            <w:r w:rsidR="001F62EC">
              <w:rPr>
                <w:snapToGrid w:val="0"/>
                <w:color w:val="000000"/>
              </w:rPr>
              <w:t xml:space="preserve"> 3</w:t>
            </w:r>
            <w:r>
              <w:rPr>
                <w:snapToGrid w:val="0"/>
                <w:color w:val="000000"/>
              </w:rPr>
              <w:t>0</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3397DE9B" w:rsidR="001F62EC" w:rsidRPr="00356734" w:rsidRDefault="001F62EC" w:rsidP="001F62EC">
            <w:pPr>
              <w:jc w:val="center"/>
              <w:rPr>
                <w:snapToGrid w:val="0"/>
                <w:color w:val="000000"/>
              </w:rPr>
            </w:pPr>
            <w:r>
              <w:rPr>
                <w:snapToGrid w:val="0"/>
                <w:color w:val="000000"/>
              </w:rPr>
              <w:t>202</w:t>
            </w:r>
            <w:r w:rsidR="00636763">
              <w:rPr>
                <w:snapToGrid w:val="0"/>
                <w:color w:val="000000"/>
              </w:rPr>
              <w:t>3</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8F192AA"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36763">
              <w:rPr>
                <w:snapToGrid w:val="0"/>
                <w:color w:val="000000"/>
              </w:rPr>
              <w:t>2</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4075D243"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C0F29">
              <w:rPr>
                <w:snapToGrid w:val="0"/>
                <w:color w:val="000000"/>
              </w:rPr>
              <w:t>17,788,911</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04CA70A9"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36763">
              <w:rPr>
                <w:snapToGrid w:val="0"/>
                <w:color w:val="000000"/>
              </w:rPr>
              <w:t>27,612,732</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4D6CF031" w:rsidR="001F62EC" w:rsidRPr="00EB7BF0" w:rsidRDefault="001F62EC" w:rsidP="001F62EC">
            <w:pPr>
              <w:rPr>
                <w:b/>
                <w:snapToGrid w:val="0"/>
                <w:color w:val="000000"/>
              </w:rPr>
            </w:pPr>
            <w:r w:rsidRPr="00374FE3">
              <w:rPr>
                <w:snapToGrid w:val="0"/>
                <w:color w:val="000000"/>
              </w:rPr>
              <w:t>Prepaid expenses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5AB235C3" w:rsidR="001F62EC" w:rsidRPr="00EB7BF0" w:rsidRDefault="002C0F29" w:rsidP="001F62EC">
            <w:pPr>
              <w:tabs>
                <w:tab w:val="decimal" w:pos="1320"/>
              </w:tabs>
              <w:rPr>
                <w:snapToGrid w:val="0"/>
                <w:color w:val="000000"/>
              </w:rPr>
            </w:pPr>
            <w:r>
              <w:rPr>
                <w:snapToGrid w:val="0"/>
                <w:color w:val="000000"/>
              </w:rPr>
              <w:t>2,038,283</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0B960649" w:rsidR="001F62EC" w:rsidRPr="00EB7BF0" w:rsidRDefault="00636763" w:rsidP="001F62EC">
            <w:pPr>
              <w:tabs>
                <w:tab w:val="decimal" w:pos="1500"/>
              </w:tabs>
              <w:rPr>
                <w:snapToGrid w:val="0"/>
                <w:color w:val="000000"/>
              </w:rPr>
            </w:pPr>
            <w:r>
              <w:rPr>
                <w:snapToGrid w:val="0"/>
                <w:color w:val="000000"/>
              </w:rPr>
              <w:t>1,325,998</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758FB991" w:rsidR="001F62EC" w:rsidRPr="00E74795" w:rsidRDefault="002C0F29" w:rsidP="001F62EC">
            <w:pPr>
              <w:tabs>
                <w:tab w:val="decimal" w:pos="1320"/>
              </w:tabs>
              <w:rPr>
                <w:snapToGrid w:val="0"/>
                <w:color w:val="000000"/>
              </w:rPr>
            </w:pPr>
            <w:r>
              <w:rPr>
                <w:snapToGrid w:val="0"/>
                <w:color w:val="000000"/>
              </w:rPr>
              <w:t>19,827,194</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3A8A430F" w:rsidR="001F62EC" w:rsidRPr="00E74795" w:rsidRDefault="00636763" w:rsidP="001F62EC">
            <w:pPr>
              <w:tabs>
                <w:tab w:val="decimal" w:pos="1500"/>
              </w:tabs>
              <w:rPr>
                <w:snapToGrid w:val="0"/>
                <w:color w:val="000000"/>
              </w:rPr>
            </w:pPr>
            <w:r>
              <w:rPr>
                <w:snapToGrid w:val="0"/>
                <w:color w:val="000000"/>
              </w:rPr>
              <w:t>28,938,730</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2B05E71A" w:rsidR="001F62EC" w:rsidRPr="00E74795" w:rsidRDefault="002C0F29" w:rsidP="001F62EC">
            <w:pPr>
              <w:tabs>
                <w:tab w:val="decimal" w:pos="1320"/>
              </w:tabs>
              <w:rPr>
                <w:snapToGrid w:val="0"/>
                <w:color w:val="000000"/>
              </w:rPr>
            </w:pPr>
            <w:r>
              <w:rPr>
                <w:snapToGrid w:val="0"/>
                <w:color w:val="000000"/>
              </w:rPr>
              <w:t>224,080</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1A771B2C" w:rsidR="001F62EC" w:rsidRPr="00E74795" w:rsidRDefault="00636763" w:rsidP="001F62EC">
            <w:pPr>
              <w:tabs>
                <w:tab w:val="decimal" w:pos="1500"/>
              </w:tabs>
              <w:rPr>
                <w:snapToGrid w:val="0"/>
                <w:color w:val="000000"/>
              </w:rPr>
            </w:pPr>
            <w:r>
              <w:rPr>
                <w:snapToGrid w:val="0"/>
                <w:color w:val="000000"/>
              </w:rPr>
              <w:t>234,912</w:t>
            </w:r>
          </w:p>
        </w:tc>
      </w:tr>
      <w:tr w:rsidR="001F62EC" w:rsidRPr="00EB7BF0" w14:paraId="53468FCE" w14:textId="77777777" w:rsidTr="001F62EC">
        <w:trPr>
          <w:trHeight w:hRule="exact" w:val="230"/>
        </w:trPr>
        <w:tc>
          <w:tcPr>
            <w:tcW w:w="6120" w:type="dxa"/>
            <w:gridSpan w:val="3"/>
          </w:tcPr>
          <w:p w14:paraId="232DB5B1" w14:textId="290FC462" w:rsidR="001F62EC" w:rsidRPr="00E74795" w:rsidRDefault="00636763" w:rsidP="001F62EC">
            <w:pPr>
              <w:rPr>
                <w:snapToGrid w:val="0"/>
                <w:color w:val="000000"/>
              </w:rPr>
            </w:pPr>
            <w:r>
              <w:rPr>
                <w:snapToGrid w:val="0"/>
                <w:color w:val="000000"/>
              </w:rPr>
              <w:t>Other assets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0A9B007F" w:rsidR="001F62EC" w:rsidRPr="00E74795" w:rsidRDefault="002C0F29" w:rsidP="001F62EC">
            <w:pPr>
              <w:tabs>
                <w:tab w:val="decimal" w:pos="1320"/>
              </w:tabs>
              <w:rPr>
                <w:snapToGrid w:val="0"/>
                <w:color w:val="000000"/>
              </w:rPr>
            </w:pPr>
            <w:r>
              <w:rPr>
                <w:snapToGrid w:val="0"/>
                <w:color w:val="000000"/>
              </w:rPr>
              <w:t>1,197,788</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25371319" w:rsidR="001F62EC" w:rsidRPr="00E74795" w:rsidRDefault="00636763" w:rsidP="001F62EC">
            <w:pPr>
              <w:tabs>
                <w:tab w:val="decimal" w:pos="1500"/>
              </w:tabs>
              <w:rPr>
                <w:snapToGrid w:val="0"/>
                <w:color w:val="000000"/>
              </w:rPr>
            </w:pPr>
            <w:r>
              <w:rPr>
                <w:snapToGrid w:val="0"/>
                <w:color w:val="000000"/>
              </w:rPr>
              <w:t>2,174,286</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12E08975"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C0F29">
              <w:rPr>
                <w:snapToGrid w:val="0"/>
                <w:color w:val="000000"/>
              </w:rPr>
              <w:t>21,249,062</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6043F2D7"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3AF8BBCB"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793CD5">
              <w:rPr>
                <w:snapToGrid w:val="0"/>
                <w:color w:val="000000"/>
              </w:rPr>
              <w:t>871,131</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7E8B70E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36763">
              <w:rPr>
                <w:snapToGrid w:val="0"/>
                <w:color w:val="000000"/>
              </w:rPr>
              <w:t>1,747,682</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5B07FE5D" w:rsidR="001F62EC" w:rsidRPr="00A967B3" w:rsidRDefault="002C0F29" w:rsidP="001F62EC">
            <w:pPr>
              <w:tabs>
                <w:tab w:val="decimal" w:pos="1320"/>
              </w:tabs>
              <w:rPr>
                <w:snapToGrid w:val="0"/>
                <w:color w:val="000000"/>
              </w:rPr>
            </w:pPr>
            <w:r>
              <w:rPr>
                <w:snapToGrid w:val="0"/>
                <w:color w:val="000000"/>
              </w:rPr>
              <w:t>3,214,3</w:t>
            </w:r>
            <w:r w:rsidR="00793CD5">
              <w:rPr>
                <w:snapToGrid w:val="0"/>
                <w:color w:val="000000"/>
              </w:rPr>
              <w:t>81</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0898D0A0" w:rsidR="001F62EC" w:rsidRPr="00E74795" w:rsidRDefault="00662C05" w:rsidP="001F62EC">
            <w:pPr>
              <w:tabs>
                <w:tab w:val="decimal" w:pos="1500"/>
              </w:tabs>
              <w:rPr>
                <w:snapToGrid w:val="0"/>
                <w:color w:val="000000"/>
              </w:rPr>
            </w:pPr>
            <w:r w:rsidRPr="00A967B3">
              <w:rPr>
                <w:snapToGrid w:val="0"/>
                <w:color w:val="000000"/>
              </w:rPr>
              <w:t>3,</w:t>
            </w:r>
            <w:r w:rsidR="00636763">
              <w:rPr>
                <w:snapToGrid w:val="0"/>
                <w:color w:val="000000"/>
              </w:rPr>
              <w:t>000,212</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648CF6FD" w:rsidR="001F62EC" w:rsidRPr="00E74795" w:rsidRDefault="002C0F29" w:rsidP="001F62EC">
            <w:pPr>
              <w:tabs>
                <w:tab w:val="decimal" w:pos="1320"/>
              </w:tabs>
              <w:rPr>
                <w:snapToGrid w:val="0"/>
                <w:color w:val="000000"/>
              </w:rPr>
            </w:pPr>
            <w:r>
              <w:rPr>
                <w:snapToGrid w:val="0"/>
                <w:color w:val="000000"/>
              </w:rPr>
              <w:t>4,</w:t>
            </w:r>
            <w:r w:rsidR="00793CD5">
              <w:rPr>
                <w:snapToGrid w:val="0"/>
                <w:color w:val="000000"/>
              </w:rPr>
              <w:t>085,512</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28EF34D7" w:rsidR="001F62EC" w:rsidRPr="00E74795" w:rsidRDefault="00636763" w:rsidP="001F62EC">
            <w:pPr>
              <w:tabs>
                <w:tab w:val="decimal" w:pos="1500"/>
              </w:tabs>
              <w:rPr>
                <w:snapToGrid w:val="0"/>
                <w:color w:val="000000"/>
              </w:rPr>
            </w:pPr>
            <w:r>
              <w:rPr>
                <w:snapToGrid w:val="0"/>
                <w:color w:val="000000"/>
              </w:rPr>
              <w:t>4,747,894</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48A72B7" w:rsidR="001F62EC" w:rsidRPr="00E74795" w:rsidRDefault="001F62EC" w:rsidP="001F62EC">
            <w:pPr>
              <w:rPr>
                <w:snapToGrid w:val="0"/>
                <w:color w:val="000000"/>
              </w:rPr>
            </w:pPr>
            <w:r w:rsidRPr="00DD73A5">
              <w:rPr>
                <w:snapToGrid w:val="0"/>
                <w:color w:val="000000"/>
              </w:rPr>
              <w:t xml:space="preserve">Commitments (Note </w:t>
            </w:r>
            <w:r w:rsidR="00DD73A5" w:rsidRPr="00DD73A5">
              <w:rPr>
                <w:snapToGrid w:val="0"/>
                <w:color w:val="000000"/>
              </w:rPr>
              <w:t>4</w:t>
            </w:r>
            <w:r w:rsidRPr="00DD73A5">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0777E1F7"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5213AC">
              <w:rPr>
                <w:snapToGrid w:val="0"/>
                <w:color w:val="000000"/>
              </w:rPr>
              <w:t>26,443,6</w:t>
            </w:r>
            <w:r w:rsidR="005D52D0">
              <w:rPr>
                <w:snapToGrid w:val="0"/>
                <w:color w:val="000000"/>
              </w:rPr>
              <w:t>4</w:t>
            </w:r>
            <w:r w:rsidR="005213AC">
              <w:rPr>
                <w:snapToGrid w:val="0"/>
                <w:color w:val="000000"/>
              </w:rPr>
              <w:t xml:space="preserve">9 </w:t>
            </w:r>
            <w:r w:rsidRPr="00374FE3">
              <w:rPr>
                <w:snapToGrid w:val="0"/>
                <w:color w:val="000000"/>
              </w:rPr>
              <w:t xml:space="preserve">and </w:t>
            </w:r>
            <w:r w:rsidR="00636763">
              <w:rPr>
                <w:snapToGrid w:val="0"/>
                <w:color w:val="000000"/>
              </w:rPr>
              <w:t>26,334,953</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1213A0B9" w:rsidR="001F62EC" w:rsidRPr="00E74795" w:rsidRDefault="001F62EC" w:rsidP="001F62EC">
            <w:pPr>
              <w:tabs>
                <w:tab w:val="left" w:pos="203"/>
              </w:tabs>
              <w:rPr>
                <w:snapToGrid w:val="0"/>
                <w:color w:val="000000"/>
              </w:rPr>
            </w:pPr>
            <w:r w:rsidRPr="00374FE3">
              <w:rPr>
                <w:snapToGrid w:val="0"/>
                <w:color w:val="000000"/>
              </w:rPr>
              <w:tab/>
            </w:r>
            <w:r w:rsidR="00034E07">
              <w:rPr>
                <w:snapToGrid w:val="0"/>
                <w:color w:val="000000"/>
              </w:rPr>
              <w:t>June</w:t>
            </w:r>
            <w:r w:rsidRPr="00374FE3">
              <w:rPr>
                <w:snapToGrid w:val="0"/>
                <w:color w:val="000000"/>
              </w:rPr>
              <w:t xml:space="preserve"> 3</w:t>
            </w:r>
            <w:r w:rsidR="00034E07">
              <w:rPr>
                <w:snapToGrid w:val="0"/>
                <w:color w:val="000000"/>
              </w:rPr>
              <w:t>0</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636763">
              <w:rPr>
                <w:snapToGrid w:val="0"/>
                <w:color w:val="000000"/>
              </w:rPr>
              <w:t>3</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36763">
              <w:rPr>
                <w:snapToGrid w:val="0"/>
                <w:color w:val="000000"/>
              </w:rPr>
              <w:t>2</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74206D6F" w:rsidR="001F62EC" w:rsidRPr="00E74795" w:rsidRDefault="002C0F29" w:rsidP="001F62EC">
            <w:pPr>
              <w:tabs>
                <w:tab w:val="decimal" w:pos="1320"/>
              </w:tabs>
              <w:rPr>
                <w:snapToGrid w:val="0"/>
                <w:color w:val="000000"/>
              </w:rPr>
            </w:pPr>
            <w:r>
              <w:rPr>
                <w:snapToGrid w:val="0"/>
                <w:color w:val="000000"/>
              </w:rPr>
              <w:t>26,444</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24659B98" w:rsidR="001F62EC" w:rsidRPr="00E74795" w:rsidRDefault="00636763" w:rsidP="001F62EC">
            <w:pPr>
              <w:tabs>
                <w:tab w:val="decimal" w:pos="1500"/>
              </w:tabs>
              <w:rPr>
                <w:snapToGrid w:val="0"/>
                <w:color w:val="000000"/>
              </w:rPr>
            </w:pPr>
            <w:r>
              <w:rPr>
                <w:snapToGrid w:val="0"/>
                <w:color w:val="000000"/>
              </w:rPr>
              <w:t>26,335</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5F8BD9A0" w:rsidR="001F62EC" w:rsidRPr="00E74795" w:rsidRDefault="002C0F29" w:rsidP="001F62EC">
            <w:pPr>
              <w:tabs>
                <w:tab w:val="decimal" w:pos="1320"/>
              </w:tabs>
              <w:rPr>
                <w:snapToGrid w:val="0"/>
                <w:color w:val="000000"/>
              </w:rPr>
            </w:pPr>
            <w:r>
              <w:rPr>
                <w:snapToGrid w:val="0"/>
                <w:color w:val="000000"/>
              </w:rPr>
              <w:t>105,499,665</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07F3F527" w:rsidR="001F62EC" w:rsidRPr="00E74795" w:rsidRDefault="00636763" w:rsidP="001F62EC">
            <w:pPr>
              <w:tabs>
                <w:tab w:val="decimal" w:pos="1500"/>
              </w:tabs>
              <w:rPr>
                <w:snapToGrid w:val="0"/>
                <w:color w:val="000000"/>
              </w:rPr>
            </w:pPr>
            <w:r>
              <w:rPr>
                <w:snapToGrid w:val="0"/>
                <w:color w:val="000000"/>
              </w:rPr>
              <w:t>104,970,722</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50B4FF0B" w:rsidR="001F62EC" w:rsidRPr="00E74795" w:rsidRDefault="002C0F29" w:rsidP="001F62EC">
            <w:pPr>
              <w:tabs>
                <w:tab w:val="decimal" w:pos="1320"/>
              </w:tabs>
              <w:rPr>
                <w:snapToGrid w:val="0"/>
                <w:color w:val="000000"/>
              </w:rPr>
            </w:pPr>
            <w:r>
              <w:rPr>
                <w:snapToGrid w:val="0"/>
                <w:color w:val="000000"/>
              </w:rPr>
              <w:t>(88,</w:t>
            </w:r>
            <w:r w:rsidR="00793CD5">
              <w:rPr>
                <w:snapToGrid w:val="0"/>
                <w:color w:val="000000"/>
              </w:rPr>
              <w:t>362,559</w:t>
            </w:r>
            <w:r>
              <w:rPr>
                <w:snapToGrid w:val="0"/>
                <w:color w:val="000000"/>
              </w:rPr>
              <w:t>)</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6B92D58" w:rsidR="001F62EC" w:rsidRPr="00E74795" w:rsidRDefault="001F62EC" w:rsidP="001F62EC">
            <w:pPr>
              <w:tabs>
                <w:tab w:val="decimal" w:pos="1500"/>
              </w:tabs>
              <w:rPr>
                <w:snapToGrid w:val="0"/>
                <w:color w:val="000000"/>
              </w:rPr>
            </w:pPr>
            <w:r w:rsidRPr="00E74795">
              <w:rPr>
                <w:snapToGrid w:val="0"/>
                <w:color w:val="000000"/>
              </w:rPr>
              <w:t>(</w:t>
            </w:r>
            <w:r w:rsidR="00636763">
              <w:rPr>
                <w:snapToGrid w:val="0"/>
                <w:color w:val="000000"/>
              </w:rPr>
              <w:t>78,397,023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68724E60" w:rsidR="001F62EC" w:rsidRPr="00E74795" w:rsidRDefault="002C0F29" w:rsidP="001F62EC">
            <w:pPr>
              <w:tabs>
                <w:tab w:val="decimal" w:pos="1320"/>
              </w:tabs>
              <w:rPr>
                <w:snapToGrid w:val="0"/>
                <w:color w:val="000000"/>
              </w:rPr>
            </w:pPr>
            <w:r>
              <w:rPr>
                <w:snapToGrid w:val="0"/>
                <w:color w:val="000000"/>
              </w:rPr>
              <w:t>17,1</w:t>
            </w:r>
            <w:r w:rsidR="00793CD5">
              <w:rPr>
                <w:snapToGrid w:val="0"/>
                <w:color w:val="000000"/>
              </w:rPr>
              <w:t>63,550</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11961E2C" w:rsidR="001F62EC" w:rsidRPr="00E74795" w:rsidRDefault="00636763" w:rsidP="001F62EC">
            <w:pPr>
              <w:tabs>
                <w:tab w:val="decimal" w:pos="1500"/>
              </w:tabs>
              <w:rPr>
                <w:snapToGrid w:val="0"/>
                <w:color w:val="000000"/>
              </w:rPr>
            </w:pPr>
            <w:r>
              <w:rPr>
                <w:snapToGrid w:val="0"/>
                <w:color w:val="000000"/>
              </w:rPr>
              <w:t>26,600,034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0FDC5AC7"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2C0F29">
              <w:rPr>
                <w:snapToGrid w:val="0"/>
                <w:color w:val="000000"/>
              </w:rPr>
              <w:t>21,249,062</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492A111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p w14:paraId="5FAF8C6D" w14:textId="77777777" w:rsidR="00034E07" w:rsidRDefault="00034E07" w:rsidP="00034E07">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034E07" w:rsidRPr="000D3DC5" w14:paraId="160CFC04" w14:textId="77777777" w:rsidTr="00F67DB5">
        <w:tc>
          <w:tcPr>
            <w:tcW w:w="378" w:type="dxa"/>
          </w:tcPr>
          <w:p w14:paraId="6CAB219D" w14:textId="77777777" w:rsidR="00034E07" w:rsidRPr="000D3DC5" w:rsidRDefault="00034E07" w:rsidP="00F67DB5">
            <w:pPr>
              <w:ind w:right="-360"/>
            </w:pPr>
          </w:p>
        </w:tc>
        <w:tc>
          <w:tcPr>
            <w:tcW w:w="450" w:type="dxa"/>
          </w:tcPr>
          <w:p w14:paraId="7C357313" w14:textId="77777777" w:rsidR="00034E07" w:rsidRPr="000D3DC5" w:rsidRDefault="00034E07" w:rsidP="00F67DB5">
            <w:pPr>
              <w:ind w:right="-360"/>
            </w:pPr>
          </w:p>
        </w:tc>
        <w:tc>
          <w:tcPr>
            <w:tcW w:w="450" w:type="dxa"/>
          </w:tcPr>
          <w:p w14:paraId="298CA799" w14:textId="77777777" w:rsidR="00034E07" w:rsidRPr="000D3DC5" w:rsidRDefault="00034E07" w:rsidP="00F67DB5">
            <w:pPr>
              <w:ind w:right="-360"/>
            </w:pPr>
          </w:p>
        </w:tc>
        <w:tc>
          <w:tcPr>
            <w:tcW w:w="2160" w:type="dxa"/>
          </w:tcPr>
          <w:p w14:paraId="140670A0" w14:textId="77777777" w:rsidR="00034E07" w:rsidRPr="000D3DC5" w:rsidRDefault="00034E07" w:rsidP="00F67DB5">
            <w:pPr>
              <w:tabs>
                <w:tab w:val="right" w:pos="9180"/>
              </w:tabs>
              <w:ind w:right="-360"/>
            </w:pPr>
          </w:p>
        </w:tc>
        <w:tc>
          <w:tcPr>
            <w:tcW w:w="3240" w:type="dxa"/>
            <w:gridSpan w:val="3"/>
            <w:tcBorders>
              <w:bottom w:val="single" w:sz="4" w:space="0" w:color="auto"/>
            </w:tcBorders>
          </w:tcPr>
          <w:p w14:paraId="561B6E02" w14:textId="77777777" w:rsidR="00034E07" w:rsidRDefault="00034E07" w:rsidP="00F67DB5">
            <w:pPr>
              <w:tabs>
                <w:tab w:val="right" w:pos="9180"/>
              </w:tabs>
              <w:ind w:right="-46"/>
              <w:jc w:val="center"/>
            </w:pPr>
            <w:r>
              <w:t>Three Months Ended June 30,</w:t>
            </w:r>
          </w:p>
        </w:tc>
        <w:tc>
          <w:tcPr>
            <w:tcW w:w="450" w:type="dxa"/>
          </w:tcPr>
          <w:p w14:paraId="7558324B" w14:textId="77777777" w:rsidR="00034E07" w:rsidRPr="000D3DC5" w:rsidRDefault="00034E07" w:rsidP="00F67DB5">
            <w:pPr>
              <w:tabs>
                <w:tab w:val="right" w:pos="9180"/>
              </w:tabs>
              <w:ind w:right="-360"/>
              <w:jc w:val="center"/>
            </w:pPr>
          </w:p>
        </w:tc>
        <w:tc>
          <w:tcPr>
            <w:tcW w:w="3240" w:type="dxa"/>
            <w:gridSpan w:val="3"/>
            <w:tcBorders>
              <w:bottom w:val="single" w:sz="4" w:space="0" w:color="auto"/>
            </w:tcBorders>
          </w:tcPr>
          <w:p w14:paraId="538E52D8" w14:textId="77777777" w:rsidR="00034E07" w:rsidRDefault="00034E07" w:rsidP="00F67DB5">
            <w:pPr>
              <w:tabs>
                <w:tab w:val="right" w:pos="9180"/>
              </w:tabs>
              <w:ind w:right="-18"/>
              <w:jc w:val="center"/>
            </w:pPr>
            <w:r>
              <w:t>Six Months Ended June 30,</w:t>
            </w:r>
          </w:p>
        </w:tc>
      </w:tr>
      <w:tr w:rsidR="00034E07" w:rsidRPr="000D3DC5" w14:paraId="669979A6" w14:textId="77777777" w:rsidTr="00F67DB5">
        <w:tc>
          <w:tcPr>
            <w:tcW w:w="378" w:type="dxa"/>
          </w:tcPr>
          <w:p w14:paraId="0B2CED3D" w14:textId="77777777" w:rsidR="00034E07" w:rsidRPr="000D3DC5" w:rsidRDefault="00034E07" w:rsidP="00F67DB5">
            <w:pPr>
              <w:ind w:right="-360"/>
            </w:pPr>
          </w:p>
        </w:tc>
        <w:tc>
          <w:tcPr>
            <w:tcW w:w="450" w:type="dxa"/>
          </w:tcPr>
          <w:p w14:paraId="5595F116" w14:textId="77777777" w:rsidR="00034E07" w:rsidRPr="000D3DC5" w:rsidRDefault="00034E07" w:rsidP="00F67DB5">
            <w:pPr>
              <w:ind w:right="-360"/>
            </w:pPr>
          </w:p>
        </w:tc>
        <w:tc>
          <w:tcPr>
            <w:tcW w:w="450" w:type="dxa"/>
          </w:tcPr>
          <w:p w14:paraId="744EAE1C" w14:textId="77777777" w:rsidR="00034E07" w:rsidRPr="000D3DC5" w:rsidRDefault="00034E07" w:rsidP="00F67DB5">
            <w:pPr>
              <w:ind w:right="-360"/>
            </w:pPr>
          </w:p>
        </w:tc>
        <w:tc>
          <w:tcPr>
            <w:tcW w:w="2160" w:type="dxa"/>
          </w:tcPr>
          <w:p w14:paraId="097A4F34"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343D2814" w14:textId="63471BFA" w:rsidR="00034E07" w:rsidRPr="000D3DC5" w:rsidRDefault="00034E07" w:rsidP="00F67DB5">
            <w:pPr>
              <w:tabs>
                <w:tab w:val="right" w:pos="9180"/>
              </w:tabs>
              <w:ind w:right="-18"/>
              <w:jc w:val="center"/>
            </w:pPr>
            <w:r>
              <w:t>2023</w:t>
            </w:r>
          </w:p>
        </w:tc>
        <w:tc>
          <w:tcPr>
            <w:tcW w:w="270" w:type="dxa"/>
            <w:tcBorders>
              <w:top w:val="single" w:sz="4" w:space="0" w:color="auto"/>
            </w:tcBorders>
          </w:tcPr>
          <w:p w14:paraId="293744DC" w14:textId="77777777" w:rsidR="00034E07" w:rsidRPr="000D3DC5" w:rsidRDefault="00034E07" w:rsidP="00F67DB5">
            <w:pPr>
              <w:tabs>
                <w:tab w:val="right" w:pos="9180"/>
              </w:tabs>
              <w:ind w:right="-360"/>
              <w:jc w:val="center"/>
            </w:pPr>
          </w:p>
        </w:tc>
        <w:tc>
          <w:tcPr>
            <w:tcW w:w="1440" w:type="dxa"/>
            <w:tcBorders>
              <w:top w:val="single" w:sz="4" w:space="0" w:color="auto"/>
              <w:bottom w:val="single" w:sz="4" w:space="0" w:color="auto"/>
            </w:tcBorders>
          </w:tcPr>
          <w:p w14:paraId="48596B3C" w14:textId="536813E6" w:rsidR="00034E07" w:rsidRPr="000D3DC5" w:rsidRDefault="00034E07" w:rsidP="00F67DB5">
            <w:pPr>
              <w:tabs>
                <w:tab w:val="right" w:pos="9180"/>
              </w:tabs>
              <w:ind w:right="-46"/>
              <w:jc w:val="center"/>
            </w:pPr>
            <w:r>
              <w:t>2022</w:t>
            </w:r>
          </w:p>
        </w:tc>
        <w:tc>
          <w:tcPr>
            <w:tcW w:w="450" w:type="dxa"/>
          </w:tcPr>
          <w:p w14:paraId="2973C94B" w14:textId="77777777" w:rsidR="00034E07" w:rsidRPr="000D3DC5" w:rsidRDefault="00034E07" w:rsidP="00F67DB5">
            <w:pPr>
              <w:tabs>
                <w:tab w:val="right" w:pos="9180"/>
              </w:tabs>
              <w:ind w:right="-360"/>
              <w:jc w:val="center"/>
            </w:pPr>
          </w:p>
        </w:tc>
        <w:tc>
          <w:tcPr>
            <w:tcW w:w="1440" w:type="dxa"/>
            <w:tcBorders>
              <w:bottom w:val="single" w:sz="4" w:space="0" w:color="auto"/>
            </w:tcBorders>
          </w:tcPr>
          <w:p w14:paraId="59FE1CAF" w14:textId="22C2263B" w:rsidR="00034E07" w:rsidRPr="000D3DC5" w:rsidRDefault="00034E07" w:rsidP="00F67DB5">
            <w:pPr>
              <w:tabs>
                <w:tab w:val="right" w:pos="9180"/>
              </w:tabs>
              <w:ind w:right="-18"/>
              <w:jc w:val="center"/>
            </w:pPr>
            <w:r>
              <w:t>2023</w:t>
            </w:r>
          </w:p>
        </w:tc>
        <w:tc>
          <w:tcPr>
            <w:tcW w:w="270" w:type="dxa"/>
          </w:tcPr>
          <w:p w14:paraId="049F48A2" w14:textId="77777777" w:rsidR="00034E07" w:rsidRPr="000D3DC5" w:rsidRDefault="00034E07" w:rsidP="00F67DB5">
            <w:pPr>
              <w:tabs>
                <w:tab w:val="right" w:pos="9180"/>
              </w:tabs>
              <w:ind w:right="-360"/>
              <w:jc w:val="center"/>
            </w:pPr>
          </w:p>
        </w:tc>
        <w:tc>
          <w:tcPr>
            <w:tcW w:w="1530" w:type="dxa"/>
            <w:tcBorders>
              <w:bottom w:val="single" w:sz="4" w:space="0" w:color="auto"/>
            </w:tcBorders>
          </w:tcPr>
          <w:p w14:paraId="6DB22745" w14:textId="4197002D" w:rsidR="00034E07" w:rsidRPr="000D3DC5" w:rsidRDefault="00034E07" w:rsidP="00F67DB5">
            <w:pPr>
              <w:tabs>
                <w:tab w:val="right" w:pos="9180"/>
              </w:tabs>
              <w:ind w:right="-18"/>
              <w:jc w:val="center"/>
            </w:pPr>
            <w:r>
              <w:t>2022</w:t>
            </w:r>
          </w:p>
        </w:tc>
      </w:tr>
      <w:tr w:rsidR="00034E07" w:rsidRPr="000D3DC5" w14:paraId="7A660DB1" w14:textId="77777777" w:rsidTr="00F67DB5">
        <w:tc>
          <w:tcPr>
            <w:tcW w:w="3438" w:type="dxa"/>
            <w:gridSpan w:val="4"/>
          </w:tcPr>
          <w:p w14:paraId="28DCD19D" w14:textId="77777777" w:rsidR="00034E07" w:rsidRPr="000D3DC5" w:rsidRDefault="00034E07" w:rsidP="00F67DB5">
            <w:pPr>
              <w:tabs>
                <w:tab w:val="right" w:pos="9180"/>
              </w:tabs>
              <w:ind w:right="-360"/>
            </w:pPr>
            <w:r w:rsidRPr="000D3DC5">
              <w:t>Grant</w:t>
            </w:r>
            <w:r>
              <w:t xml:space="preserve"> </w:t>
            </w:r>
            <w:r w:rsidRPr="000D3DC5">
              <w:t>revenue</w:t>
            </w:r>
          </w:p>
        </w:tc>
        <w:tc>
          <w:tcPr>
            <w:tcW w:w="1530" w:type="dxa"/>
          </w:tcPr>
          <w:p w14:paraId="3A6234A0" w14:textId="77777777" w:rsidR="00034E07" w:rsidRPr="000D3DC5" w:rsidRDefault="00034E07" w:rsidP="00F67DB5">
            <w:pPr>
              <w:tabs>
                <w:tab w:val="decimal" w:pos="1152"/>
                <w:tab w:val="right" w:pos="9180"/>
              </w:tabs>
              <w:ind w:right="-18"/>
            </w:pPr>
            <w:r>
              <w:t>$</w:t>
            </w:r>
            <w:r>
              <w:tab/>
              <w:t>-</w:t>
            </w:r>
          </w:p>
        </w:tc>
        <w:tc>
          <w:tcPr>
            <w:tcW w:w="270" w:type="dxa"/>
          </w:tcPr>
          <w:p w14:paraId="6489A7A1" w14:textId="77777777" w:rsidR="00034E07" w:rsidRPr="000D3DC5" w:rsidRDefault="00034E07" w:rsidP="00F67DB5">
            <w:pPr>
              <w:tabs>
                <w:tab w:val="right" w:pos="9180"/>
              </w:tabs>
              <w:ind w:right="-360"/>
            </w:pPr>
          </w:p>
        </w:tc>
        <w:tc>
          <w:tcPr>
            <w:tcW w:w="1440" w:type="dxa"/>
          </w:tcPr>
          <w:p w14:paraId="0FF0AC99" w14:textId="35CEB2F7" w:rsidR="00034E07" w:rsidRPr="000D3DC5" w:rsidRDefault="00034E07" w:rsidP="00F67DB5">
            <w:pPr>
              <w:tabs>
                <w:tab w:val="decimal" w:pos="1062"/>
                <w:tab w:val="right" w:pos="9180"/>
              </w:tabs>
              <w:ind w:right="-46"/>
            </w:pPr>
            <w:r>
              <w:t>$</w:t>
            </w:r>
            <w:r>
              <w:tab/>
              <w:t>-</w:t>
            </w:r>
          </w:p>
        </w:tc>
        <w:tc>
          <w:tcPr>
            <w:tcW w:w="450" w:type="dxa"/>
          </w:tcPr>
          <w:p w14:paraId="1F1A2CA5" w14:textId="77777777" w:rsidR="00034E07" w:rsidRPr="000D3DC5" w:rsidRDefault="00034E07" w:rsidP="00F67DB5">
            <w:pPr>
              <w:tabs>
                <w:tab w:val="right" w:pos="9180"/>
              </w:tabs>
              <w:ind w:right="-360"/>
            </w:pPr>
          </w:p>
        </w:tc>
        <w:tc>
          <w:tcPr>
            <w:tcW w:w="1440" w:type="dxa"/>
          </w:tcPr>
          <w:p w14:paraId="4A2F7F39" w14:textId="2922C163" w:rsidR="00034E07" w:rsidRPr="000D3DC5" w:rsidRDefault="00034E07" w:rsidP="00F67DB5">
            <w:pPr>
              <w:tabs>
                <w:tab w:val="decimal" w:pos="1062"/>
                <w:tab w:val="right" w:pos="9180"/>
              </w:tabs>
              <w:ind w:right="-18"/>
            </w:pPr>
            <w:r w:rsidRPr="000D3DC5">
              <w:t>$</w:t>
            </w:r>
            <w:r w:rsidRPr="000D3DC5">
              <w:tab/>
            </w:r>
            <w:r>
              <w:t>-</w:t>
            </w:r>
          </w:p>
        </w:tc>
        <w:tc>
          <w:tcPr>
            <w:tcW w:w="270" w:type="dxa"/>
          </w:tcPr>
          <w:p w14:paraId="1B3079E9" w14:textId="77777777" w:rsidR="00034E07" w:rsidRPr="000D3DC5" w:rsidRDefault="00034E07" w:rsidP="00F67DB5">
            <w:pPr>
              <w:tabs>
                <w:tab w:val="right" w:pos="9180"/>
              </w:tabs>
              <w:ind w:right="-360"/>
            </w:pPr>
          </w:p>
        </w:tc>
        <w:tc>
          <w:tcPr>
            <w:tcW w:w="1530" w:type="dxa"/>
          </w:tcPr>
          <w:p w14:paraId="2DC1AF12" w14:textId="6DDB24F9" w:rsidR="00034E07" w:rsidRPr="000D3DC5" w:rsidRDefault="00034E07" w:rsidP="00F67DB5">
            <w:pPr>
              <w:tabs>
                <w:tab w:val="decimal" w:pos="1152"/>
                <w:tab w:val="right" w:pos="9180"/>
              </w:tabs>
              <w:ind w:right="-18"/>
            </w:pPr>
            <w:r w:rsidRPr="000D3DC5">
              <w:t>$</w:t>
            </w:r>
            <w:r w:rsidRPr="000D3DC5">
              <w:tab/>
            </w:r>
            <w:r>
              <w:t>81,526</w:t>
            </w:r>
          </w:p>
        </w:tc>
      </w:tr>
      <w:tr w:rsidR="00034E07" w:rsidRPr="000D3DC5" w14:paraId="4360BB98" w14:textId="77777777" w:rsidTr="00F67DB5">
        <w:tc>
          <w:tcPr>
            <w:tcW w:w="378" w:type="dxa"/>
          </w:tcPr>
          <w:p w14:paraId="38283C6F" w14:textId="77777777" w:rsidR="00034E07" w:rsidRPr="000D3DC5" w:rsidRDefault="00034E07" w:rsidP="00F67DB5">
            <w:pPr>
              <w:ind w:right="-360"/>
            </w:pPr>
          </w:p>
        </w:tc>
        <w:tc>
          <w:tcPr>
            <w:tcW w:w="450" w:type="dxa"/>
          </w:tcPr>
          <w:p w14:paraId="7AA32EFC" w14:textId="77777777" w:rsidR="00034E07" w:rsidRPr="000D3DC5" w:rsidRDefault="00034E07" w:rsidP="00F67DB5">
            <w:pPr>
              <w:ind w:right="-360"/>
            </w:pPr>
          </w:p>
        </w:tc>
        <w:tc>
          <w:tcPr>
            <w:tcW w:w="450" w:type="dxa"/>
          </w:tcPr>
          <w:p w14:paraId="614E7062" w14:textId="77777777" w:rsidR="00034E07" w:rsidRPr="000D3DC5" w:rsidRDefault="00034E07" w:rsidP="00F67DB5">
            <w:pPr>
              <w:ind w:right="-360"/>
            </w:pPr>
          </w:p>
        </w:tc>
        <w:tc>
          <w:tcPr>
            <w:tcW w:w="2160" w:type="dxa"/>
          </w:tcPr>
          <w:p w14:paraId="193A3CBD" w14:textId="77777777" w:rsidR="00034E07" w:rsidRPr="000D3DC5" w:rsidRDefault="00034E07" w:rsidP="00F67DB5">
            <w:pPr>
              <w:tabs>
                <w:tab w:val="right" w:pos="9180"/>
              </w:tabs>
              <w:ind w:right="-360"/>
            </w:pPr>
          </w:p>
        </w:tc>
        <w:tc>
          <w:tcPr>
            <w:tcW w:w="1530" w:type="dxa"/>
          </w:tcPr>
          <w:p w14:paraId="6A38F008" w14:textId="77777777" w:rsidR="00034E07" w:rsidRPr="000D3DC5" w:rsidRDefault="00034E07" w:rsidP="00F67DB5">
            <w:pPr>
              <w:tabs>
                <w:tab w:val="right" w:pos="9180"/>
              </w:tabs>
              <w:ind w:right="-18"/>
            </w:pPr>
          </w:p>
        </w:tc>
        <w:tc>
          <w:tcPr>
            <w:tcW w:w="270" w:type="dxa"/>
          </w:tcPr>
          <w:p w14:paraId="255D46CA" w14:textId="77777777" w:rsidR="00034E07" w:rsidRPr="000D3DC5" w:rsidRDefault="00034E07" w:rsidP="00F67DB5">
            <w:pPr>
              <w:tabs>
                <w:tab w:val="right" w:pos="9180"/>
              </w:tabs>
              <w:ind w:right="-360"/>
            </w:pPr>
          </w:p>
        </w:tc>
        <w:tc>
          <w:tcPr>
            <w:tcW w:w="1440" w:type="dxa"/>
          </w:tcPr>
          <w:p w14:paraId="06716BBC" w14:textId="77777777" w:rsidR="00034E07" w:rsidRPr="000D3DC5" w:rsidRDefault="00034E07" w:rsidP="00F67DB5">
            <w:pPr>
              <w:tabs>
                <w:tab w:val="right" w:pos="9180"/>
              </w:tabs>
              <w:ind w:right="-46"/>
            </w:pPr>
          </w:p>
        </w:tc>
        <w:tc>
          <w:tcPr>
            <w:tcW w:w="450" w:type="dxa"/>
          </w:tcPr>
          <w:p w14:paraId="483EAF30" w14:textId="77777777" w:rsidR="00034E07" w:rsidRPr="000D3DC5" w:rsidRDefault="00034E07" w:rsidP="00F67DB5">
            <w:pPr>
              <w:tabs>
                <w:tab w:val="right" w:pos="9180"/>
              </w:tabs>
              <w:ind w:right="-360"/>
            </w:pPr>
          </w:p>
        </w:tc>
        <w:tc>
          <w:tcPr>
            <w:tcW w:w="1440" w:type="dxa"/>
          </w:tcPr>
          <w:p w14:paraId="27D39E81" w14:textId="77777777" w:rsidR="00034E07" w:rsidRPr="000D3DC5" w:rsidRDefault="00034E07" w:rsidP="00F67DB5">
            <w:pPr>
              <w:tabs>
                <w:tab w:val="right" w:pos="9180"/>
              </w:tabs>
              <w:ind w:right="-18"/>
            </w:pPr>
          </w:p>
        </w:tc>
        <w:tc>
          <w:tcPr>
            <w:tcW w:w="270" w:type="dxa"/>
          </w:tcPr>
          <w:p w14:paraId="7C747B13" w14:textId="77777777" w:rsidR="00034E07" w:rsidRPr="000D3DC5" w:rsidRDefault="00034E07" w:rsidP="00F67DB5">
            <w:pPr>
              <w:tabs>
                <w:tab w:val="right" w:pos="9180"/>
              </w:tabs>
              <w:ind w:right="-360"/>
            </w:pPr>
          </w:p>
        </w:tc>
        <w:tc>
          <w:tcPr>
            <w:tcW w:w="1530" w:type="dxa"/>
          </w:tcPr>
          <w:p w14:paraId="1BA27B4B" w14:textId="77777777" w:rsidR="00034E07" w:rsidRPr="000D3DC5" w:rsidRDefault="00034E07" w:rsidP="00F67DB5">
            <w:pPr>
              <w:tabs>
                <w:tab w:val="right" w:pos="9180"/>
              </w:tabs>
              <w:ind w:right="-18"/>
            </w:pPr>
          </w:p>
        </w:tc>
      </w:tr>
      <w:tr w:rsidR="00034E07" w:rsidRPr="000D3DC5" w14:paraId="624F0B03" w14:textId="77777777" w:rsidTr="00F67DB5">
        <w:tc>
          <w:tcPr>
            <w:tcW w:w="3438" w:type="dxa"/>
            <w:gridSpan w:val="4"/>
          </w:tcPr>
          <w:p w14:paraId="71099DC4" w14:textId="77777777" w:rsidR="00034E07" w:rsidRPr="000D3DC5" w:rsidRDefault="00034E07" w:rsidP="00F67DB5">
            <w:pPr>
              <w:tabs>
                <w:tab w:val="right" w:pos="9180"/>
              </w:tabs>
              <w:ind w:right="-360"/>
            </w:pPr>
            <w:r w:rsidRPr="000D3DC5">
              <w:t>Operating expenses:</w:t>
            </w:r>
          </w:p>
        </w:tc>
        <w:tc>
          <w:tcPr>
            <w:tcW w:w="1530" w:type="dxa"/>
          </w:tcPr>
          <w:p w14:paraId="18F66975" w14:textId="77777777" w:rsidR="00034E07" w:rsidRPr="000D3DC5" w:rsidRDefault="00034E07" w:rsidP="00F67DB5">
            <w:pPr>
              <w:tabs>
                <w:tab w:val="right" w:pos="9180"/>
              </w:tabs>
              <w:ind w:right="-18"/>
            </w:pPr>
          </w:p>
        </w:tc>
        <w:tc>
          <w:tcPr>
            <w:tcW w:w="270" w:type="dxa"/>
          </w:tcPr>
          <w:p w14:paraId="40386DB8" w14:textId="77777777" w:rsidR="00034E07" w:rsidRPr="000D3DC5" w:rsidRDefault="00034E07" w:rsidP="00F67DB5">
            <w:pPr>
              <w:tabs>
                <w:tab w:val="right" w:pos="9180"/>
              </w:tabs>
              <w:ind w:right="-360"/>
            </w:pPr>
          </w:p>
        </w:tc>
        <w:tc>
          <w:tcPr>
            <w:tcW w:w="1440" w:type="dxa"/>
          </w:tcPr>
          <w:p w14:paraId="4FD5F8DF" w14:textId="77777777" w:rsidR="00034E07" w:rsidRPr="000D3DC5" w:rsidRDefault="00034E07" w:rsidP="00F67DB5">
            <w:pPr>
              <w:tabs>
                <w:tab w:val="right" w:pos="9180"/>
              </w:tabs>
              <w:ind w:right="-46"/>
            </w:pPr>
          </w:p>
        </w:tc>
        <w:tc>
          <w:tcPr>
            <w:tcW w:w="450" w:type="dxa"/>
          </w:tcPr>
          <w:p w14:paraId="5EB9525C" w14:textId="77777777" w:rsidR="00034E07" w:rsidRPr="000D3DC5" w:rsidRDefault="00034E07" w:rsidP="00F67DB5">
            <w:pPr>
              <w:tabs>
                <w:tab w:val="right" w:pos="9180"/>
              </w:tabs>
              <w:ind w:right="-360"/>
            </w:pPr>
          </w:p>
        </w:tc>
        <w:tc>
          <w:tcPr>
            <w:tcW w:w="1440" w:type="dxa"/>
          </w:tcPr>
          <w:p w14:paraId="06997AFA" w14:textId="77777777" w:rsidR="00034E07" w:rsidRPr="000D3DC5" w:rsidRDefault="00034E07" w:rsidP="00F67DB5">
            <w:pPr>
              <w:tabs>
                <w:tab w:val="right" w:pos="9180"/>
              </w:tabs>
              <w:ind w:right="-18"/>
            </w:pPr>
          </w:p>
        </w:tc>
        <w:tc>
          <w:tcPr>
            <w:tcW w:w="270" w:type="dxa"/>
          </w:tcPr>
          <w:p w14:paraId="490F7D58" w14:textId="77777777" w:rsidR="00034E07" w:rsidRPr="000D3DC5" w:rsidRDefault="00034E07" w:rsidP="00F67DB5">
            <w:pPr>
              <w:tabs>
                <w:tab w:val="right" w:pos="9180"/>
              </w:tabs>
              <w:ind w:right="-360"/>
            </w:pPr>
          </w:p>
        </w:tc>
        <w:tc>
          <w:tcPr>
            <w:tcW w:w="1530" w:type="dxa"/>
          </w:tcPr>
          <w:p w14:paraId="72487F78" w14:textId="77777777" w:rsidR="00034E07" w:rsidRPr="000D3DC5" w:rsidRDefault="00034E07" w:rsidP="00F67DB5">
            <w:pPr>
              <w:tabs>
                <w:tab w:val="right" w:pos="9180"/>
              </w:tabs>
              <w:ind w:right="-18"/>
            </w:pPr>
          </w:p>
        </w:tc>
      </w:tr>
      <w:tr w:rsidR="00034E07" w:rsidRPr="000D3DC5" w14:paraId="0BA3DD21" w14:textId="77777777" w:rsidTr="00F67DB5">
        <w:tc>
          <w:tcPr>
            <w:tcW w:w="378" w:type="dxa"/>
          </w:tcPr>
          <w:p w14:paraId="0D666C00" w14:textId="77777777" w:rsidR="00034E07" w:rsidRPr="000D3DC5" w:rsidRDefault="00034E07" w:rsidP="00F67DB5">
            <w:pPr>
              <w:ind w:right="-360"/>
            </w:pPr>
          </w:p>
        </w:tc>
        <w:tc>
          <w:tcPr>
            <w:tcW w:w="3060" w:type="dxa"/>
            <w:gridSpan w:val="3"/>
          </w:tcPr>
          <w:p w14:paraId="2D4A03C8" w14:textId="77777777" w:rsidR="00034E07" w:rsidRPr="000D3DC5" w:rsidRDefault="00034E07" w:rsidP="00F67DB5">
            <w:pPr>
              <w:tabs>
                <w:tab w:val="right" w:pos="9180"/>
              </w:tabs>
              <w:ind w:right="-360"/>
            </w:pPr>
            <w:r w:rsidRPr="000D3DC5">
              <w:t>Research and development</w:t>
            </w:r>
          </w:p>
        </w:tc>
        <w:tc>
          <w:tcPr>
            <w:tcW w:w="1530" w:type="dxa"/>
          </w:tcPr>
          <w:p w14:paraId="0B7FE9F3" w14:textId="0B4BA57E" w:rsidR="00034E07" w:rsidRPr="000D3DC5" w:rsidRDefault="00034E07" w:rsidP="00F67DB5">
            <w:pPr>
              <w:tabs>
                <w:tab w:val="decimal" w:pos="1152"/>
                <w:tab w:val="right" w:pos="9180"/>
              </w:tabs>
              <w:ind w:right="-18"/>
            </w:pPr>
            <w:r w:rsidRPr="000D3DC5">
              <w:tab/>
            </w:r>
            <w:r w:rsidR="002C0F29">
              <w:t>4,</w:t>
            </w:r>
            <w:r w:rsidR="00272BE3">
              <w:t>719,728</w:t>
            </w:r>
          </w:p>
        </w:tc>
        <w:tc>
          <w:tcPr>
            <w:tcW w:w="270" w:type="dxa"/>
          </w:tcPr>
          <w:p w14:paraId="453EBE08" w14:textId="77777777" w:rsidR="00034E07" w:rsidRPr="000D3DC5" w:rsidRDefault="00034E07" w:rsidP="00F67DB5">
            <w:pPr>
              <w:tabs>
                <w:tab w:val="right" w:pos="9180"/>
              </w:tabs>
              <w:ind w:right="-360"/>
            </w:pPr>
          </w:p>
        </w:tc>
        <w:tc>
          <w:tcPr>
            <w:tcW w:w="1440" w:type="dxa"/>
          </w:tcPr>
          <w:p w14:paraId="130D1FF0" w14:textId="6BECDC5C" w:rsidR="00034E07" w:rsidRPr="000D3DC5" w:rsidRDefault="00034E07" w:rsidP="00F67DB5">
            <w:pPr>
              <w:tabs>
                <w:tab w:val="decimal" w:pos="1062"/>
                <w:tab w:val="right" w:pos="9180"/>
              </w:tabs>
              <w:ind w:right="-46"/>
            </w:pPr>
            <w:r>
              <w:tab/>
              <w:t>1,307,177</w:t>
            </w:r>
          </w:p>
        </w:tc>
        <w:tc>
          <w:tcPr>
            <w:tcW w:w="450" w:type="dxa"/>
          </w:tcPr>
          <w:p w14:paraId="798EE44B" w14:textId="77777777" w:rsidR="00034E07" w:rsidRPr="000D3DC5" w:rsidRDefault="00034E07" w:rsidP="00F67DB5">
            <w:pPr>
              <w:tabs>
                <w:tab w:val="right" w:pos="9180"/>
              </w:tabs>
              <w:ind w:right="-360"/>
            </w:pPr>
          </w:p>
        </w:tc>
        <w:tc>
          <w:tcPr>
            <w:tcW w:w="1440" w:type="dxa"/>
          </w:tcPr>
          <w:p w14:paraId="79D91498" w14:textId="6B859EC8" w:rsidR="00034E07" w:rsidRPr="000D3DC5" w:rsidRDefault="00034E07" w:rsidP="00F67DB5">
            <w:pPr>
              <w:tabs>
                <w:tab w:val="decimal" w:pos="1062"/>
                <w:tab w:val="right" w:pos="9180"/>
              </w:tabs>
              <w:ind w:right="-18"/>
            </w:pPr>
            <w:r>
              <w:tab/>
            </w:r>
            <w:r w:rsidR="002C0F29">
              <w:t>7,</w:t>
            </w:r>
            <w:r w:rsidR="00272BE3">
              <w:t>538,917</w:t>
            </w:r>
          </w:p>
        </w:tc>
        <w:tc>
          <w:tcPr>
            <w:tcW w:w="270" w:type="dxa"/>
          </w:tcPr>
          <w:p w14:paraId="17F7F518" w14:textId="77777777" w:rsidR="00034E07" w:rsidRPr="000D3DC5" w:rsidRDefault="00034E07" w:rsidP="00F67DB5">
            <w:pPr>
              <w:tabs>
                <w:tab w:val="right" w:pos="9180"/>
              </w:tabs>
              <w:ind w:right="-360"/>
            </w:pPr>
          </w:p>
        </w:tc>
        <w:tc>
          <w:tcPr>
            <w:tcW w:w="1530" w:type="dxa"/>
          </w:tcPr>
          <w:p w14:paraId="1E826686" w14:textId="34060A36" w:rsidR="00034E07" w:rsidRPr="000D3DC5" w:rsidRDefault="00034E07" w:rsidP="00F67DB5">
            <w:pPr>
              <w:tabs>
                <w:tab w:val="decimal" w:pos="1152"/>
                <w:tab w:val="right" w:pos="9180"/>
              </w:tabs>
              <w:ind w:right="-18"/>
            </w:pPr>
            <w:r>
              <w:tab/>
              <w:t>2,637,721</w:t>
            </w:r>
          </w:p>
        </w:tc>
      </w:tr>
      <w:tr w:rsidR="00034E07" w:rsidRPr="000D3DC5" w14:paraId="2B1E0F39" w14:textId="77777777" w:rsidTr="00F67DB5">
        <w:tc>
          <w:tcPr>
            <w:tcW w:w="378" w:type="dxa"/>
          </w:tcPr>
          <w:p w14:paraId="2866E22D" w14:textId="77777777" w:rsidR="00034E07" w:rsidRPr="000D3DC5" w:rsidRDefault="00034E07" w:rsidP="00F67DB5">
            <w:pPr>
              <w:ind w:right="-360"/>
            </w:pPr>
          </w:p>
        </w:tc>
        <w:tc>
          <w:tcPr>
            <w:tcW w:w="3060" w:type="dxa"/>
            <w:gridSpan w:val="3"/>
          </w:tcPr>
          <w:p w14:paraId="0DFFB21D" w14:textId="77777777" w:rsidR="00034E07" w:rsidRPr="000D3DC5" w:rsidRDefault="00034E07" w:rsidP="00F67DB5">
            <w:pPr>
              <w:tabs>
                <w:tab w:val="right" w:pos="9180"/>
              </w:tabs>
              <w:ind w:right="-360"/>
            </w:pPr>
            <w:r w:rsidRPr="000D3DC5">
              <w:t>General and administrative</w:t>
            </w:r>
          </w:p>
        </w:tc>
        <w:tc>
          <w:tcPr>
            <w:tcW w:w="1530" w:type="dxa"/>
          </w:tcPr>
          <w:p w14:paraId="2560CD3E" w14:textId="533A58C7" w:rsidR="00034E07" w:rsidRPr="000D3DC5" w:rsidRDefault="00034E07" w:rsidP="00F67DB5">
            <w:pPr>
              <w:tabs>
                <w:tab w:val="decimal" w:pos="1152"/>
                <w:tab w:val="right" w:pos="9180"/>
              </w:tabs>
              <w:ind w:right="-18"/>
            </w:pPr>
            <w:r w:rsidRPr="000D3DC5">
              <w:tab/>
            </w:r>
            <w:r w:rsidR="002C0F29">
              <w:t>1</w:t>
            </w:r>
            <w:r w:rsidR="00272BE3">
              <w:t>,459,093</w:t>
            </w:r>
          </w:p>
        </w:tc>
        <w:tc>
          <w:tcPr>
            <w:tcW w:w="270" w:type="dxa"/>
          </w:tcPr>
          <w:p w14:paraId="0DAE7AAD" w14:textId="77777777" w:rsidR="00034E07" w:rsidRPr="000D3DC5" w:rsidRDefault="00034E07" w:rsidP="00F67DB5">
            <w:pPr>
              <w:tabs>
                <w:tab w:val="right" w:pos="9180"/>
              </w:tabs>
              <w:ind w:right="-360"/>
            </w:pPr>
          </w:p>
        </w:tc>
        <w:tc>
          <w:tcPr>
            <w:tcW w:w="1440" w:type="dxa"/>
          </w:tcPr>
          <w:p w14:paraId="79A4E655" w14:textId="08A91F15" w:rsidR="00034E07" w:rsidRPr="000D3DC5" w:rsidRDefault="00034E07" w:rsidP="00F67DB5">
            <w:pPr>
              <w:tabs>
                <w:tab w:val="decimal" w:pos="1062"/>
                <w:tab w:val="right" w:pos="9180"/>
              </w:tabs>
              <w:ind w:right="-46"/>
            </w:pPr>
            <w:r>
              <w:tab/>
              <w:t>935,311</w:t>
            </w:r>
          </w:p>
        </w:tc>
        <w:tc>
          <w:tcPr>
            <w:tcW w:w="450" w:type="dxa"/>
          </w:tcPr>
          <w:p w14:paraId="46254084" w14:textId="77777777" w:rsidR="00034E07" w:rsidRPr="000D3DC5" w:rsidRDefault="00034E07" w:rsidP="00F67DB5">
            <w:pPr>
              <w:tabs>
                <w:tab w:val="right" w:pos="9180"/>
              </w:tabs>
              <w:ind w:right="-360"/>
            </w:pPr>
          </w:p>
        </w:tc>
        <w:tc>
          <w:tcPr>
            <w:tcW w:w="1440" w:type="dxa"/>
          </w:tcPr>
          <w:p w14:paraId="1E28E8B0" w14:textId="6E007B20" w:rsidR="00034E07" w:rsidRPr="000D3DC5" w:rsidRDefault="00034E07" w:rsidP="00F67DB5">
            <w:pPr>
              <w:tabs>
                <w:tab w:val="decimal" w:pos="1062"/>
                <w:tab w:val="right" w:pos="9180"/>
              </w:tabs>
              <w:ind w:right="-18"/>
            </w:pPr>
            <w:r w:rsidRPr="000D3DC5">
              <w:tab/>
            </w:r>
            <w:r w:rsidR="002C0F29">
              <w:t>2,</w:t>
            </w:r>
            <w:r w:rsidR="00272BE3">
              <w:t>910,518</w:t>
            </w:r>
          </w:p>
        </w:tc>
        <w:tc>
          <w:tcPr>
            <w:tcW w:w="270" w:type="dxa"/>
          </w:tcPr>
          <w:p w14:paraId="22736E86" w14:textId="77777777" w:rsidR="00034E07" w:rsidRPr="000D3DC5" w:rsidRDefault="00034E07" w:rsidP="00F67DB5">
            <w:pPr>
              <w:tabs>
                <w:tab w:val="right" w:pos="9180"/>
              </w:tabs>
              <w:ind w:right="-360"/>
            </w:pPr>
          </w:p>
        </w:tc>
        <w:tc>
          <w:tcPr>
            <w:tcW w:w="1530" w:type="dxa"/>
          </w:tcPr>
          <w:p w14:paraId="4163C234" w14:textId="4CEC4550" w:rsidR="00034E07" w:rsidRPr="000D3DC5" w:rsidRDefault="00034E07" w:rsidP="00F67DB5">
            <w:pPr>
              <w:tabs>
                <w:tab w:val="decimal" w:pos="1152"/>
                <w:tab w:val="right" w:pos="9180"/>
              </w:tabs>
              <w:ind w:right="-18"/>
            </w:pPr>
            <w:r>
              <w:tab/>
              <w:t>2,114,335</w:t>
            </w:r>
          </w:p>
        </w:tc>
      </w:tr>
      <w:tr w:rsidR="00034E07" w:rsidRPr="000D3DC5" w14:paraId="20A10794" w14:textId="77777777" w:rsidTr="00F67DB5">
        <w:tc>
          <w:tcPr>
            <w:tcW w:w="3438" w:type="dxa"/>
            <w:gridSpan w:val="4"/>
          </w:tcPr>
          <w:p w14:paraId="3B3AB860" w14:textId="77777777" w:rsidR="00034E07" w:rsidRPr="000D3DC5" w:rsidRDefault="00034E07" w:rsidP="00F67DB5">
            <w:pPr>
              <w:tabs>
                <w:tab w:val="right" w:pos="9180"/>
              </w:tabs>
              <w:ind w:right="-360"/>
            </w:pPr>
            <w:r>
              <w:t>Total operating expenses</w:t>
            </w:r>
          </w:p>
        </w:tc>
        <w:tc>
          <w:tcPr>
            <w:tcW w:w="1530" w:type="dxa"/>
            <w:tcBorders>
              <w:top w:val="single" w:sz="4" w:space="0" w:color="auto"/>
              <w:bottom w:val="single" w:sz="4" w:space="0" w:color="auto"/>
            </w:tcBorders>
          </w:tcPr>
          <w:p w14:paraId="56C01D54" w14:textId="0E1E1CEC" w:rsidR="00034E07" w:rsidRPr="000D3DC5" w:rsidRDefault="00034E07" w:rsidP="00F67DB5">
            <w:pPr>
              <w:tabs>
                <w:tab w:val="decimal" w:pos="1152"/>
                <w:tab w:val="right" w:pos="9180"/>
              </w:tabs>
              <w:ind w:right="-18"/>
            </w:pPr>
            <w:r w:rsidRPr="000D3DC5">
              <w:tab/>
            </w:r>
            <w:r w:rsidR="002C0F29">
              <w:t>6,</w:t>
            </w:r>
            <w:r w:rsidR="00793CD5">
              <w:t>178,821</w:t>
            </w:r>
          </w:p>
        </w:tc>
        <w:tc>
          <w:tcPr>
            <w:tcW w:w="270" w:type="dxa"/>
          </w:tcPr>
          <w:p w14:paraId="23321348"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31A7CFC" w14:textId="1897DC44" w:rsidR="00034E07" w:rsidRPr="000D3DC5" w:rsidRDefault="00034E07" w:rsidP="00F67DB5">
            <w:pPr>
              <w:tabs>
                <w:tab w:val="decimal" w:pos="1062"/>
                <w:tab w:val="right" w:pos="9180"/>
              </w:tabs>
              <w:ind w:right="-46"/>
            </w:pPr>
            <w:r>
              <w:tab/>
              <w:t>2,242,488</w:t>
            </w:r>
          </w:p>
        </w:tc>
        <w:tc>
          <w:tcPr>
            <w:tcW w:w="450" w:type="dxa"/>
          </w:tcPr>
          <w:p w14:paraId="3A39A27E" w14:textId="77777777" w:rsidR="00034E07" w:rsidRPr="000D3DC5" w:rsidRDefault="00034E07" w:rsidP="00F67DB5">
            <w:pPr>
              <w:tabs>
                <w:tab w:val="right" w:pos="9180"/>
              </w:tabs>
              <w:ind w:right="-360"/>
            </w:pPr>
          </w:p>
        </w:tc>
        <w:tc>
          <w:tcPr>
            <w:tcW w:w="1440" w:type="dxa"/>
            <w:tcBorders>
              <w:top w:val="single" w:sz="4" w:space="0" w:color="auto"/>
              <w:bottom w:val="single" w:sz="4" w:space="0" w:color="auto"/>
            </w:tcBorders>
          </w:tcPr>
          <w:p w14:paraId="501B9889" w14:textId="3F356A5A" w:rsidR="00034E07" w:rsidRPr="000D3DC5" w:rsidRDefault="00034E07" w:rsidP="00F67DB5">
            <w:pPr>
              <w:tabs>
                <w:tab w:val="decimal" w:pos="1062"/>
                <w:tab w:val="right" w:pos="9180"/>
              </w:tabs>
              <w:ind w:right="-18"/>
            </w:pPr>
            <w:r w:rsidRPr="000D3DC5">
              <w:tab/>
            </w:r>
            <w:r w:rsidR="002C0F29">
              <w:t>10,</w:t>
            </w:r>
            <w:r w:rsidR="00793CD5">
              <w:t>449,435</w:t>
            </w:r>
          </w:p>
        </w:tc>
        <w:tc>
          <w:tcPr>
            <w:tcW w:w="270" w:type="dxa"/>
          </w:tcPr>
          <w:p w14:paraId="4DB794AA" w14:textId="77777777" w:rsidR="00034E07" w:rsidRPr="000D3DC5" w:rsidRDefault="00034E07" w:rsidP="00F67DB5">
            <w:pPr>
              <w:tabs>
                <w:tab w:val="right" w:pos="9180"/>
              </w:tabs>
              <w:ind w:right="-360"/>
            </w:pPr>
          </w:p>
        </w:tc>
        <w:tc>
          <w:tcPr>
            <w:tcW w:w="1530" w:type="dxa"/>
            <w:tcBorders>
              <w:top w:val="single" w:sz="4" w:space="0" w:color="auto"/>
              <w:bottom w:val="single" w:sz="4" w:space="0" w:color="auto"/>
            </w:tcBorders>
          </w:tcPr>
          <w:p w14:paraId="16CF0FE2" w14:textId="011301A7" w:rsidR="00034E07" w:rsidRPr="000D3DC5" w:rsidRDefault="00034E07" w:rsidP="00F67DB5">
            <w:pPr>
              <w:tabs>
                <w:tab w:val="decimal" w:pos="1152"/>
                <w:tab w:val="right" w:pos="9180"/>
              </w:tabs>
              <w:ind w:right="-18"/>
            </w:pPr>
            <w:r>
              <w:tab/>
              <w:t>4,752,056</w:t>
            </w:r>
          </w:p>
        </w:tc>
      </w:tr>
      <w:tr w:rsidR="00034E07" w:rsidRPr="000D3DC5" w14:paraId="773AF28B" w14:textId="77777777" w:rsidTr="00F67DB5">
        <w:tc>
          <w:tcPr>
            <w:tcW w:w="378" w:type="dxa"/>
          </w:tcPr>
          <w:p w14:paraId="5CAC6E43" w14:textId="77777777" w:rsidR="00034E07" w:rsidRPr="000D3DC5" w:rsidRDefault="00034E07" w:rsidP="00F67DB5">
            <w:pPr>
              <w:ind w:right="-360"/>
            </w:pPr>
          </w:p>
        </w:tc>
        <w:tc>
          <w:tcPr>
            <w:tcW w:w="450" w:type="dxa"/>
          </w:tcPr>
          <w:p w14:paraId="5E0EF4B4" w14:textId="77777777" w:rsidR="00034E07" w:rsidRPr="000D3DC5" w:rsidRDefault="00034E07" w:rsidP="00F67DB5">
            <w:pPr>
              <w:ind w:right="-360"/>
            </w:pPr>
          </w:p>
        </w:tc>
        <w:tc>
          <w:tcPr>
            <w:tcW w:w="450" w:type="dxa"/>
          </w:tcPr>
          <w:p w14:paraId="7ECE7A99" w14:textId="77777777" w:rsidR="00034E07" w:rsidRPr="000D3DC5" w:rsidRDefault="00034E07" w:rsidP="00F67DB5">
            <w:pPr>
              <w:ind w:right="-360"/>
            </w:pPr>
          </w:p>
        </w:tc>
        <w:tc>
          <w:tcPr>
            <w:tcW w:w="2160" w:type="dxa"/>
          </w:tcPr>
          <w:p w14:paraId="52423E49" w14:textId="77777777" w:rsidR="00034E07" w:rsidRPr="000D3DC5" w:rsidRDefault="00034E07" w:rsidP="00F67DB5">
            <w:pPr>
              <w:tabs>
                <w:tab w:val="right" w:pos="9180"/>
              </w:tabs>
              <w:ind w:right="-360"/>
            </w:pPr>
          </w:p>
        </w:tc>
        <w:tc>
          <w:tcPr>
            <w:tcW w:w="1530" w:type="dxa"/>
            <w:tcBorders>
              <w:top w:val="single" w:sz="4" w:space="0" w:color="auto"/>
            </w:tcBorders>
          </w:tcPr>
          <w:p w14:paraId="525C565A" w14:textId="77777777" w:rsidR="00034E07" w:rsidRPr="000D3DC5" w:rsidRDefault="00034E07" w:rsidP="00F67DB5">
            <w:pPr>
              <w:tabs>
                <w:tab w:val="right" w:pos="9180"/>
              </w:tabs>
              <w:ind w:right="-18"/>
            </w:pPr>
          </w:p>
        </w:tc>
        <w:tc>
          <w:tcPr>
            <w:tcW w:w="270" w:type="dxa"/>
          </w:tcPr>
          <w:p w14:paraId="3B69A0C0" w14:textId="77777777" w:rsidR="00034E07" w:rsidRPr="000D3DC5" w:rsidRDefault="00034E07" w:rsidP="00F67DB5">
            <w:pPr>
              <w:tabs>
                <w:tab w:val="right" w:pos="9180"/>
              </w:tabs>
              <w:ind w:right="-360"/>
            </w:pPr>
          </w:p>
        </w:tc>
        <w:tc>
          <w:tcPr>
            <w:tcW w:w="1440" w:type="dxa"/>
            <w:tcBorders>
              <w:top w:val="single" w:sz="4" w:space="0" w:color="auto"/>
            </w:tcBorders>
          </w:tcPr>
          <w:p w14:paraId="5E48A85C" w14:textId="77777777" w:rsidR="00034E07" w:rsidRPr="000D3DC5" w:rsidRDefault="00034E07" w:rsidP="00F67DB5">
            <w:pPr>
              <w:tabs>
                <w:tab w:val="right" w:pos="9180"/>
              </w:tabs>
              <w:ind w:right="-46"/>
            </w:pPr>
          </w:p>
        </w:tc>
        <w:tc>
          <w:tcPr>
            <w:tcW w:w="450" w:type="dxa"/>
          </w:tcPr>
          <w:p w14:paraId="246FBD9F" w14:textId="77777777" w:rsidR="00034E07" w:rsidRPr="000D3DC5" w:rsidRDefault="00034E07" w:rsidP="00F67DB5">
            <w:pPr>
              <w:tabs>
                <w:tab w:val="right" w:pos="9180"/>
              </w:tabs>
              <w:ind w:right="-360"/>
            </w:pPr>
          </w:p>
        </w:tc>
        <w:tc>
          <w:tcPr>
            <w:tcW w:w="1440" w:type="dxa"/>
            <w:tcBorders>
              <w:top w:val="single" w:sz="4" w:space="0" w:color="auto"/>
            </w:tcBorders>
          </w:tcPr>
          <w:p w14:paraId="6DCA3B53" w14:textId="77777777" w:rsidR="00034E07" w:rsidRPr="000D3DC5" w:rsidRDefault="00034E07" w:rsidP="00F67DB5">
            <w:pPr>
              <w:tabs>
                <w:tab w:val="right" w:pos="9180"/>
              </w:tabs>
              <w:ind w:right="-18"/>
            </w:pPr>
          </w:p>
        </w:tc>
        <w:tc>
          <w:tcPr>
            <w:tcW w:w="270" w:type="dxa"/>
          </w:tcPr>
          <w:p w14:paraId="0252D2B2" w14:textId="77777777" w:rsidR="00034E07" w:rsidRPr="000D3DC5" w:rsidRDefault="00034E07" w:rsidP="00F67DB5">
            <w:pPr>
              <w:tabs>
                <w:tab w:val="right" w:pos="9180"/>
              </w:tabs>
              <w:ind w:right="-360"/>
            </w:pPr>
          </w:p>
        </w:tc>
        <w:tc>
          <w:tcPr>
            <w:tcW w:w="1530" w:type="dxa"/>
            <w:tcBorders>
              <w:top w:val="single" w:sz="4" w:space="0" w:color="auto"/>
            </w:tcBorders>
          </w:tcPr>
          <w:p w14:paraId="3E69ADBD" w14:textId="77777777" w:rsidR="00034E07" w:rsidRPr="000D3DC5" w:rsidRDefault="00034E07" w:rsidP="00F67DB5">
            <w:pPr>
              <w:tabs>
                <w:tab w:val="right" w:pos="9180"/>
              </w:tabs>
              <w:ind w:right="-18"/>
            </w:pPr>
          </w:p>
        </w:tc>
      </w:tr>
      <w:tr w:rsidR="00034E07" w:rsidRPr="000D3DC5" w14:paraId="14E283D5" w14:textId="77777777" w:rsidTr="00F67DB5">
        <w:tc>
          <w:tcPr>
            <w:tcW w:w="3438" w:type="dxa"/>
            <w:gridSpan w:val="4"/>
          </w:tcPr>
          <w:p w14:paraId="2B77A8E5" w14:textId="77777777" w:rsidR="00034E07" w:rsidRPr="000D3DC5" w:rsidRDefault="00034E07" w:rsidP="00F67DB5">
            <w:pPr>
              <w:tabs>
                <w:tab w:val="right" w:pos="9180"/>
              </w:tabs>
              <w:ind w:right="-360"/>
            </w:pPr>
            <w:r>
              <w:t>L</w:t>
            </w:r>
            <w:r w:rsidRPr="000D3DC5">
              <w:t>oss from operations</w:t>
            </w:r>
          </w:p>
        </w:tc>
        <w:tc>
          <w:tcPr>
            <w:tcW w:w="1530" w:type="dxa"/>
          </w:tcPr>
          <w:p w14:paraId="28973056" w14:textId="23EB6536" w:rsidR="00034E07" w:rsidRPr="000D3DC5" w:rsidRDefault="00034E07" w:rsidP="00F67DB5">
            <w:pPr>
              <w:tabs>
                <w:tab w:val="decimal" w:pos="1152"/>
                <w:tab w:val="right" w:pos="9180"/>
              </w:tabs>
              <w:ind w:right="-18"/>
            </w:pPr>
            <w:r>
              <w:tab/>
            </w:r>
            <w:r w:rsidR="002C0F29">
              <w:t>(6,1</w:t>
            </w:r>
            <w:r w:rsidR="00793CD5">
              <w:t>78,821</w:t>
            </w:r>
            <w:r w:rsidR="002C0F29">
              <w:t>)</w:t>
            </w:r>
          </w:p>
        </w:tc>
        <w:tc>
          <w:tcPr>
            <w:tcW w:w="270" w:type="dxa"/>
          </w:tcPr>
          <w:p w14:paraId="4B26103C" w14:textId="77777777" w:rsidR="00034E07" w:rsidRPr="000D3DC5" w:rsidRDefault="00034E07" w:rsidP="00F67DB5">
            <w:pPr>
              <w:tabs>
                <w:tab w:val="right" w:pos="9180"/>
              </w:tabs>
              <w:ind w:right="-360"/>
            </w:pPr>
          </w:p>
        </w:tc>
        <w:tc>
          <w:tcPr>
            <w:tcW w:w="1440" w:type="dxa"/>
          </w:tcPr>
          <w:p w14:paraId="0E49A218" w14:textId="00AD184A" w:rsidR="00034E07" w:rsidRPr="000D3DC5" w:rsidRDefault="00034E07" w:rsidP="00F67DB5">
            <w:pPr>
              <w:tabs>
                <w:tab w:val="decimal" w:pos="1062"/>
                <w:tab w:val="right" w:pos="9180"/>
              </w:tabs>
              <w:ind w:right="-46"/>
            </w:pPr>
            <w:r>
              <w:tab/>
              <w:t>(2,242,488)</w:t>
            </w:r>
          </w:p>
        </w:tc>
        <w:tc>
          <w:tcPr>
            <w:tcW w:w="450" w:type="dxa"/>
          </w:tcPr>
          <w:p w14:paraId="39DC3375" w14:textId="77777777" w:rsidR="00034E07" w:rsidRPr="000D3DC5" w:rsidRDefault="00034E07" w:rsidP="00F67DB5">
            <w:pPr>
              <w:tabs>
                <w:tab w:val="right" w:pos="9180"/>
              </w:tabs>
              <w:ind w:right="-360"/>
            </w:pPr>
          </w:p>
        </w:tc>
        <w:tc>
          <w:tcPr>
            <w:tcW w:w="1440" w:type="dxa"/>
          </w:tcPr>
          <w:p w14:paraId="4FAEE6F2" w14:textId="129192F9" w:rsidR="00034E07" w:rsidRPr="000D3DC5" w:rsidRDefault="00034E07" w:rsidP="00F67DB5">
            <w:pPr>
              <w:tabs>
                <w:tab w:val="decimal" w:pos="1044"/>
                <w:tab w:val="right" w:pos="9180"/>
              </w:tabs>
              <w:ind w:right="-18"/>
            </w:pPr>
            <w:r w:rsidRPr="000D3DC5">
              <w:tab/>
            </w:r>
            <w:r w:rsidR="002C0F29">
              <w:t>(10,4</w:t>
            </w:r>
            <w:r w:rsidR="00793CD5">
              <w:t>49,435</w:t>
            </w:r>
            <w:r w:rsidR="002C0F29">
              <w:t>)</w:t>
            </w:r>
          </w:p>
        </w:tc>
        <w:tc>
          <w:tcPr>
            <w:tcW w:w="270" w:type="dxa"/>
          </w:tcPr>
          <w:p w14:paraId="03DEAAC8" w14:textId="77777777" w:rsidR="00034E07" w:rsidRPr="000D3DC5" w:rsidRDefault="00034E07" w:rsidP="00F67DB5">
            <w:pPr>
              <w:tabs>
                <w:tab w:val="right" w:pos="9180"/>
              </w:tabs>
              <w:ind w:right="-360"/>
            </w:pPr>
          </w:p>
        </w:tc>
        <w:tc>
          <w:tcPr>
            <w:tcW w:w="1530" w:type="dxa"/>
          </w:tcPr>
          <w:p w14:paraId="104A7E78" w14:textId="0E74B49A" w:rsidR="00034E07" w:rsidRPr="000D3DC5" w:rsidRDefault="00034E07" w:rsidP="00F67DB5">
            <w:pPr>
              <w:tabs>
                <w:tab w:val="decimal" w:pos="1152"/>
                <w:tab w:val="right" w:pos="9180"/>
              </w:tabs>
              <w:ind w:right="-18"/>
            </w:pPr>
            <w:r>
              <w:tab/>
              <w:t>(4,670,530)</w:t>
            </w:r>
          </w:p>
        </w:tc>
      </w:tr>
      <w:tr w:rsidR="00034E07" w:rsidRPr="000D3DC5" w14:paraId="2308D372" w14:textId="77777777" w:rsidTr="00F67DB5">
        <w:tc>
          <w:tcPr>
            <w:tcW w:w="378" w:type="dxa"/>
          </w:tcPr>
          <w:p w14:paraId="50E84BBC" w14:textId="77777777" w:rsidR="00034E07" w:rsidRPr="000D3DC5" w:rsidRDefault="00034E07" w:rsidP="00F67DB5">
            <w:pPr>
              <w:ind w:right="-360"/>
            </w:pPr>
          </w:p>
        </w:tc>
        <w:tc>
          <w:tcPr>
            <w:tcW w:w="450" w:type="dxa"/>
          </w:tcPr>
          <w:p w14:paraId="7AAE3E77" w14:textId="77777777" w:rsidR="00034E07" w:rsidRPr="000D3DC5" w:rsidRDefault="00034E07" w:rsidP="00F67DB5">
            <w:pPr>
              <w:ind w:right="-360"/>
            </w:pPr>
          </w:p>
        </w:tc>
        <w:tc>
          <w:tcPr>
            <w:tcW w:w="450" w:type="dxa"/>
          </w:tcPr>
          <w:p w14:paraId="099F4CE6" w14:textId="77777777" w:rsidR="00034E07" w:rsidRPr="000D3DC5" w:rsidRDefault="00034E07" w:rsidP="00F67DB5">
            <w:pPr>
              <w:ind w:right="-360"/>
            </w:pPr>
          </w:p>
        </w:tc>
        <w:tc>
          <w:tcPr>
            <w:tcW w:w="2160" w:type="dxa"/>
          </w:tcPr>
          <w:p w14:paraId="3F55DC29" w14:textId="77777777" w:rsidR="00034E07" w:rsidRPr="000D3DC5" w:rsidRDefault="00034E07" w:rsidP="00F67DB5">
            <w:pPr>
              <w:tabs>
                <w:tab w:val="right" w:pos="9180"/>
              </w:tabs>
              <w:ind w:right="-360"/>
            </w:pPr>
          </w:p>
        </w:tc>
        <w:tc>
          <w:tcPr>
            <w:tcW w:w="1530" w:type="dxa"/>
          </w:tcPr>
          <w:p w14:paraId="5BEBEB1B" w14:textId="77777777" w:rsidR="00034E07" w:rsidRPr="000D3DC5" w:rsidRDefault="00034E07" w:rsidP="00F67DB5">
            <w:pPr>
              <w:tabs>
                <w:tab w:val="right" w:pos="9180"/>
              </w:tabs>
              <w:ind w:right="-18"/>
            </w:pPr>
          </w:p>
        </w:tc>
        <w:tc>
          <w:tcPr>
            <w:tcW w:w="270" w:type="dxa"/>
          </w:tcPr>
          <w:p w14:paraId="04A75F53" w14:textId="77777777" w:rsidR="00034E07" w:rsidRPr="000D3DC5" w:rsidRDefault="00034E07" w:rsidP="00F67DB5">
            <w:pPr>
              <w:tabs>
                <w:tab w:val="right" w:pos="9180"/>
              </w:tabs>
              <w:ind w:right="-360"/>
            </w:pPr>
          </w:p>
        </w:tc>
        <w:tc>
          <w:tcPr>
            <w:tcW w:w="1440" w:type="dxa"/>
          </w:tcPr>
          <w:p w14:paraId="2400B7F0" w14:textId="77777777" w:rsidR="00034E07" w:rsidRPr="000D3DC5" w:rsidRDefault="00034E07" w:rsidP="00F67DB5">
            <w:pPr>
              <w:tabs>
                <w:tab w:val="right" w:pos="9180"/>
              </w:tabs>
              <w:ind w:right="-46"/>
            </w:pPr>
          </w:p>
        </w:tc>
        <w:tc>
          <w:tcPr>
            <w:tcW w:w="450" w:type="dxa"/>
          </w:tcPr>
          <w:p w14:paraId="4A9D4249" w14:textId="77777777" w:rsidR="00034E07" w:rsidRPr="000D3DC5" w:rsidRDefault="00034E07" w:rsidP="00F67DB5">
            <w:pPr>
              <w:tabs>
                <w:tab w:val="right" w:pos="9180"/>
              </w:tabs>
              <w:ind w:right="-360"/>
            </w:pPr>
          </w:p>
        </w:tc>
        <w:tc>
          <w:tcPr>
            <w:tcW w:w="1440" w:type="dxa"/>
          </w:tcPr>
          <w:p w14:paraId="0E04CB08" w14:textId="77777777" w:rsidR="00034E07" w:rsidRPr="000D3DC5" w:rsidRDefault="00034E07" w:rsidP="00F67DB5">
            <w:pPr>
              <w:tabs>
                <w:tab w:val="right" w:pos="9180"/>
              </w:tabs>
              <w:ind w:right="-18"/>
            </w:pPr>
          </w:p>
        </w:tc>
        <w:tc>
          <w:tcPr>
            <w:tcW w:w="270" w:type="dxa"/>
          </w:tcPr>
          <w:p w14:paraId="68EDA395" w14:textId="77777777" w:rsidR="00034E07" w:rsidRPr="000D3DC5" w:rsidRDefault="00034E07" w:rsidP="00F67DB5">
            <w:pPr>
              <w:tabs>
                <w:tab w:val="right" w:pos="9180"/>
              </w:tabs>
              <w:ind w:right="-360"/>
            </w:pPr>
          </w:p>
        </w:tc>
        <w:tc>
          <w:tcPr>
            <w:tcW w:w="1530" w:type="dxa"/>
          </w:tcPr>
          <w:p w14:paraId="7FA97560" w14:textId="77777777" w:rsidR="00034E07" w:rsidRPr="000D3DC5" w:rsidRDefault="00034E07" w:rsidP="00F67DB5">
            <w:pPr>
              <w:tabs>
                <w:tab w:val="right" w:pos="9180"/>
              </w:tabs>
              <w:ind w:right="-18"/>
            </w:pPr>
          </w:p>
        </w:tc>
      </w:tr>
      <w:tr w:rsidR="00034E07" w:rsidRPr="000D3DC5" w14:paraId="710D25B6" w14:textId="77777777" w:rsidTr="00F67DB5">
        <w:tc>
          <w:tcPr>
            <w:tcW w:w="3438" w:type="dxa"/>
            <w:gridSpan w:val="4"/>
          </w:tcPr>
          <w:p w14:paraId="24A481BA" w14:textId="7C115E28" w:rsidR="00034E07" w:rsidRPr="000D3DC5" w:rsidRDefault="00034E07" w:rsidP="00F67DB5">
            <w:pPr>
              <w:tabs>
                <w:tab w:val="right" w:pos="9180"/>
              </w:tabs>
              <w:ind w:right="-360"/>
            </w:pPr>
            <w:r>
              <w:t>Other income:</w:t>
            </w:r>
          </w:p>
        </w:tc>
        <w:tc>
          <w:tcPr>
            <w:tcW w:w="1530" w:type="dxa"/>
          </w:tcPr>
          <w:p w14:paraId="561170B8" w14:textId="77777777" w:rsidR="00034E07" w:rsidRPr="000D3DC5" w:rsidRDefault="00034E07" w:rsidP="00F67DB5">
            <w:pPr>
              <w:tabs>
                <w:tab w:val="decimal" w:pos="1062"/>
                <w:tab w:val="right" w:pos="9180"/>
              </w:tabs>
              <w:ind w:right="-18"/>
            </w:pPr>
          </w:p>
        </w:tc>
        <w:tc>
          <w:tcPr>
            <w:tcW w:w="270" w:type="dxa"/>
          </w:tcPr>
          <w:p w14:paraId="761E2CDD" w14:textId="77777777" w:rsidR="00034E07" w:rsidRPr="000D3DC5" w:rsidRDefault="00034E07" w:rsidP="00F67DB5">
            <w:pPr>
              <w:tabs>
                <w:tab w:val="right" w:pos="9180"/>
              </w:tabs>
              <w:ind w:right="-360"/>
            </w:pPr>
          </w:p>
        </w:tc>
        <w:tc>
          <w:tcPr>
            <w:tcW w:w="1440" w:type="dxa"/>
          </w:tcPr>
          <w:p w14:paraId="7EAC1B4F" w14:textId="77777777" w:rsidR="00034E07" w:rsidRPr="000D3DC5" w:rsidRDefault="00034E07" w:rsidP="00F67DB5">
            <w:pPr>
              <w:tabs>
                <w:tab w:val="decimal" w:pos="864"/>
                <w:tab w:val="right" w:pos="9180"/>
              </w:tabs>
              <w:ind w:right="-46"/>
            </w:pPr>
          </w:p>
        </w:tc>
        <w:tc>
          <w:tcPr>
            <w:tcW w:w="450" w:type="dxa"/>
          </w:tcPr>
          <w:p w14:paraId="2BA09DD0" w14:textId="77777777" w:rsidR="00034E07" w:rsidRPr="000D3DC5" w:rsidRDefault="00034E07" w:rsidP="00F67DB5">
            <w:pPr>
              <w:tabs>
                <w:tab w:val="right" w:pos="9180"/>
              </w:tabs>
              <w:ind w:right="-360"/>
            </w:pPr>
          </w:p>
        </w:tc>
        <w:tc>
          <w:tcPr>
            <w:tcW w:w="1440" w:type="dxa"/>
          </w:tcPr>
          <w:p w14:paraId="4BD2EEA2" w14:textId="77777777" w:rsidR="00034E07" w:rsidRPr="000D3DC5" w:rsidRDefault="00034E07" w:rsidP="00F67DB5">
            <w:pPr>
              <w:tabs>
                <w:tab w:val="decimal" w:pos="864"/>
                <w:tab w:val="right" w:pos="9180"/>
              </w:tabs>
              <w:ind w:right="-18"/>
            </w:pPr>
          </w:p>
        </w:tc>
        <w:tc>
          <w:tcPr>
            <w:tcW w:w="270" w:type="dxa"/>
          </w:tcPr>
          <w:p w14:paraId="76198DEC" w14:textId="77777777" w:rsidR="00034E07" w:rsidRPr="000D3DC5" w:rsidRDefault="00034E07" w:rsidP="00F67DB5">
            <w:pPr>
              <w:tabs>
                <w:tab w:val="right" w:pos="9180"/>
              </w:tabs>
              <w:ind w:right="-360"/>
            </w:pPr>
          </w:p>
        </w:tc>
        <w:tc>
          <w:tcPr>
            <w:tcW w:w="1530" w:type="dxa"/>
          </w:tcPr>
          <w:p w14:paraId="4D66851A" w14:textId="77777777" w:rsidR="00034E07" w:rsidRPr="000D3DC5" w:rsidRDefault="00034E07" w:rsidP="00F67DB5">
            <w:pPr>
              <w:tabs>
                <w:tab w:val="decimal" w:pos="864"/>
                <w:tab w:val="right" w:pos="9180"/>
              </w:tabs>
              <w:ind w:right="-18"/>
            </w:pPr>
          </w:p>
        </w:tc>
      </w:tr>
      <w:tr w:rsidR="00034E07" w:rsidRPr="000D3DC5" w14:paraId="23B68751" w14:textId="77777777" w:rsidTr="00F67DB5">
        <w:tc>
          <w:tcPr>
            <w:tcW w:w="378" w:type="dxa"/>
          </w:tcPr>
          <w:p w14:paraId="206CAD35" w14:textId="77777777" w:rsidR="00034E07" w:rsidRPr="000D3DC5" w:rsidRDefault="00034E07" w:rsidP="00F67DB5">
            <w:pPr>
              <w:ind w:right="-360"/>
            </w:pPr>
          </w:p>
        </w:tc>
        <w:tc>
          <w:tcPr>
            <w:tcW w:w="3060" w:type="dxa"/>
            <w:gridSpan w:val="3"/>
          </w:tcPr>
          <w:p w14:paraId="043D87ED" w14:textId="77777777" w:rsidR="00034E07" w:rsidRPr="000D3DC5" w:rsidRDefault="00034E07" w:rsidP="00F67DB5">
            <w:pPr>
              <w:tabs>
                <w:tab w:val="right" w:pos="9180"/>
              </w:tabs>
              <w:ind w:right="-360"/>
            </w:pPr>
            <w:r w:rsidRPr="000D3DC5">
              <w:t>Interest income</w:t>
            </w:r>
          </w:p>
        </w:tc>
        <w:tc>
          <w:tcPr>
            <w:tcW w:w="1530" w:type="dxa"/>
          </w:tcPr>
          <w:p w14:paraId="47942F04" w14:textId="470CCB6F" w:rsidR="00034E07" w:rsidRPr="000D3DC5" w:rsidRDefault="00034E07" w:rsidP="00F67DB5">
            <w:pPr>
              <w:tabs>
                <w:tab w:val="decimal" w:pos="1152"/>
                <w:tab w:val="right" w:pos="9180"/>
              </w:tabs>
              <w:ind w:right="-18"/>
            </w:pPr>
            <w:r w:rsidRPr="000D3DC5">
              <w:tab/>
            </w:r>
            <w:r w:rsidR="002C0F29">
              <w:t>251,201</w:t>
            </w:r>
          </w:p>
        </w:tc>
        <w:tc>
          <w:tcPr>
            <w:tcW w:w="270" w:type="dxa"/>
          </w:tcPr>
          <w:p w14:paraId="1ADC94D5" w14:textId="77777777" w:rsidR="00034E07" w:rsidRPr="000D3DC5" w:rsidRDefault="00034E07" w:rsidP="00F67DB5">
            <w:pPr>
              <w:tabs>
                <w:tab w:val="right" w:pos="9180"/>
              </w:tabs>
              <w:ind w:right="-360"/>
            </w:pPr>
          </w:p>
        </w:tc>
        <w:tc>
          <w:tcPr>
            <w:tcW w:w="1440" w:type="dxa"/>
          </w:tcPr>
          <w:p w14:paraId="1B4663D5" w14:textId="6DC43FEB" w:rsidR="00034E07" w:rsidRPr="000D3DC5" w:rsidRDefault="00034E07" w:rsidP="00F67DB5">
            <w:pPr>
              <w:tabs>
                <w:tab w:val="decimal" w:pos="1062"/>
                <w:tab w:val="right" w:pos="9180"/>
              </w:tabs>
              <w:ind w:right="-46"/>
            </w:pPr>
            <w:r w:rsidRPr="000D3DC5">
              <w:tab/>
            </w:r>
            <w:r>
              <w:t>789</w:t>
            </w:r>
          </w:p>
        </w:tc>
        <w:tc>
          <w:tcPr>
            <w:tcW w:w="450" w:type="dxa"/>
          </w:tcPr>
          <w:p w14:paraId="76709B8C" w14:textId="77777777" w:rsidR="00034E07" w:rsidRPr="000D3DC5" w:rsidRDefault="00034E07" w:rsidP="00F67DB5">
            <w:pPr>
              <w:tabs>
                <w:tab w:val="right" w:pos="9180"/>
              </w:tabs>
              <w:ind w:right="-360"/>
            </w:pPr>
          </w:p>
        </w:tc>
        <w:tc>
          <w:tcPr>
            <w:tcW w:w="1440" w:type="dxa"/>
          </w:tcPr>
          <w:p w14:paraId="590C3A67" w14:textId="0CBDF67C" w:rsidR="00034E07" w:rsidRPr="000D3DC5" w:rsidRDefault="00034E07" w:rsidP="00F67DB5">
            <w:pPr>
              <w:tabs>
                <w:tab w:val="decimal" w:pos="1062"/>
                <w:tab w:val="right" w:pos="9180"/>
              </w:tabs>
              <w:ind w:right="-18"/>
            </w:pPr>
            <w:r w:rsidRPr="000D3DC5">
              <w:tab/>
            </w:r>
            <w:r w:rsidR="002C0F29">
              <w:t>483,899</w:t>
            </w:r>
          </w:p>
        </w:tc>
        <w:tc>
          <w:tcPr>
            <w:tcW w:w="270" w:type="dxa"/>
          </w:tcPr>
          <w:p w14:paraId="452954AA" w14:textId="77777777" w:rsidR="00034E07" w:rsidRPr="000D3DC5" w:rsidRDefault="00034E07" w:rsidP="00F67DB5">
            <w:pPr>
              <w:tabs>
                <w:tab w:val="right" w:pos="9180"/>
              </w:tabs>
              <w:ind w:right="-360"/>
            </w:pPr>
          </w:p>
        </w:tc>
        <w:tc>
          <w:tcPr>
            <w:tcW w:w="1530" w:type="dxa"/>
          </w:tcPr>
          <w:p w14:paraId="5DA1D007" w14:textId="34F2B83B" w:rsidR="00034E07" w:rsidRPr="000D3DC5" w:rsidRDefault="00034E07" w:rsidP="00F67DB5">
            <w:pPr>
              <w:tabs>
                <w:tab w:val="decimal" w:pos="1152"/>
                <w:tab w:val="right" w:pos="9180"/>
              </w:tabs>
              <w:ind w:right="-18"/>
            </w:pPr>
            <w:r w:rsidRPr="000D3DC5">
              <w:tab/>
            </w:r>
            <w:r>
              <w:t>1,316</w:t>
            </w:r>
          </w:p>
        </w:tc>
      </w:tr>
      <w:tr w:rsidR="00034E07" w:rsidRPr="000D3DC5" w14:paraId="223FB3B8" w14:textId="77777777" w:rsidTr="00F67DB5">
        <w:tc>
          <w:tcPr>
            <w:tcW w:w="378" w:type="dxa"/>
          </w:tcPr>
          <w:p w14:paraId="3315B1EC" w14:textId="77777777" w:rsidR="00034E07" w:rsidRPr="000D3DC5" w:rsidRDefault="00034E07" w:rsidP="00F67DB5">
            <w:pPr>
              <w:ind w:right="-360"/>
            </w:pPr>
          </w:p>
        </w:tc>
        <w:tc>
          <w:tcPr>
            <w:tcW w:w="450" w:type="dxa"/>
          </w:tcPr>
          <w:p w14:paraId="625785D8" w14:textId="77777777" w:rsidR="00034E07" w:rsidRPr="000D3DC5" w:rsidRDefault="00034E07" w:rsidP="00F67DB5">
            <w:pPr>
              <w:ind w:right="-360"/>
            </w:pPr>
          </w:p>
        </w:tc>
        <w:tc>
          <w:tcPr>
            <w:tcW w:w="450" w:type="dxa"/>
          </w:tcPr>
          <w:p w14:paraId="52B6AAE0" w14:textId="77777777" w:rsidR="00034E07" w:rsidRPr="000D3DC5" w:rsidRDefault="00034E07" w:rsidP="00F67DB5">
            <w:pPr>
              <w:ind w:right="-360"/>
            </w:pPr>
          </w:p>
        </w:tc>
        <w:tc>
          <w:tcPr>
            <w:tcW w:w="2160" w:type="dxa"/>
          </w:tcPr>
          <w:p w14:paraId="44C6336F" w14:textId="77777777" w:rsidR="00034E07" w:rsidRPr="000D3DC5" w:rsidRDefault="00034E07" w:rsidP="00F67DB5">
            <w:pPr>
              <w:tabs>
                <w:tab w:val="right" w:pos="9180"/>
              </w:tabs>
              <w:ind w:right="-360"/>
            </w:pPr>
          </w:p>
        </w:tc>
        <w:tc>
          <w:tcPr>
            <w:tcW w:w="1530" w:type="dxa"/>
            <w:tcBorders>
              <w:top w:val="single" w:sz="4" w:space="0" w:color="auto"/>
            </w:tcBorders>
          </w:tcPr>
          <w:p w14:paraId="02AFFDEC" w14:textId="77777777" w:rsidR="00034E07" w:rsidRPr="000D3DC5" w:rsidRDefault="00034E07" w:rsidP="00F67DB5">
            <w:pPr>
              <w:tabs>
                <w:tab w:val="right" w:pos="9180"/>
              </w:tabs>
              <w:ind w:right="-18"/>
            </w:pPr>
          </w:p>
        </w:tc>
        <w:tc>
          <w:tcPr>
            <w:tcW w:w="270" w:type="dxa"/>
          </w:tcPr>
          <w:p w14:paraId="34ACFCFC" w14:textId="77777777" w:rsidR="00034E07" w:rsidRPr="000D3DC5" w:rsidRDefault="00034E07" w:rsidP="00F67DB5">
            <w:pPr>
              <w:tabs>
                <w:tab w:val="right" w:pos="9180"/>
              </w:tabs>
              <w:ind w:right="-360"/>
            </w:pPr>
          </w:p>
        </w:tc>
        <w:tc>
          <w:tcPr>
            <w:tcW w:w="1440" w:type="dxa"/>
            <w:tcBorders>
              <w:top w:val="single" w:sz="4" w:space="0" w:color="auto"/>
            </w:tcBorders>
          </w:tcPr>
          <w:p w14:paraId="6B721681" w14:textId="77777777" w:rsidR="00034E07" w:rsidRPr="000D3DC5" w:rsidRDefault="00034E07" w:rsidP="00F67DB5">
            <w:pPr>
              <w:tabs>
                <w:tab w:val="right" w:pos="9180"/>
              </w:tabs>
              <w:ind w:right="-46"/>
            </w:pPr>
          </w:p>
        </w:tc>
        <w:tc>
          <w:tcPr>
            <w:tcW w:w="450" w:type="dxa"/>
          </w:tcPr>
          <w:p w14:paraId="12D6443C" w14:textId="77777777" w:rsidR="00034E07" w:rsidRPr="000D3DC5" w:rsidRDefault="00034E07" w:rsidP="00F67DB5">
            <w:pPr>
              <w:tabs>
                <w:tab w:val="right" w:pos="9180"/>
              </w:tabs>
              <w:ind w:right="-360"/>
            </w:pPr>
          </w:p>
        </w:tc>
        <w:tc>
          <w:tcPr>
            <w:tcW w:w="1440" w:type="dxa"/>
            <w:tcBorders>
              <w:top w:val="single" w:sz="4" w:space="0" w:color="auto"/>
            </w:tcBorders>
          </w:tcPr>
          <w:p w14:paraId="41045E88" w14:textId="77777777" w:rsidR="00034E07" w:rsidRPr="000D3DC5" w:rsidRDefault="00034E07" w:rsidP="00F67DB5">
            <w:pPr>
              <w:tabs>
                <w:tab w:val="right" w:pos="9180"/>
              </w:tabs>
              <w:ind w:right="-18"/>
            </w:pPr>
          </w:p>
        </w:tc>
        <w:tc>
          <w:tcPr>
            <w:tcW w:w="270" w:type="dxa"/>
          </w:tcPr>
          <w:p w14:paraId="5FAB4BBD" w14:textId="77777777" w:rsidR="00034E07" w:rsidRPr="000D3DC5" w:rsidRDefault="00034E07" w:rsidP="00F67DB5">
            <w:pPr>
              <w:tabs>
                <w:tab w:val="right" w:pos="9180"/>
              </w:tabs>
              <w:ind w:right="-360"/>
            </w:pPr>
          </w:p>
        </w:tc>
        <w:tc>
          <w:tcPr>
            <w:tcW w:w="1530" w:type="dxa"/>
            <w:tcBorders>
              <w:top w:val="single" w:sz="4" w:space="0" w:color="auto"/>
            </w:tcBorders>
          </w:tcPr>
          <w:p w14:paraId="498584AD" w14:textId="77777777" w:rsidR="00034E07" w:rsidRPr="000D3DC5" w:rsidRDefault="00034E07" w:rsidP="00F67DB5">
            <w:pPr>
              <w:tabs>
                <w:tab w:val="right" w:pos="9180"/>
              </w:tabs>
              <w:ind w:right="-18"/>
            </w:pPr>
          </w:p>
        </w:tc>
      </w:tr>
      <w:tr w:rsidR="00034E07" w:rsidRPr="000D3DC5" w14:paraId="2CC57F00" w14:textId="77777777" w:rsidTr="00F67DB5">
        <w:tc>
          <w:tcPr>
            <w:tcW w:w="3438" w:type="dxa"/>
            <w:gridSpan w:val="4"/>
          </w:tcPr>
          <w:p w14:paraId="00DE6FA4" w14:textId="77777777" w:rsidR="00034E07" w:rsidRPr="000D3DC5" w:rsidRDefault="00034E07" w:rsidP="00F67DB5">
            <w:pPr>
              <w:tabs>
                <w:tab w:val="right" w:pos="9180"/>
              </w:tabs>
              <w:ind w:right="-360"/>
            </w:pPr>
            <w:r>
              <w:t>Net loss</w:t>
            </w:r>
          </w:p>
        </w:tc>
        <w:tc>
          <w:tcPr>
            <w:tcW w:w="1530" w:type="dxa"/>
            <w:tcBorders>
              <w:bottom w:val="double" w:sz="4" w:space="0" w:color="auto"/>
            </w:tcBorders>
          </w:tcPr>
          <w:p w14:paraId="706D993A" w14:textId="0090CD61" w:rsidR="00034E07" w:rsidRPr="000D3DC5" w:rsidRDefault="00034E07" w:rsidP="00F67DB5">
            <w:pPr>
              <w:tabs>
                <w:tab w:val="decimal" w:pos="1152"/>
                <w:tab w:val="right" w:pos="9180"/>
              </w:tabs>
              <w:ind w:right="-18"/>
            </w:pPr>
            <w:r w:rsidRPr="000D3DC5">
              <w:t>$</w:t>
            </w:r>
            <w:r w:rsidRPr="000D3DC5">
              <w:tab/>
            </w:r>
            <w:r w:rsidR="002C0F29">
              <w:t>(5,</w:t>
            </w:r>
            <w:r w:rsidR="00793CD5">
              <w:t>927,620</w:t>
            </w:r>
            <w:r w:rsidR="002C0F29">
              <w:t>)</w:t>
            </w:r>
          </w:p>
        </w:tc>
        <w:tc>
          <w:tcPr>
            <w:tcW w:w="270" w:type="dxa"/>
          </w:tcPr>
          <w:p w14:paraId="379C3E2F" w14:textId="77777777" w:rsidR="00034E07" w:rsidRPr="000D3DC5" w:rsidRDefault="00034E07" w:rsidP="00F67DB5">
            <w:pPr>
              <w:tabs>
                <w:tab w:val="right" w:pos="9180"/>
              </w:tabs>
              <w:ind w:right="-360"/>
            </w:pPr>
          </w:p>
        </w:tc>
        <w:tc>
          <w:tcPr>
            <w:tcW w:w="1440" w:type="dxa"/>
            <w:tcBorders>
              <w:bottom w:val="double" w:sz="4" w:space="0" w:color="auto"/>
            </w:tcBorders>
          </w:tcPr>
          <w:p w14:paraId="000A56B0" w14:textId="7174512C" w:rsidR="00034E07" w:rsidRPr="000D3DC5" w:rsidRDefault="00034E07" w:rsidP="00F67DB5">
            <w:pPr>
              <w:tabs>
                <w:tab w:val="decimal" w:pos="1062"/>
                <w:tab w:val="right" w:pos="9180"/>
              </w:tabs>
              <w:ind w:right="-46"/>
            </w:pPr>
            <w:r>
              <w:t>$</w:t>
            </w:r>
            <w:r>
              <w:tab/>
              <w:t>(2,241,699)</w:t>
            </w:r>
          </w:p>
        </w:tc>
        <w:tc>
          <w:tcPr>
            <w:tcW w:w="450" w:type="dxa"/>
          </w:tcPr>
          <w:p w14:paraId="27AC4799" w14:textId="77777777" w:rsidR="00034E07" w:rsidRPr="000D3DC5" w:rsidRDefault="00034E07" w:rsidP="00F67DB5">
            <w:pPr>
              <w:tabs>
                <w:tab w:val="right" w:pos="9180"/>
              </w:tabs>
              <w:ind w:right="-360"/>
            </w:pPr>
          </w:p>
        </w:tc>
        <w:tc>
          <w:tcPr>
            <w:tcW w:w="1440" w:type="dxa"/>
            <w:tcBorders>
              <w:bottom w:val="double" w:sz="4" w:space="0" w:color="auto"/>
            </w:tcBorders>
          </w:tcPr>
          <w:p w14:paraId="17439220" w14:textId="41663537" w:rsidR="00034E07" w:rsidRPr="000D3DC5" w:rsidRDefault="00034E07" w:rsidP="00F67DB5">
            <w:pPr>
              <w:tabs>
                <w:tab w:val="decimal" w:pos="1044"/>
                <w:tab w:val="right" w:pos="9180"/>
              </w:tabs>
              <w:ind w:right="-18"/>
            </w:pPr>
            <w:r w:rsidRPr="000D3DC5">
              <w:t>$</w:t>
            </w:r>
            <w:r w:rsidRPr="000D3DC5">
              <w:tab/>
            </w:r>
            <w:r w:rsidR="002C0F29">
              <w:t>(9,</w:t>
            </w:r>
            <w:r w:rsidR="00793CD5">
              <w:t>965,536</w:t>
            </w:r>
            <w:r w:rsidR="002C0F29">
              <w:t>)</w:t>
            </w:r>
          </w:p>
        </w:tc>
        <w:tc>
          <w:tcPr>
            <w:tcW w:w="270" w:type="dxa"/>
          </w:tcPr>
          <w:p w14:paraId="16499910" w14:textId="77777777" w:rsidR="00034E07" w:rsidRPr="000D3DC5" w:rsidRDefault="00034E07" w:rsidP="00F67DB5">
            <w:pPr>
              <w:tabs>
                <w:tab w:val="right" w:pos="9180"/>
              </w:tabs>
              <w:ind w:right="-360"/>
            </w:pPr>
          </w:p>
        </w:tc>
        <w:tc>
          <w:tcPr>
            <w:tcW w:w="1530" w:type="dxa"/>
            <w:tcBorders>
              <w:bottom w:val="double" w:sz="4" w:space="0" w:color="auto"/>
            </w:tcBorders>
          </w:tcPr>
          <w:p w14:paraId="2081C093" w14:textId="63AAA4AE" w:rsidR="00034E07" w:rsidRPr="000D3DC5" w:rsidRDefault="00034E07" w:rsidP="00F67DB5">
            <w:pPr>
              <w:tabs>
                <w:tab w:val="decimal" w:pos="1152"/>
                <w:tab w:val="right" w:pos="9180"/>
              </w:tabs>
              <w:ind w:right="-18"/>
            </w:pPr>
            <w:r>
              <w:t>$</w:t>
            </w:r>
            <w:r>
              <w:tab/>
              <w:t>(4,669,214)</w:t>
            </w:r>
          </w:p>
        </w:tc>
      </w:tr>
      <w:tr w:rsidR="00034E07" w:rsidRPr="000D3DC5" w14:paraId="6C56ED69" w14:textId="77777777" w:rsidTr="00F67DB5">
        <w:tc>
          <w:tcPr>
            <w:tcW w:w="378" w:type="dxa"/>
          </w:tcPr>
          <w:p w14:paraId="2FA5F44C" w14:textId="77777777" w:rsidR="00034E07" w:rsidRPr="000D3DC5" w:rsidRDefault="00034E07" w:rsidP="00F67DB5">
            <w:pPr>
              <w:ind w:right="-360"/>
            </w:pPr>
          </w:p>
        </w:tc>
        <w:tc>
          <w:tcPr>
            <w:tcW w:w="450" w:type="dxa"/>
          </w:tcPr>
          <w:p w14:paraId="0C99E486" w14:textId="77777777" w:rsidR="00034E07" w:rsidRPr="000D3DC5" w:rsidRDefault="00034E07" w:rsidP="00F67DB5">
            <w:pPr>
              <w:ind w:right="-360"/>
            </w:pPr>
          </w:p>
        </w:tc>
        <w:tc>
          <w:tcPr>
            <w:tcW w:w="450" w:type="dxa"/>
          </w:tcPr>
          <w:p w14:paraId="06E0A527" w14:textId="77777777" w:rsidR="00034E07" w:rsidRPr="000D3DC5" w:rsidRDefault="00034E07" w:rsidP="00F67DB5">
            <w:pPr>
              <w:ind w:right="-360"/>
            </w:pPr>
          </w:p>
        </w:tc>
        <w:tc>
          <w:tcPr>
            <w:tcW w:w="2160" w:type="dxa"/>
          </w:tcPr>
          <w:p w14:paraId="732C6CAE" w14:textId="77777777" w:rsidR="00034E07" w:rsidRPr="000D3DC5" w:rsidRDefault="00034E07" w:rsidP="00F67DB5">
            <w:pPr>
              <w:tabs>
                <w:tab w:val="right" w:pos="9180"/>
              </w:tabs>
              <w:ind w:right="-360"/>
            </w:pPr>
          </w:p>
        </w:tc>
        <w:tc>
          <w:tcPr>
            <w:tcW w:w="1530" w:type="dxa"/>
          </w:tcPr>
          <w:p w14:paraId="0A52532A" w14:textId="77777777" w:rsidR="00034E07" w:rsidRPr="000D3DC5" w:rsidRDefault="00034E07" w:rsidP="00F67DB5">
            <w:pPr>
              <w:tabs>
                <w:tab w:val="right" w:pos="9180"/>
              </w:tabs>
              <w:ind w:right="-18"/>
            </w:pPr>
          </w:p>
        </w:tc>
        <w:tc>
          <w:tcPr>
            <w:tcW w:w="270" w:type="dxa"/>
          </w:tcPr>
          <w:p w14:paraId="134D20CB" w14:textId="77777777" w:rsidR="00034E07" w:rsidRPr="000D3DC5" w:rsidRDefault="00034E07" w:rsidP="00F67DB5">
            <w:pPr>
              <w:tabs>
                <w:tab w:val="right" w:pos="9180"/>
              </w:tabs>
              <w:ind w:right="-360"/>
            </w:pPr>
          </w:p>
        </w:tc>
        <w:tc>
          <w:tcPr>
            <w:tcW w:w="1440" w:type="dxa"/>
          </w:tcPr>
          <w:p w14:paraId="10EFB782" w14:textId="77777777" w:rsidR="00034E07" w:rsidRPr="000D3DC5" w:rsidRDefault="00034E07" w:rsidP="00F67DB5">
            <w:pPr>
              <w:tabs>
                <w:tab w:val="right" w:pos="9180"/>
              </w:tabs>
              <w:ind w:right="-46"/>
            </w:pPr>
          </w:p>
        </w:tc>
        <w:tc>
          <w:tcPr>
            <w:tcW w:w="450" w:type="dxa"/>
          </w:tcPr>
          <w:p w14:paraId="575FACB3" w14:textId="77777777" w:rsidR="00034E07" w:rsidRPr="000D3DC5" w:rsidRDefault="00034E07" w:rsidP="00F67DB5">
            <w:pPr>
              <w:tabs>
                <w:tab w:val="right" w:pos="9180"/>
              </w:tabs>
              <w:ind w:right="-360"/>
            </w:pPr>
          </w:p>
        </w:tc>
        <w:tc>
          <w:tcPr>
            <w:tcW w:w="1440" w:type="dxa"/>
          </w:tcPr>
          <w:p w14:paraId="0C712AE5" w14:textId="77777777" w:rsidR="00034E07" w:rsidRPr="000D3DC5" w:rsidRDefault="00034E07" w:rsidP="00F67DB5">
            <w:pPr>
              <w:tabs>
                <w:tab w:val="right" w:pos="9180"/>
              </w:tabs>
              <w:ind w:right="-18"/>
            </w:pPr>
          </w:p>
        </w:tc>
        <w:tc>
          <w:tcPr>
            <w:tcW w:w="270" w:type="dxa"/>
          </w:tcPr>
          <w:p w14:paraId="6C873AD3" w14:textId="77777777" w:rsidR="00034E07" w:rsidRPr="000D3DC5" w:rsidRDefault="00034E07" w:rsidP="00F67DB5">
            <w:pPr>
              <w:tabs>
                <w:tab w:val="right" w:pos="9180"/>
              </w:tabs>
              <w:ind w:right="-360"/>
            </w:pPr>
          </w:p>
        </w:tc>
        <w:tc>
          <w:tcPr>
            <w:tcW w:w="1530" w:type="dxa"/>
          </w:tcPr>
          <w:p w14:paraId="1AE8B43B" w14:textId="77777777" w:rsidR="00034E07" w:rsidRPr="000D3DC5" w:rsidRDefault="00034E07" w:rsidP="00F67DB5">
            <w:pPr>
              <w:tabs>
                <w:tab w:val="right" w:pos="9180"/>
              </w:tabs>
              <w:ind w:right="-18"/>
            </w:pPr>
          </w:p>
        </w:tc>
      </w:tr>
      <w:tr w:rsidR="00034E07" w:rsidRPr="000D3DC5" w14:paraId="55C28C4D" w14:textId="77777777" w:rsidTr="00F67DB5">
        <w:tc>
          <w:tcPr>
            <w:tcW w:w="3438" w:type="dxa"/>
            <w:gridSpan w:val="4"/>
          </w:tcPr>
          <w:p w14:paraId="5DDEB4E7" w14:textId="77777777" w:rsidR="00034E07" w:rsidRPr="000D3DC5" w:rsidRDefault="00034E07" w:rsidP="00F67DB5">
            <w:pPr>
              <w:tabs>
                <w:tab w:val="right" w:pos="9180"/>
              </w:tabs>
              <w:ind w:right="-360"/>
            </w:pPr>
            <w:r w:rsidRPr="000D3DC5">
              <w:t>Basic and diluted:</w:t>
            </w:r>
          </w:p>
        </w:tc>
        <w:tc>
          <w:tcPr>
            <w:tcW w:w="1530" w:type="dxa"/>
          </w:tcPr>
          <w:p w14:paraId="43CEE127" w14:textId="77777777" w:rsidR="00034E07" w:rsidRPr="000D3DC5" w:rsidRDefault="00034E07" w:rsidP="00F67DB5">
            <w:pPr>
              <w:tabs>
                <w:tab w:val="decimal" w:pos="792"/>
                <w:tab w:val="right" w:pos="9180"/>
              </w:tabs>
              <w:ind w:right="-18"/>
            </w:pPr>
          </w:p>
        </w:tc>
        <w:tc>
          <w:tcPr>
            <w:tcW w:w="270" w:type="dxa"/>
          </w:tcPr>
          <w:p w14:paraId="72A069D6" w14:textId="77777777" w:rsidR="00034E07" w:rsidRPr="000D3DC5" w:rsidRDefault="00034E07" w:rsidP="00F67DB5">
            <w:pPr>
              <w:tabs>
                <w:tab w:val="right" w:pos="9180"/>
              </w:tabs>
              <w:ind w:right="-360"/>
            </w:pPr>
          </w:p>
        </w:tc>
        <w:tc>
          <w:tcPr>
            <w:tcW w:w="1440" w:type="dxa"/>
          </w:tcPr>
          <w:p w14:paraId="0F091A53" w14:textId="77777777" w:rsidR="00034E07" w:rsidRPr="00F31ABA" w:rsidRDefault="00034E07" w:rsidP="00F67DB5">
            <w:pPr>
              <w:tabs>
                <w:tab w:val="decimal" w:pos="612"/>
                <w:tab w:val="right" w:pos="9180"/>
              </w:tabs>
              <w:ind w:right="-46"/>
            </w:pPr>
          </w:p>
        </w:tc>
        <w:tc>
          <w:tcPr>
            <w:tcW w:w="450" w:type="dxa"/>
          </w:tcPr>
          <w:p w14:paraId="6B43A510" w14:textId="77777777" w:rsidR="00034E07" w:rsidRPr="00F31ABA" w:rsidRDefault="00034E07" w:rsidP="00F67DB5">
            <w:pPr>
              <w:tabs>
                <w:tab w:val="right" w:pos="9180"/>
              </w:tabs>
              <w:ind w:right="-360"/>
            </w:pPr>
          </w:p>
        </w:tc>
        <w:tc>
          <w:tcPr>
            <w:tcW w:w="1440" w:type="dxa"/>
          </w:tcPr>
          <w:p w14:paraId="1D203885" w14:textId="77777777" w:rsidR="00034E07" w:rsidRPr="00F31ABA" w:rsidRDefault="00034E07" w:rsidP="00F67DB5">
            <w:pPr>
              <w:tabs>
                <w:tab w:val="decimal" w:pos="792"/>
                <w:tab w:val="right" w:pos="9180"/>
              </w:tabs>
              <w:ind w:right="-18"/>
            </w:pPr>
          </w:p>
        </w:tc>
        <w:tc>
          <w:tcPr>
            <w:tcW w:w="270" w:type="dxa"/>
          </w:tcPr>
          <w:p w14:paraId="78251AC2" w14:textId="77777777" w:rsidR="00034E07" w:rsidRPr="00F31ABA" w:rsidRDefault="00034E07" w:rsidP="00F67DB5">
            <w:pPr>
              <w:tabs>
                <w:tab w:val="right" w:pos="9180"/>
              </w:tabs>
              <w:ind w:right="-360"/>
            </w:pPr>
          </w:p>
        </w:tc>
        <w:tc>
          <w:tcPr>
            <w:tcW w:w="1530" w:type="dxa"/>
          </w:tcPr>
          <w:p w14:paraId="42807984" w14:textId="77777777" w:rsidR="00034E07" w:rsidRPr="00F31ABA" w:rsidRDefault="00034E07" w:rsidP="00F67DB5">
            <w:pPr>
              <w:tabs>
                <w:tab w:val="decimal" w:pos="702"/>
                <w:tab w:val="right" w:pos="9180"/>
              </w:tabs>
              <w:ind w:right="-18"/>
            </w:pPr>
          </w:p>
        </w:tc>
      </w:tr>
      <w:tr w:rsidR="00034E07" w:rsidRPr="000D3DC5" w14:paraId="416FAB3D" w14:textId="77777777" w:rsidTr="00F67DB5">
        <w:tc>
          <w:tcPr>
            <w:tcW w:w="3438" w:type="dxa"/>
            <w:gridSpan w:val="4"/>
          </w:tcPr>
          <w:p w14:paraId="238D4D87" w14:textId="77777777" w:rsidR="00034E07" w:rsidRPr="00342196" w:rsidRDefault="00034E07" w:rsidP="00F67DB5">
            <w:pPr>
              <w:tabs>
                <w:tab w:val="right" w:pos="9180"/>
              </w:tabs>
              <w:ind w:right="-360"/>
            </w:pPr>
            <w:r>
              <w:t xml:space="preserve">  Net l</w:t>
            </w:r>
            <w:r w:rsidRPr="00342196">
              <w:t>oss per common share</w:t>
            </w:r>
          </w:p>
        </w:tc>
        <w:tc>
          <w:tcPr>
            <w:tcW w:w="1530" w:type="dxa"/>
          </w:tcPr>
          <w:p w14:paraId="7EE3E890" w14:textId="2C51EC80" w:rsidR="00034E07" w:rsidRPr="00342196" w:rsidRDefault="00034E07" w:rsidP="00F67DB5">
            <w:pPr>
              <w:tabs>
                <w:tab w:val="decimal" w:pos="882"/>
                <w:tab w:val="right" w:pos="9180"/>
              </w:tabs>
              <w:ind w:right="-18"/>
            </w:pPr>
            <w:r w:rsidRPr="00342196">
              <w:t>$</w:t>
            </w:r>
            <w:r w:rsidRPr="00342196">
              <w:tab/>
            </w:r>
            <w:r w:rsidR="002C0F29">
              <w:t>(0.22)</w:t>
            </w:r>
          </w:p>
        </w:tc>
        <w:tc>
          <w:tcPr>
            <w:tcW w:w="270" w:type="dxa"/>
          </w:tcPr>
          <w:p w14:paraId="085DE92E" w14:textId="77777777" w:rsidR="00034E07" w:rsidRPr="00342196" w:rsidRDefault="00034E07" w:rsidP="00F67DB5">
            <w:pPr>
              <w:tabs>
                <w:tab w:val="right" w:pos="9180"/>
              </w:tabs>
              <w:ind w:right="-360"/>
            </w:pPr>
          </w:p>
        </w:tc>
        <w:tc>
          <w:tcPr>
            <w:tcW w:w="1440" w:type="dxa"/>
          </w:tcPr>
          <w:p w14:paraId="15C74FC6" w14:textId="5F07C0FA" w:rsidR="00034E07" w:rsidRPr="006E6EBD" w:rsidRDefault="00034E07" w:rsidP="00F67DB5">
            <w:pPr>
              <w:tabs>
                <w:tab w:val="decimal" w:pos="792"/>
                <w:tab w:val="right" w:pos="9180"/>
              </w:tabs>
              <w:ind w:right="-46"/>
            </w:pPr>
            <w:r w:rsidRPr="006E6EBD">
              <w:t>$</w:t>
            </w:r>
            <w:r w:rsidRPr="006E6EBD">
              <w:tab/>
              <w:t>(0.</w:t>
            </w:r>
            <w:r>
              <w:t>18</w:t>
            </w:r>
            <w:r w:rsidRPr="006E6EBD">
              <w:t>)</w:t>
            </w:r>
          </w:p>
        </w:tc>
        <w:tc>
          <w:tcPr>
            <w:tcW w:w="450" w:type="dxa"/>
          </w:tcPr>
          <w:p w14:paraId="1A4C0C0A" w14:textId="77777777" w:rsidR="00034E07" w:rsidRPr="006E6EBD" w:rsidRDefault="00034E07" w:rsidP="00F67DB5">
            <w:pPr>
              <w:tabs>
                <w:tab w:val="right" w:pos="9180"/>
              </w:tabs>
              <w:ind w:right="-360"/>
            </w:pPr>
          </w:p>
        </w:tc>
        <w:tc>
          <w:tcPr>
            <w:tcW w:w="1440" w:type="dxa"/>
          </w:tcPr>
          <w:p w14:paraId="72769C71" w14:textId="106F90B5" w:rsidR="00034E07" w:rsidRPr="006E6EBD" w:rsidRDefault="00034E07" w:rsidP="00F67DB5">
            <w:pPr>
              <w:tabs>
                <w:tab w:val="decimal" w:pos="792"/>
                <w:tab w:val="right" w:pos="9180"/>
              </w:tabs>
              <w:ind w:right="-18"/>
            </w:pPr>
            <w:r w:rsidRPr="006E6EBD">
              <w:t>$</w:t>
            </w:r>
            <w:r w:rsidRPr="006E6EBD">
              <w:tab/>
            </w:r>
            <w:r w:rsidR="002C0F29">
              <w:t>(0.38)</w:t>
            </w:r>
          </w:p>
        </w:tc>
        <w:tc>
          <w:tcPr>
            <w:tcW w:w="270" w:type="dxa"/>
          </w:tcPr>
          <w:p w14:paraId="4B5C9FD3" w14:textId="77777777" w:rsidR="00034E07" w:rsidRPr="006E6EBD" w:rsidRDefault="00034E07" w:rsidP="00F67DB5">
            <w:pPr>
              <w:tabs>
                <w:tab w:val="right" w:pos="9180"/>
              </w:tabs>
              <w:ind w:right="-360"/>
            </w:pPr>
          </w:p>
        </w:tc>
        <w:tc>
          <w:tcPr>
            <w:tcW w:w="1530" w:type="dxa"/>
          </w:tcPr>
          <w:p w14:paraId="3B6C3666" w14:textId="5CBF4439" w:rsidR="00034E07" w:rsidRPr="006E6EBD" w:rsidRDefault="00034E07" w:rsidP="00F67DB5">
            <w:pPr>
              <w:tabs>
                <w:tab w:val="decimal" w:pos="882"/>
                <w:tab w:val="right" w:pos="9180"/>
              </w:tabs>
              <w:ind w:right="-18"/>
            </w:pPr>
            <w:r w:rsidRPr="006E6EBD">
              <w:t>$</w:t>
            </w:r>
            <w:r w:rsidRPr="006E6EBD">
              <w:tab/>
            </w:r>
            <w:r>
              <w:t>(0.47</w:t>
            </w:r>
            <w:r w:rsidRPr="006E6EBD">
              <w:t>)</w:t>
            </w:r>
          </w:p>
        </w:tc>
      </w:tr>
      <w:tr w:rsidR="00034E07" w:rsidRPr="000D3DC5" w14:paraId="00EE55D7" w14:textId="77777777" w:rsidTr="00F67DB5">
        <w:tc>
          <w:tcPr>
            <w:tcW w:w="3438" w:type="dxa"/>
            <w:gridSpan w:val="4"/>
          </w:tcPr>
          <w:p w14:paraId="7409283C" w14:textId="77777777" w:rsidR="00034E07" w:rsidRPr="000D3DC5" w:rsidRDefault="00034E07" w:rsidP="00F67DB5">
            <w:pPr>
              <w:tabs>
                <w:tab w:val="right" w:pos="9180"/>
              </w:tabs>
              <w:ind w:right="-360"/>
            </w:pPr>
            <w:r>
              <w:t xml:space="preserve">  Weighted average shares outstanding</w:t>
            </w:r>
          </w:p>
        </w:tc>
        <w:tc>
          <w:tcPr>
            <w:tcW w:w="1530" w:type="dxa"/>
          </w:tcPr>
          <w:p w14:paraId="1E598746" w14:textId="60606732" w:rsidR="00034E07" w:rsidRPr="000D3DC5" w:rsidRDefault="00034E07" w:rsidP="00F67DB5">
            <w:pPr>
              <w:tabs>
                <w:tab w:val="decimal" w:pos="1152"/>
                <w:tab w:val="right" w:pos="9180"/>
              </w:tabs>
              <w:ind w:right="-18"/>
            </w:pPr>
            <w:r>
              <w:tab/>
            </w:r>
            <w:r w:rsidR="002C0F29">
              <w:t>26,443,649</w:t>
            </w:r>
          </w:p>
        </w:tc>
        <w:tc>
          <w:tcPr>
            <w:tcW w:w="270" w:type="dxa"/>
          </w:tcPr>
          <w:p w14:paraId="6BA75D79" w14:textId="77777777" w:rsidR="00034E07" w:rsidRPr="000D3DC5" w:rsidRDefault="00034E07" w:rsidP="00F67DB5">
            <w:pPr>
              <w:tabs>
                <w:tab w:val="right" w:pos="9180"/>
              </w:tabs>
              <w:ind w:right="-360"/>
            </w:pPr>
          </w:p>
        </w:tc>
        <w:tc>
          <w:tcPr>
            <w:tcW w:w="1440" w:type="dxa"/>
          </w:tcPr>
          <w:p w14:paraId="0EB9CB05" w14:textId="263D5C6E" w:rsidR="00034E07" w:rsidRPr="006E6EBD" w:rsidRDefault="00034E07" w:rsidP="00F67DB5">
            <w:pPr>
              <w:tabs>
                <w:tab w:val="decimal" w:pos="1062"/>
                <w:tab w:val="right" w:pos="9180"/>
              </w:tabs>
              <w:ind w:right="-46"/>
            </w:pPr>
            <w:r w:rsidRPr="006E6EBD">
              <w:tab/>
            </w:r>
            <w:r>
              <w:t>12,721,696</w:t>
            </w:r>
          </w:p>
        </w:tc>
        <w:tc>
          <w:tcPr>
            <w:tcW w:w="450" w:type="dxa"/>
          </w:tcPr>
          <w:p w14:paraId="08AE2D33" w14:textId="77777777" w:rsidR="00034E07" w:rsidRPr="006E6EBD" w:rsidRDefault="00034E07" w:rsidP="00F67DB5">
            <w:pPr>
              <w:tabs>
                <w:tab w:val="right" w:pos="9180"/>
              </w:tabs>
              <w:ind w:right="-360"/>
            </w:pPr>
          </w:p>
        </w:tc>
        <w:tc>
          <w:tcPr>
            <w:tcW w:w="1440" w:type="dxa"/>
          </w:tcPr>
          <w:p w14:paraId="1D08C1B7" w14:textId="4EDD1B32" w:rsidR="00034E07" w:rsidRPr="006E6EBD" w:rsidRDefault="00034E07" w:rsidP="00F67DB5">
            <w:pPr>
              <w:tabs>
                <w:tab w:val="decimal" w:pos="1062"/>
                <w:tab w:val="right" w:pos="9180"/>
              </w:tabs>
              <w:ind w:right="-18"/>
            </w:pPr>
            <w:r w:rsidRPr="006E6EBD">
              <w:tab/>
            </w:r>
            <w:r w:rsidR="002C0F29">
              <w:t>26,391,403</w:t>
            </w:r>
          </w:p>
        </w:tc>
        <w:tc>
          <w:tcPr>
            <w:tcW w:w="270" w:type="dxa"/>
          </w:tcPr>
          <w:p w14:paraId="73FC4831" w14:textId="77777777" w:rsidR="00034E07" w:rsidRPr="006E6EBD" w:rsidRDefault="00034E07" w:rsidP="00F67DB5">
            <w:pPr>
              <w:tabs>
                <w:tab w:val="right" w:pos="9180"/>
              </w:tabs>
              <w:ind w:right="-360"/>
            </w:pPr>
          </w:p>
        </w:tc>
        <w:tc>
          <w:tcPr>
            <w:tcW w:w="1530" w:type="dxa"/>
          </w:tcPr>
          <w:p w14:paraId="306A8147" w14:textId="34143F4E" w:rsidR="00034E07" w:rsidRPr="006E6EBD" w:rsidRDefault="00034E07" w:rsidP="00F67DB5">
            <w:pPr>
              <w:tabs>
                <w:tab w:val="decimal" w:pos="1152"/>
                <w:tab w:val="right" w:pos="9180"/>
              </w:tabs>
              <w:ind w:right="-18"/>
            </w:pPr>
            <w:r w:rsidRPr="006E6EBD">
              <w:tab/>
            </w:r>
            <w:r>
              <w:t>9,931,088</w:t>
            </w:r>
          </w:p>
        </w:tc>
      </w:tr>
      <w:tr w:rsidR="00034E07" w:rsidRPr="008F36CA" w14:paraId="2CE78651" w14:textId="77777777" w:rsidTr="00F67DB5">
        <w:tc>
          <w:tcPr>
            <w:tcW w:w="378" w:type="dxa"/>
          </w:tcPr>
          <w:p w14:paraId="525FD2CD" w14:textId="77777777" w:rsidR="00034E07" w:rsidRPr="008F36CA" w:rsidRDefault="00034E07" w:rsidP="00F67DB5">
            <w:pPr>
              <w:ind w:right="-360"/>
            </w:pPr>
          </w:p>
        </w:tc>
        <w:tc>
          <w:tcPr>
            <w:tcW w:w="450" w:type="dxa"/>
          </w:tcPr>
          <w:p w14:paraId="4126D711" w14:textId="77777777" w:rsidR="00034E07" w:rsidRPr="008F36CA" w:rsidRDefault="00034E07" w:rsidP="00F67DB5">
            <w:pPr>
              <w:ind w:right="-360"/>
            </w:pPr>
          </w:p>
        </w:tc>
        <w:tc>
          <w:tcPr>
            <w:tcW w:w="450" w:type="dxa"/>
          </w:tcPr>
          <w:p w14:paraId="0A158F41" w14:textId="77777777" w:rsidR="00034E07" w:rsidRPr="008F36CA" w:rsidRDefault="00034E07" w:rsidP="00F67DB5">
            <w:pPr>
              <w:ind w:right="-360"/>
            </w:pPr>
          </w:p>
        </w:tc>
        <w:tc>
          <w:tcPr>
            <w:tcW w:w="2160" w:type="dxa"/>
          </w:tcPr>
          <w:p w14:paraId="78256F8D" w14:textId="77777777" w:rsidR="00034E07" w:rsidRPr="008F36CA" w:rsidRDefault="00034E07" w:rsidP="00F67DB5">
            <w:pPr>
              <w:tabs>
                <w:tab w:val="right" w:pos="9180"/>
              </w:tabs>
              <w:ind w:right="-360"/>
            </w:pPr>
          </w:p>
        </w:tc>
        <w:tc>
          <w:tcPr>
            <w:tcW w:w="1530" w:type="dxa"/>
          </w:tcPr>
          <w:p w14:paraId="4F35643D" w14:textId="77777777" w:rsidR="00034E07" w:rsidRPr="008F36CA" w:rsidRDefault="00034E07" w:rsidP="00F67DB5">
            <w:pPr>
              <w:tabs>
                <w:tab w:val="right" w:pos="9180"/>
              </w:tabs>
              <w:ind w:right="-18"/>
            </w:pPr>
          </w:p>
        </w:tc>
        <w:tc>
          <w:tcPr>
            <w:tcW w:w="270" w:type="dxa"/>
          </w:tcPr>
          <w:p w14:paraId="4E536747" w14:textId="77777777" w:rsidR="00034E07" w:rsidRPr="008F36CA" w:rsidRDefault="00034E07" w:rsidP="00F67DB5">
            <w:pPr>
              <w:tabs>
                <w:tab w:val="right" w:pos="9180"/>
              </w:tabs>
              <w:ind w:right="-360"/>
            </w:pPr>
          </w:p>
        </w:tc>
        <w:tc>
          <w:tcPr>
            <w:tcW w:w="1440" w:type="dxa"/>
          </w:tcPr>
          <w:p w14:paraId="70ADF6F1" w14:textId="77777777" w:rsidR="00034E07" w:rsidRPr="00F31ABA" w:rsidRDefault="00034E07" w:rsidP="00F67DB5">
            <w:pPr>
              <w:tabs>
                <w:tab w:val="right" w:pos="9180"/>
              </w:tabs>
              <w:ind w:right="-46"/>
            </w:pPr>
          </w:p>
        </w:tc>
        <w:tc>
          <w:tcPr>
            <w:tcW w:w="450" w:type="dxa"/>
          </w:tcPr>
          <w:p w14:paraId="5CE767D2" w14:textId="77777777" w:rsidR="00034E07" w:rsidRPr="00F31ABA" w:rsidRDefault="00034E07" w:rsidP="00F67DB5">
            <w:pPr>
              <w:tabs>
                <w:tab w:val="right" w:pos="9180"/>
              </w:tabs>
              <w:ind w:right="-360"/>
            </w:pPr>
          </w:p>
        </w:tc>
        <w:tc>
          <w:tcPr>
            <w:tcW w:w="1440" w:type="dxa"/>
          </w:tcPr>
          <w:p w14:paraId="3486CF43" w14:textId="77777777" w:rsidR="00034E07" w:rsidRPr="00F31ABA" w:rsidRDefault="00034E07" w:rsidP="00F67DB5">
            <w:pPr>
              <w:tabs>
                <w:tab w:val="right" w:pos="9180"/>
              </w:tabs>
              <w:ind w:right="-18"/>
            </w:pPr>
          </w:p>
        </w:tc>
        <w:tc>
          <w:tcPr>
            <w:tcW w:w="270" w:type="dxa"/>
          </w:tcPr>
          <w:p w14:paraId="32CA0D5D" w14:textId="77777777" w:rsidR="00034E07" w:rsidRPr="00F31ABA" w:rsidRDefault="00034E07" w:rsidP="00F67DB5">
            <w:pPr>
              <w:tabs>
                <w:tab w:val="right" w:pos="9180"/>
              </w:tabs>
              <w:ind w:right="-360"/>
            </w:pPr>
          </w:p>
        </w:tc>
        <w:tc>
          <w:tcPr>
            <w:tcW w:w="1530" w:type="dxa"/>
          </w:tcPr>
          <w:p w14:paraId="0C6F8254" w14:textId="77777777" w:rsidR="00034E07" w:rsidRPr="00F31ABA" w:rsidRDefault="00034E07" w:rsidP="00F67DB5">
            <w:pPr>
              <w:tabs>
                <w:tab w:val="right" w:pos="9180"/>
              </w:tabs>
              <w:ind w:right="-18"/>
            </w:pPr>
          </w:p>
        </w:tc>
      </w:tr>
      <w:tr w:rsidR="00034E07" w:rsidRPr="000D3DC5" w14:paraId="6D6A37A1" w14:textId="77777777" w:rsidTr="00F67DB5">
        <w:tc>
          <w:tcPr>
            <w:tcW w:w="378" w:type="dxa"/>
          </w:tcPr>
          <w:p w14:paraId="491894F0" w14:textId="77777777" w:rsidR="00034E07" w:rsidRPr="000D3DC5" w:rsidRDefault="00034E07" w:rsidP="00F67DB5">
            <w:pPr>
              <w:ind w:right="-360"/>
            </w:pPr>
          </w:p>
        </w:tc>
        <w:tc>
          <w:tcPr>
            <w:tcW w:w="450" w:type="dxa"/>
          </w:tcPr>
          <w:p w14:paraId="4F1687EA" w14:textId="77777777" w:rsidR="00034E07" w:rsidRPr="000D3DC5" w:rsidRDefault="00034E07" w:rsidP="00F67DB5">
            <w:pPr>
              <w:ind w:right="-360"/>
            </w:pPr>
          </w:p>
        </w:tc>
        <w:tc>
          <w:tcPr>
            <w:tcW w:w="450" w:type="dxa"/>
          </w:tcPr>
          <w:p w14:paraId="2E68F5D9" w14:textId="77777777" w:rsidR="00034E07" w:rsidRPr="000D3DC5" w:rsidRDefault="00034E07" w:rsidP="00F67DB5">
            <w:pPr>
              <w:ind w:right="-360"/>
            </w:pPr>
          </w:p>
        </w:tc>
        <w:tc>
          <w:tcPr>
            <w:tcW w:w="2160" w:type="dxa"/>
          </w:tcPr>
          <w:p w14:paraId="0BAC5782" w14:textId="77777777" w:rsidR="00034E07" w:rsidRPr="000D3DC5" w:rsidRDefault="00034E07" w:rsidP="00F67DB5">
            <w:pPr>
              <w:tabs>
                <w:tab w:val="right" w:pos="9180"/>
              </w:tabs>
              <w:ind w:right="-360"/>
            </w:pPr>
          </w:p>
        </w:tc>
        <w:tc>
          <w:tcPr>
            <w:tcW w:w="1530" w:type="dxa"/>
          </w:tcPr>
          <w:p w14:paraId="6DA5C940" w14:textId="77777777" w:rsidR="00034E07" w:rsidRPr="000D3DC5" w:rsidRDefault="00034E07" w:rsidP="00F67DB5">
            <w:pPr>
              <w:tabs>
                <w:tab w:val="right" w:pos="9180"/>
              </w:tabs>
              <w:ind w:right="-18"/>
            </w:pPr>
          </w:p>
        </w:tc>
        <w:tc>
          <w:tcPr>
            <w:tcW w:w="270" w:type="dxa"/>
          </w:tcPr>
          <w:p w14:paraId="0C2690D8" w14:textId="77777777" w:rsidR="00034E07" w:rsidRPr="000D3DC5" w:rsidRDefault="00034E07" w:rsidP="00F67DB5">
            <w:pPr>
              <w:tabs>
                <w:tab w:val="right" w:pos="9180"/>
              </w:tabs>
              <w:ind w:right="-360"/>
            </w:pPr>
          </w:p>
        </w:tc>
        <w:tc>
          <w:tcPr>
            <w:tcW w:w="1440" w:type="dxa"/>
          </w:tcPr>
          <w:p w14:paraId="3E8F53DC" w14:textId="77777777" w:rsidR="00034E07" w:rsidRPr="000D3DC5" w:rsidRDefault="00034E07" w:rsidP="00F67DB5">
            <w:pPr>
              <w:tabs>
                <w:tab w:val="right" w:pos="9180"/>
              </w:tabs>
              <w:ind w:right="-46"/>
            </w:pPr>
          </w:p>
        </w:tc>
        <w:tc>
          <w:tcPr>
            <w:tcW w:w="450" w:type="dxa"/>
          </w:tcPr>
          <w:p w14:paraId="1B90EAE7" w14:textId="77777777" w:rsidR="00034E07" w:rsidRPr="000D3DC5" w:rsidRDefault="00034E07" w:rsidP="00F67DB5">
            <w:pPr>
              <w:tabs>
                <w:tab w:val="right" w:pos="9180"/>
              </w:tabs>
              <w:ind w:right="-360"/>
            </w:pPr>
          </w:p>
        </w:tc>
        <w:tc>
          <w:tcPr>
            <w:tcW w:w="1440" w:type="dxa"/>
          </w:tcPr>
          <w:p w14:paraId="21905A70" w14:textId="77777777" w:rsidR="00034E07" w:rsidRPr="000D3DC5" w:rsidRDefault="00034E07" w:rsidP="00F67DB5">
            <w:pPr>
              <w:tabs>
                <w:tab w:val="right" w:pos="9180"/>
              </w:tabs>
              <w:ind w:right="-18"/>
            </w:pPr>
          </w:p>
        </w:tc>
        <w:tc>
          <w:tcPr>
            <w:tcW w:w="270" w:type="dxa"/>
          </w:tcPr>
          <w:p w14:paraId="39EA4F35" w14:textId="77777777" w:rsidR="00034E07" w:rsidRPr="000D3DC5" w:rsidRDefault="00034E07" w:rsidP="00F67DB5">
            <w:pPr>
              <w:tabs>
                <w:tab w:val="right" w:pos="9180"/>
              </w:tabs>
              <w:ind w:right="-360"/>
            </w:pPr>
          </w:p>
        </w:tc>
        <w:tc>
          <w:tcPr>
            <w:tcW w:w="1530" w:type="dxa"/>
          </w:tcPr>
          <w:p w14:paraId="6CED79E5" w14:textId="77777777" w:rsidR="00034E07" w:rsidRPr="000D3DC5" w:rsidRDefault="00034E07" w:rsidP="00F67DB5">
            <w:pPr>
              <w:tabs>
                <w:tab w:val="right" w:pos="9180"/>
              </w:tabs>
              <w:ind w:right="-18"/>
            </w:pPr>
          </w:p>
        </w:tc>
      </w:tr>
    </w:tbl>
    <w:p w14:paraId="1EE51BFE" w14:textId="77777777" w:rsidR="00034E07" w:rsidRPr="00BA4187" w:rsidRDefault="00034E07" w:rsidP="00034E07">
      <w:pPr>
        <w:tabs>
          <w:tab w:val="left" w:pos="1080"/>
          <w:tab w:val="left" w:pos="1260"/>
          <w:tab w:val="left" w:pos="2340"/>
          <w:tab w:val="right" w:pos="9180"/>
        </w:tabs>
        <w:ind w:right="-360"/>
        <w:jc w:val="center"/>
      </w:pPr>
    </w:p>
    <w:p w14:paraId="566FA687" w14:textId="77777777" w:rsidR="00034E07" w:rsidRDefault="00034E07" w:rsidP="00034E07">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6883843" w14:textId="77777777" w:rsidR="00034E07" w:rsidRDefault="00034E07" w:rsidP="00643C84">
      <w:pPr>
        <w:tabs>
          <w:tab w:val="left" w:pos="1080"/>
          <w:tab w:val="left" w:pos="1260"/>
          <w:tab w:val="left" w:pos="2340"/>
          <w:tab w:val="right" w:pos="9180"/>
        </w:tabs>
        <w:ind w:right="-360"/>
      </w:pPr>
    </w:p>
    <w:p w14:paraId="5ECB4D72" w14:textId="77777777" w:rsidR="00034E07" w:rsidRDefault="00034E07"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2E4ACDFA" w:rsidR="004F479E" w:rsidRDefault="004F479E" w:rsidP="004F479E">
      <w:pPr>
        <w:tabs>
          <w:tab w:val="decimal" w:pos="1152"/>
          <w:tab w:val="left" w:pos="2340"/>
          <w:tab w:val="right" w:pos="9180"/>
        </w:tabs>
        <w:rPr>
          <w:snapToGrid w:val="0"/>
          <w:color w:val="000000"/>
          <w:sz w:val="19"/>
          <w:szCs w:val="19"/>
        </w:rPr>
      </w:pPr>
      <w:bookmarkStart w:id="8" w:name="_Hlk36562604"/>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131F774" w14:textId="77777777" w:rsidTr="00E774DA">
        <w:tc>
          <w:tcPr>
            <w:tcW w:w="4410" w:type="dxa"/>
          </w:tcPr>
          <w:p w14:paraId="427F520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297B60D7"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26D19446" w14:textId="6BD55BC9"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w:t>
            </w:r>
            <w:r w:rsidR="007435E1">
              <w:rPr>
                <w:snapToGrid w:val="0"/>
                <w:color w:val="000000"/>
                <w:sz w:val="19"/>
                <w:szCs w:val="19"/>
              </w:rPr>
              <w:t>-</w:t>
            </w:r>
            <w:r>
              <w:rPr>
                <w:snapToGrid w:val="0"/>
                <w:color w:val="000000"/>
                <w:sz w:val="19"/>
                <w:szCs w:val="19"/>
              </w:rPr>
              <w:t>Month</w:t>
            </w:r>
            <w:r w:rsidR="007435E1">
              <w:rPr>
                <w:snapToGrid w:val="0"/>
                <w:color w:val="000000"/>
                <w:sz w:val="19"/>
                <w:szCs w:val="19"/>
              </w:rPr>
              <w:t xml:space="preserve"> and Six-Month Periods</w:t>
            </w:r>
            <w:r>
              <w:rPr>
                <w:snapToGrid w:val="0"/>
                <w:color w:val="000000"/>
                <w:sz w:val="19"/>
                <w:szCs w:val="19"/>
              </w:rPr>
              <w:t xml:space="preserve"> Ended </w:t>
            </w:r>
            <w:r w:rsidR="007435E1">
              <w:rPr>
                <w:snapToGrid w:val="0"/>
                <w:color w:val="000000"/>
                <w:sz w:val="19"/>
                <w:szCs w:val="19"/>
              </w:rPr>
              <w:t>June</w:t>
            </w:r>
            <w:r>
              <w:rPr>
                <w:snapToGrid w:val="0"/>
                <w:color w:val="000000"/>
                <w:sz w:val="19"/>
                <w:szCs w:val="19"/>
              </w:rPr>
              <w:t xml:space="preserve"> 3</w:t>
            </w:r>
            <w:r w:rsidR="007435E1">
              <w:rPr>
                <w:snapToGrid w:val="0"/>
                <w:color w:val="000000"/>
                <w:sz w:val="19"/>
                <w:szCs w:val="19"/>
              </w:rPr>
              <w:t>0</w:t>
            </w:r>
            <w:r>
              <w:rPr>
                <w:snapToGrid w:val="0"/>
                <w:color w:val="000000"/>
                <w:sz w:val="19"/>
                <w:szCs w:val="19"/>
              </w:rPr>
              <w:t>, 2023</w:t>
            </w:r>
          </w:p>
        </w:tc>
      </w:tr>
      <w:tr w:rsidR="00BB5D3A" w:rsidRPr="00487CAB" w14:paraId="7C63F521" w14:textId="77777777" w:rsidTr="00E774DA">
        <w:tc>
          <w:tcPr>
            <w:tcW w:w="4410" w:type="dxa"/>
          </w:tcPr>
          <w:p w14:paraId="3174955D"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092DC9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D2645FA"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0578AF2"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97A3AF4"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6134A90F"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3C469F8F" w14:textId="26334288"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217D85D1" w14:textId="77777777" w:rsidTr="00684C12">
        <w:tc>
          <w:tcPr>
            <w:tcW w:w="4410" w:type="dxa"/>
          </w:tcPr>
          <w:p w14:paraId="056C225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31297CC"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0CD76F21" w14:textId="1ED542CF"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3FCEF578" w14:textId="554C758C"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01ABC414" w14:textId="1C39809B"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358DF1AF" w14:textId="6259CC73"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54B46AAB" w14:textId="77777777" w:rsidTr="00E774DA">
        <w:tc>
          <w:tcPr>
            <w:tcW w:w="4410" w:type="dxa"/>
          </w:tcPr>
          <w:p w14:paraId="53DD0691"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6B637EA"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03447BAD" w14:textId="6B563EDB"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5494D72"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82D1810"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500DBC8"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5CFC4373"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6678EF59" w14:textId="77777777" w:rsidTr="00BB5D3A">
        <w:tc>
          <w:tcPr>
            <w:tcW w:w="4410" w:type="dxa"/>
          </w:tcPr>
          <w:p w14:paraId="286CFE6F"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22</w:t>
            </w:r>
          </w:p>
        </w:tc>
        <w:tc>
          <w:tcPr>
            <w:tcW w:w="720" w:type="dxa"/>
          </w:tcPr>
          <w:p w14:paraId="5067603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65BEAE3E" w14:textId="778BFC9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Pr>
          <w:p w14:paraId="5F2F7F73"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Pr>
          <w:p w14:paraId="3C39537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104,970,722</w:t>
            </w:r>
          </w:p>
        </w:tc>
        <w:tc>
          <w:tcPr>
            <w:tcW w:w="1350" w:type="dxa"/>
          </w:tcPr>
          <w:p w14:paraId="7E42E8C5"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78,397,023</w:t>
            </w:r>
            <w:r w:rsidRPr="00487CAB">
              <w:rPr>
                <w:snapToGrid w:val="0"/>
                <w:color w:val="000000"/>
                <w:sz w:val="19"/>
                <w:szCs w:val="19"/>
              </w:rPr>
              <w:t>)</w:t>
            </w:r>
          </w:p>
        </w:tc>
        <w:tc>
          <w:tcPr>
            <w:tcW w:w="1800" w:type="dxa"/>
          </w:tcPr>
          <w:p w14:paraId="67E8BBC9"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26,600,034</w:t>
            </w:r>
          </w:p>
        </w:tc>
      </w:tr>
      <w:tr w:rsidR="00BB5D3A" w:rsidRPr="00487CAB" w14:paraId="60C2E202" w14:textId="77777777" w:rsidTr="00BB5D3A">
        <w:tc>
          <w:tcPr>
            <w:tcW w:w="4410" w:type="dxa"/>
          </w:tcPr>
          <w:p w14:paraId="488327A9" w14:textId="77777777" w:rsidR="00BB5D3A" w:rsidRPr="00487CAB" w:rsidRDefault="00BB5D3A" w:rsidP="00E07358">
            <w:pPr>
              <w:tabs>
                <w:tab w:val="left" w:pos="144"/>
                <w:tab w:val="left" w:pos="324"/>
                <w:tab w:val="right" w:pos="9180"/>
              </w:tabs>
              <w:rPr>
                <w:snapToGrid w:val="0"/>
                <w:color w:val="000000"/>
                <w:sz w:val="19"/>
                <w:szCs w:val="19"/>
              </w:rPr>
            </w:pPr>
            <w:bookmarkStart w:id="9" w:name="_Hlk138679864"/>
            <w:r>
              <w:rPr>
                <w:snapToGrid w:val="0"/>
                <w:color w:val="000000"/>
                <w:sz w:val="19"/>
                <w:szCs w:val="19"/>
              </w:rPr>
              <w:tab/>
              <w:t>Issuance of common stock for services</w:t>
            </w:r>
          </w:p>
        </w:tc>
        <w:tc>
          <w:tcPr>
            <w:tcW w:w="720" w:type="dxa"/>
          </w:tcPr>
          <w:p w14:paraId="7FFA3E38"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EA73E36" w14:textId="28E1F82A"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108,696</w:t>
            </w:r>
          </w:p>
        </w:tc>
        <w:tc>
          <w:tcPr>
            <w:tcW w:w="1170" w:type="dxa"/>
          </w:tcPr>
          <w:p w14:paraId="410A4E6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109</w:t>
            </w:r>
          </w:p>
        </w:tc>
        <w:tc>
          <w:tcPr>
            <w:tcW w:w="1440" w:type="dxa"/>
          </w:tcPr>
          <w:p w14:paraId="436E5C0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74,891</w:t>
            </w:r>
          </w:p>
        </w:tc>
        <w:tc>
          <w:tcPr>
            <w:tcW w:w="1350" w:type="dxa"/>
          </w:tcPr>
          <w:p w14:paraId="7BCE0CA6"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AC849C5"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75,000</w:t>
            </w:r>
          </w:p>
        </w:tc>
      </w:tr>
      <w:tr w:rsidR="00BB5D3A" w:rsidRPr="00487CAB" w14:paraId="6FE40C3E" w14:textId="77777777" w:rsidTr="00BB5D3A">
        <w:tc>
          <w:tcPr>
            <w:tcW w:w="4410" w:type="dxa"/>
          </w:tcPr>
          <w:p w14:paraId="2F653F98"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9312EF1"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63BB3CC" w14:textId="3E31D7D0"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B6D6C48"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FDFD176"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228,039</w:t>
            </w:r>
          </w:p>
        </w:tc>
        <w:tc>
          <w:tcPr>
            <w:tcW w:w="1350" w:type="dxa"/>
          </w:tcPr>
          <w:p w14:paraId="6873646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2DDF704D"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228,039</w:t>
            </w:r>
          </w:p>
        </w:tc>
      </w:tr>
      <w:tr w:rsidR="00BB5D3A" w:rsidRPr="00487CAB" w14:paraId="717A6975" w14:textId="77777777" w:rsidTr="00BB5D3A">
        <w:tc>
          <w:tcPr>
            <w:tcW w:w="4410" w:type="dxa"/>
          </w:tcPr>
          <w:p w14:paraId="1AB6914D"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23</w:t>
            </w:r>
          </w:p>
        </w:tc>
        <w:tc>
          <w:tcPr>
            <w:tcW w:w="720" w:type="dxa"/>
          </w:tcPr>
          <w:p w14:paraId="2388478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70529D21" w14:textId="0EE28801"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C62F74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BB5DF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B4350E7"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c>
          <w:tcPr>
            <w:tcW w:w="1800" w:type="dxa"/>
            <w:tcBorders>
              <w:bottom w:val="single" w:sz="4" w:space="0" w:color="auto"/>
            </w:tcBorders>
          </w:tcPr>
          <w:p w14:paraId="20838B0E"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r>
      <w:tr w:rsidR="00BB5D3A" w:rsidRPr="00487CAB" w14:paraId="30D0E71E" w14:textId="77777777" w:rsidTr="007435E1">
        <w:tc>
          <w:tcPr>
            <w:tcW w:w="4410" w:type="dxa"/>
          </w:tcPr>
          <w:p w14:paraId="002C91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23</w:t>
            </w:r>
          </w:p>
        </w:tc>
        <w:tc>
          <w:tcPr>
            <w:tcW w:w="720" w:type="dxa"/>
          </w:tcPr>
          <w:p w14:paraId="63BC695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768913C3" w14:textId="3E2D1CF3"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26,443,649</w:t>
            </w:r>
          </w:p>
        </w:tc>
        <w:tc>
          <w:tcPr>
            <w:tcW w:w="1170" w:type="dxa"/>
            <w:tcBorders>
              <w:top w:val="single" w:sz="4" w:space="0" w:color="auto"/>
            </w:tcBorders>
          </w:tcPr>
          <w:p w14:paraId="03C8285D" w14:textId="079F90E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26,444</w:t>
            </w:r>
          </w:p>
        </w:tc>
        <w:tc>
          <w:tcPr>
            <w:tcW w:w="1440" w:type="dxa"/>
            <w:tcBorders>
              <w:top w:val="single" w:sz="4" w:space="0" w:color="auto"/>
            </w:tcBorders>
          </w:tcPr>
          <w:p w14:paraId="30C12977" w14:textId="0F8679D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105,273,652</w:t>
            </w:r>
          </w:p>
        </w:tc>
        <w:tc>
          <w:tcPr>
            <w:tcW w:w="1350" w:type="dxa"/>
            <w:tcBorders>
              <w:top w:val="single" w:sz="4" w:space="0" w:color="auto"/>
            </w:tcBorders>
          </w:tcPr>
          <w:p w14:paraId="7D607E1D" w14:textId="34FCB5A6"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(82,434,939)</w:t>
            </w:r>
          </w:p>
        </w:tc>
        <w:tc>
          <w:tcPr>
            <w:tcW w:w="1800" w:type="dxa"/>
            <w:tcBorders>
              <w:top w:val="single" w:sz="4" w:space="0" w:color="auto"/>
            </w:tcBorders>
          </w:tcPr>
          <w:p w14:paraId="79D30E1A"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22,865,157</w:t>
            </w:r>
          </w:p>
        </w:tc>
      </w:tr>
      <w:bookmarkEnd w:id="9"/>
      <w:tr w:rsidR="007435E1" w:rsidRPr="00487CAB" w14:paraId="12495715" w14:textId="77777777" w:rsidTr="00F67DB5">
        <w:tc>
          <w:tcPr>
            <w:tcW w:w="4410" w:type="dxa"/>
          </w:tcPr>
          <w:p w14:paraId="295765C1" w14:textId="77777777" w:rsidR="007435E1" w:rsidRDefault="007435E1" w:rsidP="00F67DB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8E77169"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01F689E3"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A147A8A"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2EADFF5D" w14:textId="14691114"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2C0F29">
              <w:rPr>
                <w:snapToGrid w:val="0"/>
                <w:color w:val="000000"/>
                <w:sz w:val="19"/>
                <w:szCs w:val="19"/>
              </w:rPr>
              <w:t>226,013</w:t>
            </w:r>
          </w:p>
        </w:tc>
        <w:tc>
          <w:tcPr>
            <w:tcW w:w="1350" w:type="dxa"/>
          </w:tcPr>
          <w:p w14:paraId="642A6D99" w14:textId="77777777" w:rsidR="007435E1" w:rsidRPr="00636549" w:rsidRDefault="007435E1" w:rsidP="00F67DB5">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4ABB661E" w14:textId="6E9ECA00" w:rsidR="007435E1" w:rsidRDefault="007435E1" w:rsidP="00F67DB5">
            <w:pPr>
              <w:tabs>
                <w:tab w:val="decimal" w:pos="1418"/>
                <w:tab w:val="right" w:pos="9180"/>
              </w:tabs>
              <w:rPr>
                <w:snapToGrid w:val="0"/>
                <w:color w:val="000000"/>
                <w:sz w:val="19"/>
                <w:szCs w:val="19"/>
              </w:rPr>
            </w:pPr>
            <w:r>
              <w:rPr>
                <w:snapToGrid w:val="0"/>
                <w:color w:val="000000"/>
                <w:sz w:val="19"/>
                <w:szCs w:val="19"/>
              </w:rPr>
              <w:tab/>
            </w:r>
            <w:r w:rsidR="002C0F29">
              <w:rPr>
                <w:snapToGrid w:val="0"/>
                <w:color w:val="000000"/>
                <w:sz w:val="19"/>
                <w:szCs w:val="19"/>
              </w:rPr>
              <w:t>226,013</w:t>
            </w:r>
          </w:p>
        </w:tc>
      </w:tr>
      <w:tr w:rsidR="007435E1" w:rsidRPr="00487CAB" w14:paraId="13C13D8B" w14:textId="77777777" w:rsidTr="00F67DB5">
        <w:tc>
          <w:tcPr>
            <w:tcW w:w="4410" w:type="dxa"/>
          </w:tcPr>
          <w:p w14:paraId="229E6D5D" w14:textId="43FACD3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32D64D1F"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62596AE9"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B6765E2"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8BC3E87"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18B7C06C" w14:textId="65E475BD"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c>
          <w:tcPr>
            <w:tcW w:w="1800" w:type="dxa"/>
            <w:tcBorders>
              <w:bottom w:val="single" w:sz="4" w:space="0" w:color="auto"/>
            </w:tcBorders>
          </w:tcPr>
          <w:p w14:paraId="5C5DC0FB" w14:textId="52E03133"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(5,</w:t>
            </w:r>
            <w:r w:rsidR="00793CD5">
              <w:rPr>
                <w:snapToGrid w:val="0"/>
                <w:color w:val="000000"/>
                <w:sz w:val="19"/>
                <w:szCs w:val="19"/>
              </w:rPr>
              <w:t>927,620</w:t>
            </w:r>
            <w:r w:rsidR="002C0F29">
              <w:rPr>
                <w:snapToGrid w:val="0"/>
                <w:color w:val="000000"/>
                <w:sz w:val="19"/>
                <w:szCs w:val="19"/>
              </w:rPr>
              <w:t>)</w:t>
            </w:r>
          </w:p>
        </w:tc>
      </w:tr>
      <w:tr w:rsidR="007435E1" w:rsidRPr="00487CAB" w14:paraId="0A3C2805" w14:textId="77777777" w:rsidTr="00F67DB5">
        <w:tc>
          <w:tcPr>
            <w:tcW w:w="4410" w:type="dxa"/>
          </w:tcPr>
          <w:p w14:paraId="7762C799" w14:textId="4A0D670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23</w:t>
            </w:r>
          </w:p>
        </w:tc>
        <w:tc>
          <w:tcPr>
            <w:tcW w:w="720" w:type="dxa"/>
          </w:tcPr>
          <w:p w14:paraId="23902B13"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6CD1405B" w14:textId="11ED1DE2"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2C0F29">
              <w:rPr>
                <w:snapToGrid w:val="0"/>
                <w:color w:val="000000"/>
                <w:sz w:val="19"/>
                <w:szCs w:val="19"/>
              </w:rPr>
              <w:t>26,443,649</w:t>
            </w:r>
          </w:p>
        </w:tc>
        <w:tc>
          <w:tcPr>
            <w:tcW w:w="1170" w:type="dxa"/>
            <w:tcBorders>
              <w:top w:val="single" w:sz="4" w:space="0" w:color="auto"/>
              <w:bottom w:val="double" w:sz="4" w:space="0" w:color="auto"/>
            </w:tcBorders>
          </w:tcPr>
          <w:p w14:paraId="329ED5B3" w14:textId="002B9D92"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26,444</w:t>
            </w:r>
          </w:p>
        </w:tc>
        <w:tc>
          <w:tcPr>
            <w:tcW w:w="1440" w:type="dxa"/>
            <w:tcBorders>
              <w:top w:val="single" w:sz="4" w:space="0" w:color="auto"/>
              <w:bottom w:val="double" w:sz="4" w:space="0" w:color="auto"/>
            </w:tcBorders>
          </w:tcPr>
          <w:p w14:paraId="12790A93" w14:textId="3F0CD64F"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105,499,665</w:t>
            </w:r>
          </w:p>
        </w:tc>
        <w:tc>
          <w:tcPr>
            <w:tcW w:w="1350" w:type="dxa"/>
            <w:tcBorders>
              <w:top w:val="single" w:sz="4" w:space="0" w:color="auto"/>
              <w:bottom w:val="double" w:sz="4" w:space="0" w:color="auto"/>
            </w:tcBorders>
          </w:tcPr>
          <w:p w14:paraId="48975503" w14:textId="23790861" w:rsidR="007435E1" w:rsidRPr="00487CAB" w:rsidRDefault="007435E1" w:rsidP="00F67DB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(88,</w:t>
            </w:r>
            <w:r w:rsidR="00793CD5">
              <w:rPr>
                <w:snapToGrid w:val="0"/>
                <w:color w:val="000000"/>
                <w:sz w:val="19"/>
                <w:szCs w:val="19"/>
              </w:rPr>
              <w:t>362,559</w:t>
            </w:r>
            <w:r w:rsidR="002C0F29">
              <w:rPr>
                <w:snapToGrid w:val="0"/>
                <w:color w:val="000000"/>
                <w:sz w:val="19"/>
                <w:szCs w:val="19"/>
              </w:rPr>
              <w:t>)</w:t>
            </w:r>
          </w:p>
        </w:tc>
        <w:tc>
          <w:tcPr>
            <w:tcW w:w="1800" w:type="dxa"/>
            <w:tcBorders>
              <w:top w:val="single" w:sz="4" w:space="0" w:color="auto"/>
              <w:bottom w:val="double" w:sz="4" w:space="0" w:color="auto"/>
            </w:tcBorders>
          </w:tcPr>
          <w:p w14:paraId="70A522FD" w14:textId="42D27B0A" w:rsidR="007435E1" w:rsidRPr="00487CAB" w:rsidRDefault="007435E1" w:rsidP="00F67DB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2C0F29">
              <w:rPr>
                <w:snapToGrid w:val="0"/>
                <w:color w:val="000000"/>
                <w:sz w:val="19"/>
                <w:szCs w:val="19"/>
              </w:rPr>
              <w:t>17,</w:t>
            </w:r>
            <w:r w:rsidR="00793CD5">
              <w:rPr>
                <w:snapToGrid w:val="0"/>
                <w:color w:val="000000"/>
                <w:sz w:val="19"/>
                <w:szCs w:val="19"/>
              </w:rPr>
              <w:t>163,550</w:t>
            </w:r>
          </w:p>
        </w:tc>
      </w:tr>
      <w:tr w:rsidR="00BB5D3A" w:rsidRPr="00487CAB" w14:paraId="1BB8132D" w14:textId="77777777" w:rsidTr="00BB5D3A">
        <w:tc>
          <w:tcPr>
            <w:tcW w:w="4410" w:type="dxa"/>
          </w:tcPr>
          <w:p w14:paraId="593F447C"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3B2F80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53175865" w14:textId="4E234C36"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170" w:type="dxa"/>
          </w:tcPr>
          <w:p w14:paraId="41A6F08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C677DE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350" w:type="dxa"/>
          </w:tcPr>
          <w:p w14:paraId="69570773" w14:textId="77777777" w:rsidR="00BB5D3A" w:rsidRPr="00487CAB" w:rsidRDefault="00BB5D3A" w:rsidP="00E07358">
            <w:pPr>
              <w:tabs>
                <w:tab w:val="decimal" w:pos="1150"/>
                <w:tab w:val="left" w:pos="2340"/>
                <w:tab w:val="right" w:pos="9180"/>
              </w:tabs>
              <w:rPr>
                <w:snapToGrid w:val="0"/>
                <w:color w:val="000000"/>
                <w:sz w:val="19"/>
                <w:szCs w:val="19"/>
              </w:rPr>
            </w:pPr>
          </w:p>
        </w:tc>
        <w:tc>
          <w:tcPr>
            <w:tcW w:w="1800" w:type="dxa"/>
          </w:tcPr>
          <w:p w14:paraId="4AC5A782" w14:textId="77777777" w:rsidR="00BB5D3A" w:rsidRPr="00487CAB" w:rsidRDefault="00BB5D3A" w:rsidP="00E07358">
            <w:pPr>
              <w:tabs>
                <w:tab w:val="decimal" w:pos="1418"/>
                <w:tab w:val="right" w:pos="9180"/>
              </w:tabs>
              <w:rPr>
                <w:snapToGrid w:val="0"/>
                <w:color w:val="000000"/>
                <w:sz w:val="19"/>
                <w:szCs w:val="19"/>
              </w:rPr>
            </w:pPr>
          </w:p>
        </w:tc>
      </w:tr>
    </w:tbl>
    <w:p w14:paraId="66964CFF" w14:textId="77777777" w:rsidR="00BB5D3A" w:rsidRDefault="00BB5D3A" w:rsidP="004F479E">
      <w:pPr>
        <w:tabs>
          <w:tab w:val="decimal" w:pos="1152"/>
          <w:tab w:val="left" w:pos="2340"/>
          <w:tab w:val="right" w:pos="9180"/>
        </w:tabs>
        <w:rPr>
          <w:snapToGrid w:val="0"/>
          <w:color w:val="000000"/>
          <w:sz w:val="19"/>
          <w:szCs w:val="19"/>
        </w:rPr>
      </w:pPr>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6954AEC" w14:textId="77777777" w:rsidTr="00E774DA">
        <w:tc>
          <w:tcPr>
            <w:tcW w:w="4410" w:type="dxa"/>
          </w:tcPr>
          <w:p w14:paraId="30369932"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99FE86F"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3FC729A4" w14:textId="76EA29D0"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w:t>
            </w:r>
            <w:r w:rsidR="007435E1">
              <w:rPr>
                <w:snapToGrid w:val="0"/>
                <w:color w:val="000000"/>
                <w:sz w:val="19"/>
                <w:szCs w:val="19"/>
              </w:rPr>
              <w:t>-</w:t>
            </w:r>
            <w:r>
              <w:rPr>
                <w:snapToGrid w:val="0"/>
                <w:color w:val="000000"/>
                <w:sz w:val="19"/>
                <w:szCs w:val="19"/>
              </w:rPr>
              <w:t>Month</w:t>
            </w:r>
            <w:r w:rsidR="007435E1">
              <w:rPr>
                <w:snapToGrid w:val="0"/>
                <w:color w:val="000000"/>
                <w:sz w:val="19"/>
                <w:szCs w:val="19"/>
              </w:rPr>
              <w:t xml:space="preserve"> and Six-Month Periods</w:t>
            </w:r>
            <w:r>
              <w:rPr>
                <w:snapToGrid w:val="0"/>
                <w:color w:val="000000"/>
                <w:sz w:val="19"/>
                <w:szCs w:val="19"/>
              </w:rPr>
              <w:t xml:space="preserve"> Ended </w:t>
            </w:r>
            <w:r w:rsidR="007435E1">
              <w:rPr>
                <w:snapToGrid w:val="0"/>
                <w:color w:val="000000"/>
                <w:sz w:val="19"/>
                <w:szCs w:val="19"/>
              </w:rPr>
              <w:t>June</w:t>
            </w:r>
            <w:r>
              <w:rPr>
                <w:snapToGrid w:val="0"/>
                <w:color w:val="000000"/>
                <w:sz w:val="19"/>
                <w:szCs w:val="19"/>
              </w:rPr>
              <w:t xml:space="preserve"> 3</w:t>
            </w:r>
            <w:r w:rsidR="007435E1">
              <w:rPr>
                <w:snapToGrid w:val="0"/>
                <w:color w:val="000000"/>
                <w:sz w:val="19"/>
                <w:szCs w:val="19"/>
              </w:rPr>
              <w:t>0</w:t>
            </w:r>
            <w:r>
              <w:rPr>
                <w:snapToGrid w:val="0"/>
                <w:color w:val="000000"/>
                <w:sz w:val="19"/>
                <w:szCs w:val="19"/>
              </w:rPr>
              <w:t>, 2022</w:t>
            </w:r>
          </w:p>
        </w:tc>
      </w:tr>
      <w:tr w:rsidR="00BB5D3A" w:rsidRPr="00487CAB" w14:paraId="62D09ABC" w14:textId="77777777" w:rsidTr="00E774DA">
        <w:tc>
          <w:tcPr>
            <w:tcW w:w="4410" w:type="dxa"/>
          </w:tcPr>
          <w:p w14:paraId="60630199"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514127F1"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4BA63A4B"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3171EBF"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69035482"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3FCDF83C"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5BB8FD0C" w14:textId="45D45502"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0542D717" w14:textId="77777777" w:rsidTr="00DA77FC">
        <w:tc>
          <w:tcPr>
            <w:tcW w:w="4410" w:type="dxa"/>
          </w:tcPr>
          <w:p w14:paraId="26C413F8"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0141472"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4862CA40" w14:textId="146044BA"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10F5CEAC" w14:textId="0165D229"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410652A8" w14:textId="5B61CF89"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2A9DDD63" w14:textId="6FB7455B"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1305CFC1" w14:textId="77777777" w:rsidTr="00E774DA">
        <w:tc>
          <w:tcPr>
            <w:tcW w:w="4410" w:type="dxa"/>
          </w:tcPr>
          <w:p w14:paraId="7AF89590"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56B111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5AA5ECD9" w14:textId="0D613641"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2A7C1DA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768B04F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4E4B058C"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F20A925"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10D2288A" w14:textId="77777777" w:rsidTr="00BB5D3A">
        <w:tc>
          <w:tcPr>
            <w:tcW w:w="4410" w:type="dxa"/>
          </w:tcPr>
          <w:p w14:paraId="60FFD4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720" w:type="dxa"/>
          </w:tcPr>
          <w:p w14:paraId="579D8BFB"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D4ED56B" w14:textId="577C5389"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245E2DD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4C11148D"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464E4CB3"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44E142F2"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BB5D3A" w:rsidRPr="00487CAB" w14:paraId="522C7068" w14:textId="77777777" w:rsidTr="00BB5D3A">
        <w:tc>
          <w:tcPr>
            <w:tcW w:w="4410" w:type="dxa"/>
          </w:tcPr>
          <w:p w14:paraId="6969FBD0" w14:textId="77777777" w:rsidR="00BB5D3A" w:rsidRPr="00487CAB" w:rsidRDefault="00BB5D3A" w:rsidP="00E07358">
            <w:pPr>
              <w:tabs>
                <w:tab w:val="left" w:pos="144"/>
                <w:tab w:val="left" w:pos="324"/>
                <w:tab w:val="right" w:pos="9180"/>
              </w:tabs>
              <w:rPr>
                <w:snapToGrid w:val="0"/>
                <w:color w:val="000000"/>
                <w:sz w:val="19"/>
                <w:szCs w:val="19"/>
              </w:rPr>
            </w:pPr>
            <w:bookmarkStart w:id="10" w:name="_Hlk138679959"/>
            <w:r w:rsidRPr="00487CAB">
              <w:rPr>
                <w:snapToGrid w:val="0"/>
                <w:color w:val="000000"/>
                <w:sz w:val="19"/>
                <w:szCs w:val="19"/>
              </w:rPr>
              <w:tab/>
              <w:t xml:space="preserve">Sale of </w:t>
            </w:r>
            <w:r>
              <w:rPr>
                <w:snapToGrid w:val="0"/>
                <w:color w:val="000000"/>
                <w:sz w:val="19"/>
                <w:szCs w:val="19"/>
              </w:rPr>
              <w:t>common stock and warrants for cash</w:t>
            </w:r>
          </w:p>
        </w:tc>
        <w:tc>
          <w:tcPr>
            <w:tcW w:w="720" w:type="dxa"/>
          </w:tcPr>
          <w:p w14:paraId="492498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20C4CCEC" w14:textId="520FF48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38F639B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59114CB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07B7FE04"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38989F85"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BB5D3A" w:rsidRPr="00487CAB" w14:paraId="7FB4C15A" w14:textId="77777777" w:rsidTr="00BB5D3A">
        <w:tc>
          <w:tcPr>
            <w:tcW w:w="4410" w:type="dxa"/>
          </w:tcPr>
          <w:p w14:paraId="0DE11D60" w14:textId="77777777" w:rsidR="00BB5D3A" w:rsidRPr="00487CAB" w:rsidRDefault="00BB5D3A" w:rsidP="00E07358">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35AD75AA"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1D62ABA0" w14:textId="1BF8DFC6"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6D5EDB6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6B152802"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25ACCA24"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0D392D4"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24</w:t>
            </w:r>
          </w:p>
        </w:tc>
      </w:tr>
      <w:tr w:rsidR="00BB5D3A" w:rsidRPr="00487CAB" w14:paraId="466F2ED4" w14:textId="77777777" w:rsidTr="00BB5D3A">
        <w:tc>
          <w:tcPr>
            <w:tcW w:w="4410" w:type="dxa"/>
          </w:tcPr>
          <w:p w14:paraId="546AA117"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24E5E66F"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FF46A74" w14:textId="5A87C03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EA4912D"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622530"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2239AB5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96EB053"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190,191</w:t>
            </w:r>
          </w:p>
        </w:tc>
      </w:tr>
      <w:tr w:rsidR="00BB5D3A" w:rsidRPr="00487CAB" w14:paraId="48587303" w14:textId="77777777" w:rsidTr="00BB5D3A">
        <w:tc>
          <w:tcPr>
            <w:tcW w:w="4410" w:type="dxa"/>
          </w:tcPr>
          <w:p w14:paraId="32644A37"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720" w:type="dxa"/>
          </w:tcPr>
          <w:p w14:paraId="1DF1B3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149A7F16" w14:textId="22C5EBB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60A3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1B03B0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0D5ABB2"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5028CD4A"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BB5D3A" w:rsidRPr="00487CAB" w14:paraId="6539D708" w14:textId="77777777" w:rsidTr="007435E1">
        <w:tc>
          <w:tcPr>
            <w:tcW w:w="4410" w:type="dxa"/>
          </w:tcPr>
          <w:p w14:paraId="04411FD9"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720" w:type="dxa"/>
          </w:tcPr>
          <w:p w14:paraId="59930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tcBorders>
          </w:tcPr>
          <w:p w14:paraId="64945F7D" w14:textId="5C7D9A3D"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tcBorders>
          </w:tcPr>
          <w:p w14:paraId="2B2019AD" w14:textId="50D2DADB"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w:t>
            </w:r>
          </w:p>
        </w:tc>
        <w:tc>
          <w:tcPr>
            <w:tcW w:w="1440" w:type="dxa"/>
            <w:tcBorders>
              <w:top w:val="single" w:sz="4" w:space="0" w:color="auto"/>
            </w:tcBorders>
          </w:tcPr>
          <w:p w14:paraId="0985BE78" w14:textId="4422EDC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78,147,616</w:t>
            </w:r>
          </w:p>
        </w:tc>
        <w:tc>
          <w:tcPr>
            <w:tcW w:w="1350" w:type="dxa"/>
            <w:tcBorders>
              <w:top w:val="single" w:sz="4" w:space="0" w:color="auto"/>
            </w:tcBorders>
          </w:tcPr>
          <w:p w14:paraId="6AE8B30B" w14:textId="0B09E768"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(66,803,413)</w:t>
            </w:r>
          </w:p>
        </w:tc>
        <w:tc>
          <w:tcPr>
            <w:tcW w:w="1800" w:type="dxa"/>
            <w:tcBorders>
              <w:top w:val="single" w:sz="4" w:space="0" w:color="auto"/>
            </w:tcBorders>
          </w:tcPr>
          <w:p w14:paraId="7C29A8B3" w14:textId="15FF4605"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11,353,652</w:t>
            </w:r>
          </w:p>
        </w:tc>
      </w:tr>
      <w:bookmarkEnd w:id="10"/>
      <w:tr w:rsidR="007435E1" w:rsidRPr="00487CAB" w14:paraId="014ED497" w14:textId="77777777" w:rsidTr="00F67DB5">
        <w:tc>
          <w:tcPr>
            <w:tcW w:w="4410" w:type="dxa"/>
          </w:tcPr>
          <w:p w14:paraId="5ED671B6" w14:textId="77777777"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720" w:type="dxa"/>
          </w:tcPr>
          <w:p w14:paraId="63D53ECA"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06D6A5E6" w14:textId="17CE5A0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1,050,000</w:t>
            </w:r>
          </w:p>
        </w:tc>
        <w:tc>
          <w:tcPr>
            <w:tcW w:w="1170" w:type="dxa"/>
          </w:tcPr>
          <w:p w14:paraId="73A72C36" w14:textId="34A48501"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1,050</w:t>
            </w:r>
          </w:p>
        </w:tc>
        <w:tc>
          <w:tcPr>
            <w:tcW w:w="1440" w:type="dxa"/>
          </w:tcPr>
          <w:p w14:paraId="6F5814A4" w14:textId="610CCABA"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18,496,896</w:t>
            </w:r>
          </w:p>
        </w:tc>
        <w:tc>
          <w:tcPr>
            <w:tcW w:w="1350" w:type="dxa"/>
          </w:tcPr>
          <w:p w14:paraId="211CCFB1" w14:textId="77777777"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6958735E" w14:textId="1A3885BB"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18,497,946</w:t>
            </w:r>
          </w:p>
        </w:tc>
      </w:tr>
      <w:tr w:rsidR="007435E1" w:rsidRPr="00487CAB" w14:paraId="485AE05D" w14:textId="77777777" w:rsidTr="00F67DB5">
        <w:tc>
          <w:tcPr>
            <w:tcW w:w="4410" w:type="dxa"/>
          </w:tcPr>
          <w:p w14:paraId="483E4680" w14:textId="77777777" w:rsidR="007435E1" w:rsidRPr="00487CAB" w:rsidRDefault="007435E1" w:rsidP="00F67DB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18236556"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20F3421A" w14:textId="7D216E4B"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5,671,214</w:t>
            </w:r>
          </w:p>
        </w:tc>
        <w:tc>
          <w:tcPr>
            <w:tcW w:w="1170" w:type="dxa"/>
          </w:tcPr>
          <w:p w14:paraId="2F3B9937" w14:textId="335340D4"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5,671</w:t>
            </w:r>
          </w:p>
        </w:tc>
        <w:tc>
          <w:tcPr>
            <w:tcW w:w="1440" w:type="dxa"/>
          </w:tcPr>
          <w:p w14:paraId="1C71AE8C" w14:textId="48D5B600"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(5,104)</w:t>
            </w:r>
          </w:p>
        </w:tc>
        <w:tc>
          <w:tcPr>
            <w:tcW w:w="1350" w:type="dxa"/>
          </w:tcPr>
          <w:p w14:paraId="5041E2FC" w14:textId="77777777" w:rsidR="007435E1" w:rsidRPr="00487CAB" w:rsidRDefault="007435E1" w:rsidP="00F67DB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AADCB3F" w14:textId="6368AB9C" w:rsidR="007435E1" w:rsidRPr="00487CAB" w:rsidRDefault="007435E1" w:rsidP="00F67DB5">
            <w:pPr>
              <w:tabs>
                <w:tab w:val="decimal" w:pos="1418"/>
                <w:tab w:val="right" w:pos="9180"/>
              </w:tabs>
              <w:rPr>
                <w:snapToGrid w:val="0"/>
                <w:color w:val="000000"/>
                <w:sz w:val="19"/>
                <w:szCs w:val="19"/>
              </w:rPr>
            </w:pPr>
            <w:r>
              <w:rPr>
                <w:snapToGrid w:val="0"/>
                <w:color w:val="000000"/>
                <w:sz w:val="19"/>
                <w:szCs w:val="19"/>
              </w:rPr>
              <w:tab/>
            </w:r>
            <w:r w:rsidR="00932F75">
              <w:rPr>
                <w:snapToGrid w:val="0"/>
                <w:color w:val="000000"/>
                <w:sz w:val="19"/>
                <w:szCs w:val="19"/>
              </w:rPr>
              <w:t>567</w:t>
            </w:r>
          </w:p>
        </w:tc>
      </w:tr>
      <w:tr w:rsidR="00932F75" w:rsidRPr="00487CAB" w14:paraId="7BADA3FE" w14:textId="77777777" w:rsidTr="00F67DB5">
        <w:tc>
          <w:tcPr>
            <w:tcW w:w="4410" w:type="dxa"/>
          </w:tcPr>
          <w:p w14:paraId="01ECE318" w14:textId="224E1F10" w:rsidR="00932F75" w:rsidRDefault="00932F75" w:rsidP="00F67DB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720" w:type="dxa"/>
          </w:tcPr>
          <w:p w14:paraId="77D0C5F7" w14:textId="77777777" w:rsidR="00932F75" w:rsidRDefault="00932F75" w:rsidP="00F67DB5">
            <w:pPr>
              <w:tabs>
                <w:tab w:val="decimal" w:pos="1148"/>
                <w:tab w:val="decimal" w:pos="1422"/>
                <w:tab w:val="left" w:pos="2340"/>
                <w:tab w:val="right" w:pos="9180"/>
              </w:tabs>
              <w:rPr>
                <w:snapToGrid w:val="0"/>
                <w:color w:val="000000"/>
                <w:sz w:val="19"/>
                <w:szCs w:val="19"/>
              </w:rPr>
            </w:pPr>
          </w:p>
        </w:tc>
        <w:tc>
          <w:tcPr>
            <w:tcW w:w="1440" w:type="dxa"/>
          </w:tcPr>
          <w:p w14:paraId="1F47820E" w14:textId="0E5BBC71"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68,500</w:t>
            </w:r>
          </w:p>
        </w:tc>
        <w:tc>
          <w:tcPr>
            <w:tcW w:w="1170" w:type="dxa"/>
          </w:tcPr>
          <w:p w14:paraId="15551E18" w14:textId="0734954A"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69</w:t>
            </w:r>
          </w:p>
        </w:tc>
        <w:tc>
          <w:tcPr>
            <w:tcW w:w="1440" w:type="dxa"/>
          </w:tcPr>
          <w:p w14:paraId="7D702B5F" w14:textId="3CB017B3" w:rsidR="00932F75" w:rsidRDefault="00932F75"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71,931</w:t>
            </w:r>
          </w:p>
        </w:tc>
        <w:tc>
          <w:tcPr>
            <w:tcW w:w="1350" w:type="dxa"/>
          </w:tcPr>
          <w:p w14:paraId="533CE59B" w14:textId="4A78233E" w:rsidR="00932F75" w:rsidRDefault="00932F75" w:rsidP="00F67DB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2413C28" w14:textId="0F9FACE5" w:rsidR="00932F75" w:rsidRDefault="00932F75" w:rsidP="00F67DB5">
            <w:pPr>
              <w:tabs>
                <w:tab w:val="decimal" w:pos="1418"/>
                <w:tab w:val="right" w:pos="9180"/>
              </w:tabs>
              <w:rPr>
                <w:snapToGrid w:val="0"/>
                <w:color w:val="000000"/>
                <w:sz w:val="19"/>
                <w:szCs w:val="19"/>
              </w:rPr>
            </w:pPr>
            <w:r>
              <w:rPr>
                <w:snapToGrid w:val="0"/>
                <w:color w:val="000000"/>
                <w:sz w:val="19"/>
                <w:szCs w:val="19"/>
              </w:rPr>
              <w:tab/>
              <w:t>72,000</w:t>
            </w:r>
          </w:p>
        </w:tc>
      </w:tr>
      <w:tr w:rsidR="007435E1" w:rsidRPr="00487CAB" w14:paraId="222D61F2" w14:textId="77777777" w:rsidTr="00F67DB5">
        <w:tc>
          <w:tcPr>
            <w:tcW w:w="4410" w:type="dxa"/>
          </w:tcPr>
          <w:p w14:paraId="615E3DA1" w14:textId="77777777" w:rsidR="007435E1" w:rsidRDefault="007435E1" w:rsidP="00F67DB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776F2E44" w14:textId="77777777" w:rsidR="007435E1" w:rsidRDefault="007435E1" w:rsidP="00F67DB5">
            <w:pPr>
              <w:tabs>
                <w:tab w:val="decimal" w:pos="1148"/>
                <w:tab w:val="decimal" w:pos="1422"/>
                <w:tab w:val="left" w:pos="2340"/>
                <w:tab w:val="right" w:pos="9180"/>
              </w:tabs>
              <w:rPr>
                <w:snapToGrid w:val="0"/>
                <w:color w:val="000000"/>
                <w:sz w:val="19"/>
                <w:szCs w:val="19"/>
              </w:rPr>
            </w:pPr>
          </w:p>
        </w:tc>
        <w:tc>
          <w:tcPr>
            <w:tcW w:w="1440" w:type="dxa"/>
          </w:tcPr>
          <w:p w14:paraId="7F4ECC4D"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D00B1DE" w14:textId="77777777"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EB449EB" w14:textId="04242584" w:rsidR="007435E1"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32F75">
              <w:rPr>
                <w:snapToGrid w:val="0"/>
                <w:color w:val="000000"/>
                <w:sz w:val="19"/>
                <w:szCs w:val="19"/>
              </w:rPr>
              <w:t>190,191</w:t>
            </w:r>
          </w:p>
        </w:tc>
        <w:tc>
          <w:tcPr>
            <w:tcW w:w="1350" w:type="dxa"/>
          </w:tcPr>
          <w:p w14:paraId="1584A606" w14:textId="77777777" w:rsidR="007435E1" w:rsidRPr="00636549" w:rsidRDefault="007435E1" w:rsidP="007435E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CE1EC27" w14:textId="68DA73C2" w:rsidR="007435E1" w:rsidRDefault="007435E1" w:rsidP="00F67DB5">
            <w:pPr>
              <w:tabs>
                <w:tab w:val="decimal" w:pos="1418"/>
                <w:tab w:val="right" w:pos="9180"/>
              </w:tabs>
              <w:rPr>
                <w:snapToGrid w:val="0"/>
                <w:color w:val="000000"/>
                <w:sz w:val="19"/>
                <w:szCs w:val="19"/>
              </w:rPr>
            </w:pPr>
            <w:r>
              <w:rPr>
                <w:snapToGrid w:val="0"/>
                <w:color w:val="000000"/>
                <w:sz w:val="19"/>
                <w:szCs w:val="19"/>
              </w:rPr>
              <w:tab/>
            </w:r>
            <w:r w:rsidR="00932F75">
              <w:rPr>
                <w:snapToGrid w:val="0"/>
                <w:color w:val="000000"/>
                <w:sz w:val="19"/>
                <w:szCs w:val="19"/>
              </w:rPr>
              <w:t>190,191</w:t>
            </w:r>
          </w:p>
        </w:tc>
      </w:tr>
      <w:tr w:rsidR="007435E1" w:rsidRPr="00487CAB" w14:paraId="7254F599" w14:textId="77777777" w:rsidTr="00F67DB5">
        <w:tc>
          <w:tcPr>
            <w:tcW w:w="4410" w:type="dxa"/>
          </w:tcPr>
          <w:p w14:paraId="42134938" w14:textId="23A01F05"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720" w:type="dxa"/>
          </w:tcPr>
          <w:p w14:paraId="78ECCE0B"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2FA980FF"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4C67A00"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D4310CB" w14:textId="79BFF3C5"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w:t>
            </w:r>
          </w:p>
        </w:tc>
        <w:tc>
          <w:tcPr>
            <w:tcW w:w="1350" w:type="dxa"/>
            <w:tcBorders>
              <w:bottom w:val="single" w:sz="4" w:space="0" w:color="auto"/>
            </w:tcBorders>
          </w:tcPr>
          <w:p w14:paraId="30E7F777" w14:textId="3DD8AE30" w:rsidR="007435E1" w:rsidRPr="00487CAB" w:rsidRDefault="007435E1" w:rsidP="00F67DB5">
            <w:pPr>
              <w:tabs>
                <w:tab w:val="decimal" w:pos="1150"/>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(2,</w:t>
            </w:r>
            <w:r w:rsidR="00793CD5">
              <w:rPr>
                <w:snapToGrid w:val="0"/>
                <w:color w:val="000000"/>
                <w:sz w:val="19"/>
                <w:szCs w:val="19"/>
              </w:rPr>
              <w:t>241,699</w:t>
            </w:r>
            <w:r w:rsidR="00932F75">
              <w:rPr>
                <w:snapToGrid w:val="0"/>
                <w:color w:val="000000"/>
                <w:sz w:val="19"/>
                <w:szCs w:val="19"/>
              </w:rPr>
              <w:t>)</w:t>
            </w:r>
          </w:p>
        </w:tc>
        <w:tc>
          <w:tcPr>
            <w:tcW w:w="1800" w:type="dxa"/>
            <w:tcBorders>
              <w:bottom w:val="single" w:sz="4" w:space="0" w:color="auto"/>
            </w:tcBorders>
          </w:tcPr>
          <w:p w14:paraId="4E0D6127" w14:textId="0F7C9626" w:rsidR="007435E1" w:rsidRPr="00487CAB" w:rsidRDefault="007435E1" w:rsidP="00F67DB5">
            <w:pPr>
              <w:tabs>
                <w:tab w:val="decimal" w:pos="1418"/>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(2,241,699)</w:t>
            </w:r>
          </w:p>
        </w:tc>
      </w:tr>
      <w:tr w:rsidR="007435E1" w:rsidRPr="00487CAB" w14:paraId="2AEC2326" w14:textId="77777777" w:rsidTr="00F67DB5">
        <w:tc>
          <w:tcPr>
            <w:tcW w:w="4410" w:type="dxa"/>
          </w:tcPr>
          <w:p w14:paraId="405EE605" w14:textId="71B8EF75" w:rsidR="007435E1" w:rsidRPr="00487CAB" w:rsidRDefault="007435E1" w:rsidP="00F67DB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720" w:type="dxa"/>
          </w:tcPr>
          <w:p w14:paraId="13AB15FA" w14:textId="77777777" w:rsidR="007435E1" w:rsidRPr="00487CAB" w:rsidRDefault="007435E1" w:rsidP="00F67DB5">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2576C83A" w14:textId="67F25E11" w:rsidR="007435E1" w:rsidRPr="00487CAB" w:rsidRDefault="007435E1" w:rsidP="00F67DB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32F75">
              <w:rPr>
                <w:snapToGrid w:val="0"/>
                <w:color w:val="000000"/>
                <w:sz w:val="19"/>
                <w:szCs w:val="19"/>
              </w:rPr>
              <w:t>16,238,739</w:t>
            </w:r>
          </w:p>
        </w:tc>
        <w:tc>
          <w:tcPr>
            <w:tcW w:w="1170" w:type="dxa"/>
            <w:tcBorders>
              <w:top w:val="single" w:sz="4" w:space="0" w:color="auto"/>
              <w:bottom w:val="double" w:sz="4" w:space="0" w:color="auto"/>
            </w:tcBorders>
          </w:tcPr>
          <w:p w14:paraId="58EC1995" w14:textId="3757CC16"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32F75">
              <w:rPr>
                <w:snapToGrid w:val="0"/>
                <w:color w:val="000000"/>
                <w:sz w:val="19"/>
                <w:szCs w:val="19"/>
              </w:rPr>
              <w:t>16,239</w:t>
            </w:r>
          </w:p>
        </w:tc>
        <w:tc>
          <w:tcPr>
            <w:tcW w:w="1440" w:type="dxa"/>
            <w:tcBorders>
              <w:top w:val="single" w:sz="4" w:space="0" w:color="auto"/>
              <w:bottom w:val="double" w:sz="4" w:space="0" w:color="auto"/>
            </w:tcBorders>
          </w:tcPr>
          <w:p w14:paraId="749E5207" w14:textId="47260376" w:rsidR="007435E1" w:rsidRPr="00487CAB" w:rsidRDefault="007435E1" w:rsidP="00F67DB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32F75">
              <w:rPr>
                <w:snapToGrid w:val="0"/>
                <w:color w:val="000000"/>
                <w:sz w:val="19"/>
                <w:szCs w:val="19"/>
              </w:rPr>
              <w:t>96,901,530</w:t>
            </w:r>
          </w:p>
        </w:tc>
        <w:tc>
          <w:tcPr>
            <w:tcW w:w="1350" w:type="dxa"/>
            <w:tcBorders>
              <w:top w:val="single" w:sz="4" w:space="0" w:color="auto"/>
              <w:bottom w:val="double" w:sz="4" w:space="0" w:color="auto"/>
            </w:tcBorders>
          </w:tcPr>
          <w:p w14:paraId="78BDBBC5" w14:textId="536E456E" w:rsidR="007435E1" w:rsidRPr="00487CAB" w:rsidRDefault="007435E1" w:rsidP="00F67DB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32F75">
              <w:rPr>
                <w:snapToGrid w:val="0"/>
                <w:color w:val="000000"/>
                <w:sz w:val="19"/>
                <w:szCs w:val="19"/>
              </w:rPr>
              <w:t>(69,045,112)</w:t>
            </w:r>
          </w:p>
        </w:tc>
        <w:tc>
          <w:tcPr>
            <w:tcW w:w="1800" w:type="dxa"/>
            <w:tcBorders>
              <w:top w:val="single" w:sz="4" w:space="0" w:color="auto"/>
              <w:bottom w:val="double" w:sz="4" w:space="0" w:color="auto"/>
            </w:tcBorders>
          </w:tcPr>
          <w:p w14:paraId="21D95DB1" w14:textId="5F0E3EB3" w:rsidR="007435E1" w:rsidRPr="00487CAB" w:rsidRDefault="007435E1" w:rsidP="00F67DB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32F75">
              <w:rPr>
                <w:snapToGrid w:val="0"/>
                <w:color w:val="000000"/>
                <w:sz w:val="19"/>
                <w:szCs w:val="19"/>
              </w:rPr>
              <w:t>27,872,657</w:t>
            </w:r>
          </w:p>
        </w:tc>
      </w:tr>
    </w:tbl>
    <w:p w14:paraId="6753B019" w14:textId="77777777" w:rsidR="00BB5D3A" w:rsidRDefault="00BB5D3A" w:rsidP="004F479E">
      <w:pPr>
        <w:tabs>
          <w:tab w:val="decimal" w:pos="1152"/>
          <w:tab w:val="left" w:pos="2340"/>
          <w:tab w:val="right" w:pos="9180"/>
        </w:tabs>
        <w:rPr>
          <w:snapToGrid w:val="0"/>
          <w:color w:val="000000"/>
          <w:sz w:val="19"/>
          <w:szCs w:val="19"/>
        </w:rPr>
      </w:pPr>
    </w:p>
    <w:p w14:paraId="3C821460" w14:textId="77777777" w:rsidR="00BB5D3A" w:rsidRDefault="00BB5D3A" w:rsidP="004F479E">
      <w:pPr>
        <w:tabs>
          <w:tab w:val="decimal" w:pos="1152"/>
          <w:tab w:val="left" w:pos="2340"/>
          <w:tab w:val="right" w:pos="9180"/>
        </w:tabs>
        <w:rPr>
          <w:snapToGrid w:val="0"/>
          <w:color w:val="000000"/>
          <w:sz w:val="19"/>
          <w:szCs w:val="19"/>
        </w:rPr>
      </w:pPr>
    </w:p>
    <w:p w14:paraId="7692B5DF" w14:textId="77777777" w:rsidR="00BB5D3A" w:rsidRDefault="00BB5D3A" w:rsidP="004F479E">
      <w:pPr>
        <w:tabs>
          <w:tab w:val="decimal" w:pos="1152"/>
          <w:tab w:val="left" w:pos="2340"/>
          <w:tab w:val="right" w:pos="9180"/>
        </w:tabs>
        <w:rPr>
          <w:snapToGrid w:val="0"/>
          <w:color w:val="000000"/>
          <w:sz w:val="19"/>
          <w:szCs w:val="19"/>
        </w:rPr>
      </w:pPr>
    </w:p>
    <w:bookmarkEnd w:id="8"/>
    <w:p w14:paraId="06FCDFDD" w14:textId="2E24C973" w:rsidR="004F479E" w:rsidRDefault="004F479E" w:rsidP="00487CAB">
      <w:pPr>
        <w:tabs>
          <w:tab w:val="decimal" w:pos="1152"/>
          <w:tab w:val="left" w:pos="2340"/>
          <w:tab w:val="right" w:pos="9180"/>
        </w:tabs>
        <w:rPr>
          <w:snapToGrid w:val="0"/>
          <w:color w:val="000000"/>
        </w:rPr>
      </w:pPr>
    </w:p>
    <w:p w14:paraId="5451020A" w14:textId="42C81B7D"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5B939259" w:rsidR="006E7CF8" w:rsidRDefault="00487CAB" w:rsidP="006C1B86">
      <w:pPr>
        <w:tabs>
          <w:tab w:val="left" w:pos="1080"/>
          <w:tab w:val="left" w:pos="1260"/>
          <w:tab w:val="left" w:pos="2340"/>
          <w:tab w:val="right" w:pos="9180"/>
        </w:tabs>
        <w:ind w:right="-360"/>
        <w:jc w:val="center"/>
      </w:pPr>
      <w:r w:rsidRPr="00487CAB">
        <w:rPr>
          <w:snapToGrid w:val="0"/>
          <w:color w:val="000000"/>
        </w:rPr>
        <w:t xml:space="preserve">See accompanying notes to </w:t>
      </w:r>
      <w:r w:rsidR="00E774DA">
        <w:rPr>
          <w:snapToGrid w:val="0"/>
          <w:color w:val="000000"/>
        </w:rPr>
        <w:t xml:space="preserve">condensed </w:t>
      </w:r>
      <w:r w:rsidRPr="00487CAB">
        <w:rPr>
          <w:snapToGrid w:val="0"/>
          <w:color w:val="000000"/>
        </w:rPr>
        <w:t>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3415111C" w:rsidR="002D627A" w:rsidRPr="000D3DC5" w:rsidRDefault="00932F75" w:rsidP="00FD4723">
            <w:pPr>
              <w:tabs>
                <w:tab w:val="decimal" w:pos="1044"/>
                <w:tab w:val="right" w:pos="9180"/>
              </w:tabs>
              <w:ind w:right="-18"/>
              <w:jc w:val="center"/>
            </w:pPr>
            <w:r>
              <w:t>Six</w:t>
            </w:r>
            <w:r w:rsidR="002D627A">
              <w:t xml:space="preserve"> Months Ended </w:t>
            </w:r>
            <w:r>
              <w:t>June</w:t>
            </w:r>
            <w:r w:rsidR="006E7CF8">
              <w:t xml:space="preserve"> 3</w:t>
            </w:r>
            <w:r>
              <w:t>0</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4D9F85D" w:rsidR="002D627A" w:rsidRPr="000D3DC5" w:rsidRDefault="002D627A" w:rsidP="002D627A">
            <w:pPr>
              <w:tabs>
                <w:tab w:val="decimal" w:pos="1044"/>
                <w:tab w:val="decimal" w:pos="1332"/>
                <w:tab w:val="right" w:pos="9180"/>
              </w:tabs>
              <w:jc w:val="center"/>
            </w:pPr>
            <w:r>
              <w:t>20</w:t>
            </w:r>
            <w:r w:rsidR="00587925">
              <w:t>2</w:t>
            </w:r>
            <w:r w:rsidR="00E440EE">
              <w:t>3</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523EB4E1" w:rsidR="002D627A" w:rsidRPr="000D3DC5" w:rsidRDefault="002D627A" w:rsidP="002D627A">
            <w:pPr>
              <w:tabs>
                <w:tab w:val="decimal" w:pos="1044"/>
                <w:tab w:val="right" w:pos="9180"/>
              </w:tabs>
              <w:ind w:right="-18"/>
              <w:jc w:val="center"/>
            </w:pPr>
            <w:r>
              <w:t>20</w:t>
            </w:r>
            <w:r w:rsidR="00ED1AE4">
              <w:t>2</w:t>
            </w:r>
            <w:r w:rsidR="00E440EE">
              <w:t>2</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4CAC28DE" w:rsidR="002D627A" w:rsidRPr="000D3DC5" w:rsidRDefault="002D627A" w:rsidP="00FD4723">
            <w:pPr>
              <w:tabs>
                <w:tab w:val="decimal" w:pos="1332"/>
                <w:tab w:val="right" w:pos="9180"/>
              </w:tabs>
            </w:pPr>
            <w:r w:rsidRPr="000D3DC5">
              <w:t>$</w:t>
            </w:r>
            <w:r w:rsidRPr="000D3DC5">
              <w:tab/>
            </w:r>
            <w:r w:rsidR="002C59EC">
              <w:t>(9,</w:t>
            </w:r>
            <w:r w:rsidR="00DF72F8">
              <w:t>9</w:t>
            </w:r>
            <w:r w:rsidR="00793CD5">
              <w:t>65,536</w:t>
            </w:r>
            <w:r w:rsidR="00DF72F8">
              <w:t>)</w:t>
            </w:r>
          </w:p>
        </w:tc>
        <w:tc>
          <w:tcPr>
            <w:tcW w:w="360" w:type="dxa"/>
          </w:tcPr>
          <w:p w14:paraId="57942AE3" w14:textId="77777777" w:rsidR="002D627A" w:rsidRPr="000D3DC5" w:rsidRDefault="002D627A" w:rsidP="002D627A">
            <w:pPr>
              <w:tabs>
                <w:tab w:val="right" w:pos="9180"/>
              </w:tabs>
            </w:pPr>
          </w:p>
        </w:tc>
        <w:tc>
          <w:tcPr>
            <w:tcW w:w="1620" w:type="dxa"/>
          </w:tcPr>
          <w:p w14:paraId="6A3E34C2" w14:textId="7C85B98B" w:rsidR="002D627A" w:rsidRPr="000D3DC5" w:rsidRDefault="006E7CF8" w:rsidP="002D627A">
            <w:pPr>
              <w:tabs>
                <w:tab w:val="decimal" w:pos="1152"/>
                <w:tab w:val="right" w:pos="9180"/>
              </w:tabs>
            </w:pPr>
            <w:r>
              <w:t>$</w:t>
            </w:r>
            <w:r>
              <w:tab/>
              <w:t>(</w:t>
            </w:r>
            <w:r w:rsidR="00932F75">
              <w:t>4,669,214</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1FEF981B" w:rsidR="002D627A" w:rsidRPr="000D3DC5" w:rsidRDefault="002D627A" w:rsidP="002D627A">
            <w:r w:rsidRPr="000D3DC5">
              <w:t xml:space="preserve">Depreciation </w:t>
            </w:r>
            <w:r w:rsidR="00A6252C">
              <w:t>expense</w:t>
            </w:r>
          </w:p>
        </w:tc>
        <w:tc>
          <w:tcPr>
            <w:tcW w:w="1555" w:type="dxa"/>
          </w:tcPr>
          <w:p w14:paraId="19B164C5" w14:textId="77777777" w:rsidR="002D627A" w:rsidRPr="000D3DC5" w:rsidRDefault="002D627A" w:rsidP="002D627A">
            <w:pPr>
              <w:tabs>
                <w:tab w:val="right" w:pos="9180"/>
              </w:tabs>
            </w:pPr>
          </w:p>
        </w:tc>
        <w:tc>
          <w:tcPr>
            <w:tcW w:w="1800" w:type="dxa"/>
          </w:tcPr>
          <w:p w14:paraId="45738E17" w14:textId="3D066A7D" w:rsidR="002D627A" w:rsidRPr="000D3DC5" w:rsidRDefault="00767AC2" w:rsidP="002D627A">
            <w:pPr>
              <w:tabs>
                <w:tab w:val="decimal" w:pos="1332"/>
                <w:tab w:val="right" w:pos="9180"/>
              </w:tabs>
            </w:pPr>
            <w:r>
              <w:tab/>
            </w:r>
            <w:r w:rsidR="00DF72F8">
              <w:t>34,637</w:t>
            </w:r>
          </w:p>
        </w:tc>
        <w:tc>
          <w:tcPr>
            <w:tcW w:w="360" w:type="dxa"/>
          </w:tcPr>
          <w:p w14:paraId="7D1EEEDB" w14:textId="77777777" w:rsidR="002D627A" w:rsidRPr="000D3DC5" w:rsidRDefault="002D627A" w:rsidP="002D627A">
            <w:pPr>
              <w:tabs>
                <w:tab w:val="right" w:pos="9180"/>
              </w:tabs>
            </w:pPr>
          </w:p>
        </w:tc>
        <w:tc>
          <w:tcPr>
            <w:tcW w:w="1620" w:type="dxa"/>
          </w:tcPr>
          <w:p w14:paraId="26BE33FB" w14:textId="13897BEC" w:rsidR="002D627A" w:rsidRPr="000D3DC5" w:rsidRDefault="006E7CF8" w:rsidP="002D627A">
            <w:pPr>
              <w:tabs>
                <w:tab w:val="decimal" w:pos="1152"/>
                <w:tab w:val="right" w:pos="9180"/>
              </w:tabs>
            </w:pPr>
            <w:r>
              <w:tab/>
            </w:r>
            <w:r w:rsidR="00932F75">
              <w:t>24,538</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3F0918D4" w:rsidR="002D627A" w:rsidRPr="000D3DC5" w:rsidRDefault="00767AC2" w:rsidP="002D627A">
            <w:pPr>
              <w:tabs>
                <w:tab w:val="decimal" w:pos="1332"/>
                <w:tab w:val="right" w:pos="9180"/>
              </w:tabs>
            </w:pPr>
            <w:r>
              <w:tab/>
            </w:r>
            <w:r w:rsidR="00DF72F8">
              <w:t>515,552</w:t>
            </w:r>
          </w:p>
        </w:tc>
        <w:tc>
          <w:tcPr>
            <w:tcW w:w="360" w:type="dxa"/>
          </w:tcPr>
          <w:p w14:paraId="1605946C" w14:textId="77777777" w:rsidR="002D627A" w:rsidRPr="000D3DC5" w:rsidRDefault="002D627A" w:rsidP="002D627A">
            <w:pPr>
              <w:tabs>
                <w:tab w:val="right" w:pos="9180"/>
              </w:tabs>
            </w:pPr>
          </w:p>
        </w:tc>
        <w:tc>
          <w:tcPr>
            <w:tcW w:w="1620" w:type="dxa"/>
          </w:tcPr>
          <w:p w14:paraId="6F1BA9DB" w14:textId="0C38FE98" w:rsidR="002D627A" w:rsidRPr="000D3DC5" w:rsidRDefault="006E7CF8" w:rsidP="002D627A">
            <w:pPr>
              <w:tabs>
                <w:tab w:val="decimal" w:pos="1152"/>
                <w:tab w:val="right" w:pos="9180"/>
              </w:tabs>
            </w:pPr>
            <w:r>
              <w:tab/>
            </w:r>
            <w:r w:rsidR="00932F75">
              <w:t>412,329</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1E89EEE1" w:rsidR="002D627A" w:rsidRPr="000D3DC5" w:rsidRDefault="002D627A" w:rsidP="002D627A">
            <w:pPr>
              <w:tabs>
                <w:tab w:val="right" w:pos="9180"/>
              </w:tabs>
            </w:pPr>
            <w:r>
              <w:t>Grant funds receivable</w:t>
            </w:r>
          </w:p>
        </w:tc>
        <w:tc>
          <w:tcPr>
            <w:tcW w:w="1800" w:type="dxa"/>
          </w:tcPr>
          <w:p w14:paraId="56ADA91A" w14:textId="5B0A4937" w:rsidR="002D627A" w:rsidRDefault="00767AC2" w:rsidP="002D627A">
            <w:pPr>
              <w:tabs>
                <w:tab w:val="decimal" w:pos="1332"/>
                <w:tab w:val="right" w:pos="9180"/>
              </w:tabs>
            </w:pPr>
            <w:r>
              <w:tab/>
            </w:r>
            <w:r w:rsidR="00DF72F8">
              <w:t>-</w:t>
            </w:r>
          </w:p>
        </w:tc>
        <w:tc>
          <w:tcPr>
            <w:tcW w:w="360" w:type="dxa"/>
          </w:tcPr>
          <w:p w14:paraId="5F3D2CF9" w14:textId="77777777" w:rsidR="002D627A" w:rsidRPr="000D3DC5" w:rsidRDefault="002D627A" w:rsidP="002D627A">
            <w:pPr>
              <w:tabs>
                <w:tab w:val="right" w:pos="9180"/>
              </w:tabs>
            </w:pPr>
          </w:p>
        </w:tc>
        <w:tc>
          <w:tcPr>
            <w:tcW w:w="1620" w:type="dxa"/>
          </w:tcPr>
          <w:p w14:paraId="48F34730" w14:textId="6411C3DF" w:rsidR="002D627A" w:rsidRDefault="006E7CF8" w:rsidP="002D627A">
            <w:pPr>
              <w:tabs>
                <w:tab w:val="decimal" w:pos="1152"/>
                <w:tab w:val="right" w:pos="9180"/>
              </w:tabs>
            </w:pPr>
            <w:r>
              <w:tab/>
            </w:r>
            <w:r w:rsidR="00932F75">
              <w:t>49,006</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6A226715" w:rsidR="002D627A" w:rsidRPr="000D3DC5" w:rsidRDefault="00767AC2" w:rsidP="002D627A">
            <w:pPr>
              <w:tabs>
                <w:tab w:val="decimal" w:pos="1332"/>
                <w:tab w:val="right" w:pos="9180"/>
              </w:tabs>
            </w:pPr>
            <w:r>
              <w:tab/>
            </w:r>
            <w:r w:rsidR="00DF72F8">
              <w:t>(698,785)</w:t>
            </w:r>
          </w:p>
        </w:tc>
        <w:tc>
          <w:tcPr>
            <w:tcW w:w="360" w:type="dxa"/>
          </w:tcPr>
          <w:p w14:paraId="6A52DAE9" w14:textId="77777777" w:rsidR="002D627A" w:rsidRPr="000D3DC5" w:rsidRDefault="002D627A" w:rsidP="002D627A">
            <w:pPr>
              <w:tabs>
                <w:tab w:val="right" w:pos="9180"/>
              </w:tabs>
            </w:pPr>
          </w:p>
        </w:tc>
        <w:tc>
          <w:tcPr>
            <w:tcW w:w="1620" w:type="dxa"/>
          </w:tcPr>
          <w:p w14:paraId="07A50865" w14:textId="19C8D7FA" w:rsidR="002D627A" w:rsidRPr="000D3DC5" w:rsidRDefault="006E7CF8" w:rsidP="002D627A">
            <w:pPr>
              <w:tabs>
                <w:tab w:val="decimal" w:pos="1152"/>
                <w:tab w:val="right" w:pos="9180"/>
              </w:tabs>
            </w:pPr>
            <w:r>
              <w:tab/>
            </w:r>
            <w:r w:rsidR="00E440EE">
              <w:t>(</w:t>
            </w:r>
            <w:r w:rsidR="00932F75">
              <w:t>939,487</w:t>
            </w:r>
            <w:r w:rsidR="00E440EE">
              <w:t>)</w:t>
            </w:r>
          </w:p>
        </w:tc>
      </w:tr>
      <w:tr w:rsidR="00C360D2" w:rsidRPr="000D3DC5" w14:paraId="5E84CD98" w14:textId="77777777" w:rsidTr="002D627A">
        <w:tc>
          <w:tcPr>
            <w:tcW w:w="378" w:type="dxa"/>
          </w:tcPr>
          <w:p w14:paraId="7AE2A4DA" w14:textId="77777777" w:rsidR="00C360D2" w:rsidRPr="000D3DC5" w:rsidRDefault="00C360D2" w:rsidP="002D627A"/>
        </w:tc>
        <w:tc>
          <w:tcPr>
            <w:tcW w:w="425" w:type="dxa"/>
          </w:tcPr>
          <w:p w14:paraId="63DB385A" w14:textId="77777777" w:rsidR="00C360D2" w:rsidRPr="000D3DC5" w:rsidRDefault="00C360D2" w:rsidP="002D627A"/>
        </w:tc>
        <w:tc>
          <w:tcPr>
            <w:tcW w:w="385" w:type="dxa"/>
            <w:gridSpan w:val="2"/>
          </w:tcPr>
          <w:p w14:paraId="6C0DC9F5" w14:textId="77777777" w:rsidR="00C360D2" w:rsidRPr="000D3DC5" w:rsidRDefault="00C360D2" w:rsidP="002D627A"/>
        </w:tc>
        <w:tc>
          <w:tcPr>
            <w:tcW w:w="5220" w:type="dxa"/>
            <w:gridSpan w:val="4"/>
          </w:tcPr>
          <w:p w14:paraId="6809A01B" w14:textId="18DD0A3B" w:rsidR="00C360D2" w:rsidRPr="000D3DC5" w:rsidRDefault="00C360D2" w:rsidP="002D627A">
            <w:pPr>
              <w:tabs>
                <w:tab w:val="right" w:pos="9180"/>
              </w:tabs>
            </w:pPr>
            <w:r>
              <w:t>Other assets</w:t>
            </w:r>
          </w:p>
        </w:tc>
        <w:tc>
          <w:tcPr>
            <w:tcW w:w="1800" w:type="dxa"/>
          </w:tcPr>
          <w:p w14:paraId="54501F6C" w14:textId="4C1D23B7" w:rsidR="00C360D2" w:rsidRDefault="00C360D2" w:rsidP="002D627A">
            <w:pPr>
              <w:tabs>
                <w:tab w:val="decimal" w:pos="1332"/>
                <w:tab w:val="right" w:pos="9180"/>
              </w:tabs>
            </w:pPr>
            <w:r>
              <w:tab/>
            </w:r>
            <w:r w:rsidR="00DF72F8">
              <w:t>976,498</w:t>
            </w:r>
          </w:p>
        </w:tc>
        <w:tc>
          <w:tcPr>
            <w:tcW w:w="360" w:type="dxa"/>
          </w:tcPr>
          <w:p w14:paraId="20D2567E" w14:textId="77777777" w:rsidR="00C360D2" w:rsidRPr="000D3DC5" w:rsidRDefault="00C360D2" w:rsidP="002D627A">
            <w:pPr>
              <w:tabs>
                <w:tab w:val="right" w:pos="9180"/>
              </w:tabs>
            </w:pPr>
          </w:p>
        </w:tc>
        <w:tc>
          <w:tcPr>
            <w:tcW w:w="1620" w:type="dxa"/>
          </w:tcPr>
          <w:p w14:paraId="404CD499" w14:textId="3F479D8A" w:rsidR="00C360D2" w:rsidRDefault="00C360D2" w:rsidP="002D627A">
            <w:pPr>
              <w:tabs>
                <w:tab w:val="decimal" w:pos="1152"/>
                <w:tab w:val="right" w:pos="9180"/>
              </w:tabs>
            </w:pPr>
            <w:r>
              <w:tab/>
            </w:r>
            <w:r w:rsidR="00932F75">
              <w:t>(976,498)</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1C691515" w:rsidR="002D627A" w:rsidRPr="000D3DC5" w:rsidRDefault="002D627A" w:rsidP="002D627A">
            <w:pPr>
              <w:tabs>
                <w:tab w:val="right" w:pos="9180"/>
              </w:tabs>
            </w:pPr>
            <w:r w:rsidRPr="000D3DC5">
              <w:t>Accounts payable</w:t>
            </w:r>
            <w:r w:rsidR="002072C5">
              <w:t xml:space="preserve"> and</w:t>
            </w:r>
            <w:r w:rsidR="00454D03">
              <w:t xml:space="preserve"> </w:t>
            </w:r>
            <w:r w:rsidRPr="000D3DC5">
              <w:t>accrued expenses</w:t>
            </w:r>
          </w:p>
        </w:tc>
        <w:tc>
          <w:tcPr>
            <w:tcW w:w="1800" w:type="dxa"/>
          </w:tcPr>
          <w:p w14:paraId="39FF3F45" w14:textId="367C505C" w:rsidR="002D627A" w:rsidRPr="000D3DC5" w:rsidRDefault="00767AC2" w:rsidP="002D627A">
            <w:pPr>
              <w:tabs>
                <w:tab w:val="decimal" w:pos="1332"/>
                <w:tab w:val="right" w:pos="9180"/>
              </w:tabs>
            </w:pPr>
            <w:r>
              <w:tab/>
            </w:r>
            <w:r w:rsidR="00DF72F8">
              <w:t>(</w:t>
            </w:r>
            <w:r w:rsidR="00793CD5">
              <w:t>662,382</w:t>
            </w:r>
            <w:r w:rsidR="00DF72F8">
              <w:t>)</w:t>
            </w:r>
          </w:p>
        </w:tc>
        <w:tc>
          <w:tcPr>
            <w:tcW w:w="360" w:type="dxa"/>
          </w:tcPr>
          <w:p w14:paraId="102B1A34" w14:textId="77777777" w:rsidR="002D627A" w:rsidRPr="000D3DC5" w:rsidRDefault="002D627A" w:rsidP="002D627A">
            <w:pPr>
              <w:tabs>
                <w:tab w:val="right" w:pos="9180"/>
              </w:tabs>
            </w:pPr>
          </w:p>
        </w:tc>
        <w:tc>
          <w:tcPr>
            <w:tcW w:w="1620" w:type="dxa"/>
          </w:tcPr>
          <w:p w14:paraId="6098F217" w14:textId="4C4E6BFF" w:rsidR="002D627A" w:rsidRPr="000D3DC5" w:rsidRDefault="006E7CF8" w:rsidP="002D627A">
            <w:pPr>
              <w:tabs>
                <w:tab w:val="decimal" w:pos="1152"/>
                <w:tab w:val="right" w:pos="9180"/>
              </w:tabs>
            </w:pPr>
            <w:r>
              <w:tab/>
            </w:r>
            <w:r w:rsidR="00A902E0">
              <w:t>(</w:t>
            </w:r>
            <w:r w:rsidR="00932F75">
              <w:t>2,067,492</w:t>
            </w:r>
            <w:r w:rsidR="00A902E0">
              <w:t>)</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296FD553" w:rsidR="002D627A" w:rsidRPr="000D3DC5" w:rsidRDefault="00767AC2" w:rsidP="002D627A">
            <w:pPr>
              <w:tabs>
                <w:tab w:val="decimal" w:pos="1332"/>
                <w:tab w:val="right" w:pos="9180"/>
              </w:tabs>
            </w:pPr>
            <w:r>
              <w:tab/>
            </w:r>
            <w:r w:rsidR="00793CD5">
              <w:t>165,520</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27858968" w:rsidR="002D627A" w:rsidRPr="000D3DC5" w:rsidRDefault="006E7CF8" w:rsidP="002D627A">
            <w:pPr>
              <w:tabs>
                <w:tab w:val="decimal" w:pos="1152"/>
                <w:tab w:val="right" w:pos="9180"/>
              </w:tabs>
            </w:pPr>
            <w:r>
              <w:tab/>
            </w:r>
            <w:r w:rsidR="00A902E0">
              <w:t>(</w:t>
            </w:r>
            <w:r w:rsidR="00932F75">
              <w:t>3,497,604</w:t>
            </w:r>
            <w:r w:rsidR="00A902E0">
              <w:t>)</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5AB542CA" w:rsidR="00D27ADC" w:rsidRDefault="00D27ADC" w:rsidP="002D627A">
            <w:pPr>
              <w:tabs>
                <w:tab w:val="decimal" w:pos="1332"/>
                <w:tab w:val="right" w:pos="9180"/>
              </w:tabs>
            </w:pPr>
            <w:r>
              <w:tab/>
            </w:r>
            <w:r w:rsidR="00DF72F8">
              <w:t>(9,800,016)</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47695AD9" w:rsidR="00D27ADC" w:rsidRDefault="00D27ADC" w:rsidP="002D627A">
            <w:pPr>
              <w:tabs>
                <w:tab w:val="decimal" w:pos="1152"/>
                <w:tab w:val="right" w:pos="9180"/>
              </w:tabs>
            </w:pPr>
            <w:r>
              <w:tab/>
              <w:t>(</w:t>
            </w:r>
            <w:r w:rsidR="00932F75">
              <w:t>8,166,818</w:t>
            </w:r>
            <w:r>
              <w:t>)</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63B87D1F" w:rsidR="008C0026" w:rsidRPr="000D3DC5" w:rsidRDefault="008C0026" w:rsidP="002D627A">
            <w:r>
              <w:t>Cash flows from investing activities</w:t>
            </w:r>
            <w:r w:rsidR="00E321CC">
              <w:t>:</w:t>
            </w:r>
          </w:p>
        </w:tc>
        <w:tc>
          <w:tcPr>
            <w:tcW w:w="1555" w:type="dxa"/>
          </w:tcPr>
          <w:p w14:paraId="7EBDEEE5" w14:textId="77777777" w:rsidR="008C0026" w:rsidRPr="000D3DC5" w:rsidRDefault="008C0026" w:rsidP="002D627A">
            <w:pPr>
              <w:tabs>
                <w:tab w:val="right" w:pos="9180"/>
              </w:tabs>
            </w:pPr>
          </w:p>
        </w:tc>
        <w:tc>
          <w:tcPr>
            <w:tcW w:w="1800" w:type="dxa"/>
          </w:tcPr>
          <w:p w14:paraId="5782B4A9" w14:textId="14031390" w:rsidR="008C0026" w:rsidRPr="000D3DC5" w:rsidRDefault="008C0026" w:rsidP="002D627A">
            <w:pPr>
              <w:tabs>
                <w:tab w:val="decimal" w:pos="1332"/>
                <w:tab w:val="right" w:pos="9180"/>
              </w:tabs>
            </w:pPr>
          </w:p>
        </w:tc>
        <w:tc>
          <w:tcPr>
            <w:tcW w:w="360" w:type="dxa"/>
          </w:tcPr>
          <w:p w14:paraId="4C599FC5" w14:textId="77777777" w:rsidR="008C0026" w:rsidRPr="000D3DC5" w:rsidRDefault="008C0026" w:rsidP="002D627A">
            <w:pPr>
              <w:tabs>
                <w:tab w:val="right" w:pos="9180"/>
              </w:tabs>
            </w:pPr>
          </w:p>
        </w:tc>
        <w:tc>
          <w:tcPr>
            <w:tcW w:w="1620" w:type="dxa"/>
          </w:tcPr>
          <w:p w14:paraId="25532362" w14:textId="42B3D335" w:rsidR="008C0026" w:rsidRPr="000D3DC5" w:rsidRDefault="008C0026" w:rsidP="002D627A">
            <w:pPr>
              <w:tabs>
                <w:tab w:val="decimal" w:pos="1152"/>
                <w:tab w:val="right" w:pos="9180"/>
              </w:tabs>
            </w:pPr>
          </w:p>
        </w:tc>
      </w:tr>
      <w:tr w:rsidR="00363680" w:rsidRPr="000D3DC5" w14:paraId="71E198A6" w14:textId="77777777" w:rsidTr="00050A48">
        <w:tc>
          <w:tcPr>
            <w:tcW w:w="378" w:type="dxa"/>
          </w:tcPr>
          <w:p w14:paraId="3F77F2D4" w14:textId="77777777" w:rsidR="00363680" w:rsidRPr="000D3DC5" w:rsidRDefault="00363680" w:rsidP="00050A48"/>
        </w:tc>
        <w:tc>
          <w:tcPr>
            <w:tcW w:w="6030" w:type="dxa"/>
            <w:gridSpan w:val="7"/>
          </w:tcPr>
          <w:p w14:paraId="77AB9032" w14:textId="3F320546" w:rsidR="00363680" w:rsidRPr="000D3DC5" w:rsidRDefault="00363680" w:rsidP="00050A48">
            <w:pPr>
              <w:tabs>
                <w:tab w:val="right" w:pos="9180"/>
              </w:tabs>
            </w:pPr>
            <w:r>
              <w:t>Purchase of equipment</w:t>
            </w:r>
          </w:p>
        </w:tc>
        <w:tc>
          <w:tcPr>
            <w:tcW w:w="1800" w:type="dxa"/>
          </w:tcPr>
          <w:p w14:paraId="0BC7BE8F" w14:textId="3E296873" w:rsidR="00363680" w:rsidRDefault="00363680" w:rsidP="00050A48">
            <w:pPr>
              <w:tabs>
                <w:tab w:val="decimal" w:pos="1332"/>
                <w:tab w:val="right" w:pos="9180"/>
              </w:tabs>
            </w:pPr>
            <w:r>
              <w:tab/>
            </w:r>
            <w:r w:rsidR="00DF72F8">
              <w:t>(23,805)</w:t>
            </w:r>
          </w:p>
        </w:tc>
        <w:tc>
          <w:tcPr>
            <w:tcW w:w="360" w:type="dxa"/>
          </w:tcPr>
          <w:p w14:paraId="08E6391D" w14:textId="77777777" w:rsidR="00363680" w:rsidRPr="000D3DC5" w:rsidRDefault="00363680" w:rsidP="00050A48">
            <w:pPr>
              <w:pStyle w:val="ListParagraph"/>
              <w:numPr>
                <w:ilvl w:val="0"/>
                <w:numId w:val="6"/>
              </w:numPr>
              <w:tabs>
                <w:tab w:val="right" w:pos="9180"/>
              </w:tabs>
            </w:pPr>
          </w:p>
        </w:tc>
        <w:tc>
          <w:tcPr>
            <w:tcW w:w="1620" w:type="dxa"/>
          </w:tcPr>
          <w:p w14:paraId="0329B3C1" w14:textId="53F6C98D" w:rsidR="00363680" w:rsidRDefault="00363680" w:rsidP="00050A48">
            <w:pPr>
              <w:tabs>
                <w:tab w:val="decimal" w:pos="1152"/>
                <w:tab w:val="right" w:pos="9180"/>
              </w:tabs>
            </w:pPr>
            <w:r>
              <w:tab/>
            </w:r>
            <w:r w:rsidR="00E440EE">
              <w:t>(</w:t>
            </w:r>
            <w:r w:rsidR="00932F75">
              <w:t>82,383</w:t>
            </w:r>
            <w:r w:rsidR="00E440EE">
              <w:t>)</w:t>
            </w:r>
          </w:p>
        </w:tc>
      </w:tr>
      <w:tr w:rsidR="00363680" w:rsidRPr="000D3DC5" w14:paraId="314BDDBD" w14:textId="77777777" w:rsidTr="00050A48">
        <w:tc>
          <w:tcPr>
            <w:tcW w:w="378" w:type="dxa"/>
          </w:tcPr>
          <w:p w14:paraId="12FAD496" w14:textId="77777777" w:rsidR="00363680" w:rsidRPr="000D3DC5" w:rsidRDefault="00363680" w:rsidP="00050A48"/>
        </w:tc>
        <w:tc>
          <w:tcPr>
            <w:tcW w:w="4475" w:type="dxa"/>
            <w:gridSpan w:val="6"/>
          </w:tcPr>
          <w:p w14:paraId="3BBA49CC" w14:textId="3ACF6B57" w:rsidR="00363680" w:rsidRDefault="00363680" w:rsidP="00050A48">
            <w:r>
              <w:t>Net cash used in investing activities</w:t>
            </w:r>
          </w:p>
        </w:tc>
        <w:tc>
          <w:tcPr>
            <w:tcW w:w="1555" w:type="dxa"/>
          </w:tcPr>
          <w:p w14:paraId="74ADDFA3" w14:textId="77777777" w:rsidR="00363680" w:rsidRPr="000D3DC5" w:rsidRDefault="00363680" w:rsidP="00050A48">
            <w:pPr>
              <w:tabs>
                <w:tab w:val="right" w:pos="9180"/>
              </w:tabs>
            </w:pPr>
          </w:p>
        </w:tc>
        <w:tc>
          <w:tcPr>
            <w:tcW w:w="1800" w:type="dxa"/>
            <w:tcBorders>
              <w:top w:val="single" w:sz="4" w:space="0" w:color="auto"/>
            </w:tcBorders>
          </w:tcPr>
          <w:p w14:paraId="4D6969D3" w14:textId="27A84D00" w:rsidR="00363680" w:rsidRDefault="00363680" w:rsidP="00050A48">
            <w:pPr>
              <w:tabs>
                <w:tab w:val="decimal" w:pos="1332"/>
                <w:tab w:val="right" w:pos="9180"/>
              </w:tabs>
            </w:pPr>
            <w:r>
              <w:tab/>
            </w:r>
            <w:r w:rsidR="00DF72F8">
              <w:t>(23,805)</w:t>
            </w:r>
          </w:p>
        </w:tc>
        <w:tc>
          <w:tcPr>
            <w:tcW w:w="360" w:type="dxa"/>
          </w:tcPr>
          <w:p w14:paraId="600D95FF" w14:textId="77777777" w:rsidR="00363680" w:rsidRPr="000D3DC5" w:rsidRDefault="00363680" w:rsidP="00050A48">
            <w:pPr>
              <w:pStyle w:val="ListParagraph"/>
              <w:numPr>
                <w:ilvl w:val="0"/>
                <w:numId w:val="6"/>
              </w:numPr>
              <w:tabs>
                <w:tab w:val="right" w:pos="9180"/>
              </w:tabs>
            </w:pPr>
          </w:p>
        </w:tc>
        <w:tc>
          <w:tcPr>
            <w:tcW w:w="1620" w:type="dxa"/>
            <w:tcBorders>
              <w:top w:val="single" w:sz="4" w:space="0" w:color="auto"/>
            </w:tcBorders>
          </w:tcPr>
          <w:p w14:paraId="04404962" w14:textId="208D5729" w:rsidR="00363680" w:rsidRDefault="00363680" w:rsidP="00050A48">
            <w:pPr>
              <w:tabs>
                <w:tab w:val="decimal" w:pos="1152"/>
                <w:tab w:val="right" w:pos="9180"/>
              </w:tabs>
            </w:pPr>
            <w:r>
              <w:tab/>
            </w:r>
            <w:r w:rsidR="00E440EE">
              <w:t>(</w:t>
            </w:r>
            <w:r w:rsidR="00932F75">
              <w:t>82,383</w:t>
            </w:r>
            <w:r w:rsidR="00E440EE">
              <w:t>)</w:t>
            </w:r>
          </w:p>
        </w:tc>
      </w:tr>
      <w:tr w:rsidR="00363680" w:rsidRPr="000D3DC5" w14:paraId="17945B1C" w14:textId="77777777" w:rsidTr="008C0026">
        <w:tc>
          <w:tcPr>
            <w:tcW w:w="378" w:type="dxa"/>
          </w:tcPr>
          <w:p w14:paraId="03B15628" w14:textId="77777777" w:rsidR="00363680" w:rsidRPr="000D3DC5" w:rsidRDefault="00363680" w:rsidP="002D627A"/>
        </w:tc>
        <w:tc>
          <w:tcPr>
            <w:tcW w:w="425" w:type="dxa"/>
          </w:tcPr>
          <w:p w14:paraId="4542E165" w14:textId="77777777" w:rsidR="00363680" w:rsidRPr="000D3DC5" w:rsidRDefault="00363680" w:rsidP="002D627A"/>
        </w:tc>
        <w:tc>
          <w:tcPr>
            <w:tcW w:w="789" w:type="dxa"/>
            <w:gridSpan w:val="3"/>
          </w:tcPr>
          <w:p w14:paraId="31CDC79E" w14:textId="77777777" w:rsidR="00363680" w:rsidRPr="000D3DC5" w:rsidRDefault="00363680" w:rsidP="002D627A"/>
        </w:tc>
        <w:tc>
          <w:tcPr>
            <w:tcW w:w="620" w:type="dxa"/>
          </w:tcPr>
          <w:p w14:paraId="3E6FCFC4" w14:textId="77777777" w:rsidR="00363680" w:rsidRPr="000D3DC5" w:rsidRDefault="00363680" w:rsidP="002D627A"/>
        </w:tc>
        <w:tc>
          <w:tcPr>
            <w:tcW w:w="2641" w:type="dxa"/>
          </w:tcPr>
          <w:p w14:paraId="62826419" w14:textId="77777777" w:rsidR="00363680" w:rsidRPr="000D3DC5" w:rsidRDefault="00363680" w:rsidP="002D627A"/>
        </w:tc>
        <w:tc>
          <w:tcPr>
            <w:tcW w:w="1555" w:type="dxa"/>
          </w:tcPr>
          <w:p w14:paraId="3F470160" w14:textId="77777777" w:rsidR="00363680" w:rsidRPr="000D3DC5" w:rsidRDefault="00363680" w:rsidP="002D627A">
            <w:pPr>
              <w:tabs>
                <w:tab w:val="right" w:pos="9180"/>
              </w:tabs>
            </w:pPr>
          </w:p>
        </w:tc>
        <w:tc>
          <w:tcPr>
            <w:tcW w:w="1800" w:type="dxa"/>
          </w:tcPr>
          <w:p w14:paraId="220CA81A" w14:textId="77777777" w:rsidR="00363680" w:rsidRPr="000D3DC5" w:rsidRDefault="00363680" w:rsidP="002D627A">
            <w:pPr>
              <w:tabs>
                <w:tab w:val="decimal" w:pos="1044"/>
                <w:tab w:val="decimal" w:pos="1332"/>
                <w:tab w:val="right" w:pos="9180"/>
              </w:tabs>
            </w:pPr>
          </w:p>
        </w:tc>
        <w:tc>
          <w:tcPr>
            <w:tcW w:w="360" w:type="dxa"/>
          </w:tcPr>
          <w:p w14:paraId="5A99BA52" w14:textId="77777777" w:rsidR="00363680" w:rsidRPr="000D3DC5" w:rsidRDefault="00363680" w:rsidP="002D627A">
            <w:pPr>
              <w:tabs>
                <w:tab w:val="right" w:pos="9180"/>
              </w:tabs>
            </w:pPr>
          </w:p>
        </w:tc>
        <w:tc>
          <w:tcPr>
            <w:tcW w:w="1620" w:type="dxa"/>
          </w:tcPr>
          <w:p w14:paraId="568DC390" w14:textId="77777777" w:rsidR="00363680" w:rsidRPr="000D3DC5" w:rsidRDefault="00363680"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A902E0" w:rsidRPr="000D3DC5" w14:paraId="74F5D617" w14:textId="77777777" w:rsidTr="004C20F6">
        <w:tc>
          <w:tcPr>
            <w:tcW w:w="378" w:type="dxa"/>
          </w:tcPr>
          <w:p w14:paraId="1839C206" w14:textId="77777777" w:rsidR="00A902E0" w:rsidRPr="000D3DC5" w:rsidRDefault="00A902E0" w:rsidP="002D627A">
            <w:bookmarkStart w:id="11" w:name="_Hlk100327127"/>
            <w:bookmarkStart w:id="12" w:name="_Hlk511051769"/>
          </w:p>
        </w:tc>
        <w:tc>
          <w:tcPr>
            <w:tcW w:w="6030" w:type="dxa"/>
            <w:gridSpan w:val="7"/>
          </w:tcPr>
          <w:p w14:paraId="5D095290" w14:textId="00DA4391" w:rsidR="00A902E0" w:rsidRPr="00CD56F2" w:rsidRDefault="00A902E0" w:rsidP="002D627A">
            <w:pPr>
              <w:tabs>
                <w:tab w:val="right" w:pos="9180"/>
              </w:tabs>
            </w:pPr>
            <w:r w:rsidRPr="00CD56F2">
              <w:t>Net proceeds from sale of common stock and warrants</w:t>
            </w:r>
          </w:p>
        </w:tc>
        <w:tc>
          <w:tcPr>
            <w:tcW w:w="1800" w:type="dxa"/>
          </w:tcPr>
          <w:p w14:paraId="49B13BBF" w14:textId="7E9ED023" w:rsidR="00A902E0" w:rsidRPr="00CD56F2" w:rsidRDefault="00A902E0" w:rsidP="002D627A">
            <w:pPr>
              <w:tabs>
                <w:tab w:val="decimal" w:pos="1332"/>
                <w:tab w:val="right" w:pos="9180"/>
              </w:tabs>
            </w:pPr>
            <w:r w:rsidRPr="00CD56F2">
              <w:tab/>
            </w:r>
            <w:r w:rsidR="00DF72F8">
              <w:t>-</w:t>
            </w:r>
          </w:p>
        </w:tc>
        <w:tc>
          <w:tcPr>
            <w:tcW w:w="360" w:type="dxa"/>
          </w:tcPr>
          <w:p w14:paraId="2F4DFBA2" w14:textId="77777777" w:rsidR="00A902E0" w:rsidRPr="00CD56F2" w:rsidRDefault="00A902E0" w:rsidP="00B1007E">
            <w:pPr>
              <w:pStyle w:val="ListParagraph"/>
              <w:numPr>
                <w:ilvl w:val="0"/>
                <w:numId w:val="6"/>
              </w:numPr>
              <w:tabs>
                <w:tab w:val="right" w:pos="9180"/>
              </w:tabs>
            </w:pPr>
          </w:p>
        </w:tc>
        <w:tc>
          <w:tcPr>
            <w:tcW w:w="1620" w:type="dxa"/>
          </w:tcPr>
          <w:p w14:paraId="5DBB493F" w14:textId="5E1675A5" w:rsidR="00A902E0" w:rsidRPr="00CD56F2" w:rsidRDefault="00A902E0" w:rsidP="002D627A">
            <w:pPr>
              <w:tabs>
                <w:tab w:val="decimal" w:pos="1152"/>
                <w:tab w:val="right" w:pos="9180"/>
              </w:tabs>
            </w:pPr>
            <w:r w:rsidRPr="00CD56F2">
              <w:tab/>
            </w:r>
            <w:r w:rsidR="00932F75">
              <w:t>27,727,194</w:t>
            </w:r>
          </w:p>
        </w:tc>
      </w:tr>
      <w:bookmarkEnd w:id="11"/>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37A4EA59" w:rsidR="00C85A90" w:rsidRPr="00CD56F2" w:rsidRDefault="00C85A90" w:rsidP="002D627A">
            <w:r w:rsidRPr="00CD56F2">
              <w:t>Net proceeds from warrant exercise</w:t>
            </w:r>
          </w:p>
        </w:tc>
        <w:tc>
          <w:tcPr>
            <w:tcW w:w="1555" w:type="dxa"/>
          </w:tcPr>
          <w:p w14:paraId="5B1C334D" w14:textId="77777777" w:rsidR="00C85A90" w:rsidRPr="00CD56F2" w:rsidRDefault="00C85A90" w:rsidP="002D627A">
            <w:pPr>
              <w:tabs>
                <w:tab w:val="right" w:pos="9180"/>
              </w:tabs>
            </w:pPr>
          </w:p>
        </w:tc>
        <w:tc>
          <w:tcPr>
            <w:tcW w:w="1800" w:type="dxa"/>
          </w:tcPr>
          <w:p w14:paraId="63E90449" w14:textId="2DA3D86F" w:rsidR="00C85A90" w:rsidRPr="00CD56F2" w:rsidRDefault="00C85A90" w:rsidP="002D627A">
            <w:pPr>
              <w:tabs>
                <w:tab w:val="decimal" w:pos="1332"/>
                <w:tab w:val="right" w:pos="9180"/>
              </w:tabs>
            </w:pPr>
            <w:r w:rsidRPr="00CD56F2">
              <w:tab/>
            </w:r>
            <w:r w:rsidR="00DF72F8">
              <w:t>-</w:t>
            </w:r>
          </w:p>
        </w:tc>
        <w:tc>
          <w:tcPr>
            <w:tcW w:w="360" w:type="dxa"/>
          </w:tcPr>
          <w:p w14:paraId="7D565343" w14:textId="77777777" w:rsidR="00C85A90" w:rsidRPr="00CD56F2" w:rsidRDefault="00C85A90" w:rsidP="00B1007E">
            <w:pPr>
              <w:pStyle w:val="ListParagraph"/>
              <w:numPr>
                <w:ilvl w:val="0"/>
                <w:numId w:val="6"/>
              </w:numPr>
              <w:tabs>
                <w:tab w:val="right" w:pos="9180"/>
              </w:tabs>
            </w:pPr>
          </w:p>
        </w:tc>
        <w:tc>
          <w:tcPr>
            <w:tcW w:w="1620" w:type="dxa"/>
          </w:tcPr>
          <w:p w14:paraId="73C51D02" w14:textId="7848A9C9" w:rsidR="00C85A90" w:rsidRPr="00CD56F2" w:rsidRDefault="00C85A90" w:rsidP="002D627A">
            <w:pPr>
              <w:tabs>
                <w:tab w:val="decimal" w:pos="1152"/>
                <w:tab w:val="right" w:pos="9180"/>
              </w:tabs>
            </w:pPr>
            <w:r w:rsidRPr="00CD56F2">
              <w:tab/>
            </w:r>
            <w:r w:rsidR="00932F75">
              <w:t>591</w:t>
            </w:r>
          </w:p>
        </w:tc>
      </w:tr>
      <w:tr w:rsidR="00D27ADC" w:rsidRPr="000D3DC5" w14:paraId="47623E77" w14:textId="77777777" w:rsidTr="00DB3B22">
        <w:tc>
          <w:tcPr>
            <w:tcW w:w="378" w:type="dxa"/>
          </w:tcPr>
          <w:p w14:paraId="54858BC9" w14:textId="77777777" w:rsidR="00D27ADC" w:rsidRPr="000D3DC5" w:rsidRDefault="00D27ADC" w:rsidP="002D627A">
            <w:bookmarkStart w:id="13" w:name="_Hlk100327141"/>
            <w:bookmarkEnd w:id="12"/>
          </w:p>
        </w:tc>
        <w:tc>
          <w:tcPr>
            <w:tcW w:w="4475" w:type="dxa"/>
            <w:gridSpan w:val="6"/>
          </w:tcPr>
          <w:p w14:paraId="22507B3C" w14:textId="7970ED54" w:rsidR="00D27ADC" w:rsidRPr="00CD56F2" w:rsidRDefault="00D27ADC" w:rsidP="002D627A">
            <w:r w:rsidRPr="00CD56F2">
              <w:t>Net cash provided by financing activities</w:t>
            </w:r>
          </w:p>
        </w:tc>
        <w:tc>
          <w:tcPr>
            <w:tcW w:w="1555" w:type="dxa"/>
          </w:tcPr>
          <w:p w14:paraId="04945EC7" w14:textId="77777777" w:rsidR="00D27ADC" w:rsidRPr="00CD56F2" w:rsidRDefault="00D27ADC" w:rsidP="002D627A">
            <w:pPr>
              <w:tabs>
                <w:tab w:val="right" w:pos="9180"/>
              </w:tabs>
            </w:pPr>
          </w:p>
        </w:tc>
        <w:tc>
          <w:tcPr>
            <w:tcW w:w="1800" w:type="dxa"/>
            <w:tcBorders>
              <w:top w:val="single" w:sz="4" w:space="0" w:color="auto"/>
            </w:tcBorders>
          </w:tcPr>
          <w:p w14:paraId="4B04B1B0" w14:textId="01B2EEC6" w:rsidR="00D27ADC" w:rsidRPr="00CD56F2" w:rsidRDefault="00D27ADC" w:rsidP="002D627A">
            <w:pPr>
              <w:tabs>
                <w:tab w:val="decimal" w:pos="1332"/>
                <w:tab w:val="right" w:pos="9180"/>
              </w:tabs>
            </w:pPr>
            <w:r w:rsidRPr="00CD56F2">
              <w:tab/>
            </w:r>
            <w:r w:rsidR="00DF72F8">
              <w:t>-</w:t>
            </w:r>
          </w:p>
        </w:tc>
        <w:tc>
          <w:tcPr>
            <w:tcW w:w="360" w:type="dxa"/>
          </w:tcPr>
          <w:p w14:paraId="0E218C06" w14:textId="77777777" w:rsidR="00D27ADC" w:rsidRPr="00CD56F2"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1E2928B9" w:rsidR="00D27ADC" w:rsidRPr="00CD56F2" w:rsidRDefault="00D27ADC" w:rsidP="002D627A">
            <w:pPr>
              <w:tabs>
                <w:tab w:val="decimal" w:pos="1152"/>
                <w:tab w:val="right" w:pos="9180"/>
              </w:tabs>
            </w:pPr>
            <w:r w:rsidRPr="00CD56F2">
              <w:tab/>
            </w:r>
            <w:r w:rsidR="00932F75">
              <w:t>27,727,785</w:t>
            </w:r>
          </w:p>
        </w:tc>
      </w:tr>
      <w:bookmarkEnd w:id="13"/>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0022B4FC" w:rsidR="002D627A" w:rsidRPr="000D3DC5" w:rsidRDefault="002D627A" w:rsidP="002D627A">
            <w:pPr>
              <w:tabs>
                <w:tab w:val="right" w:pos="9180"/>
              </w:tabs>
            </w:pPr>
            <w:r w:rsidRPr="000D3DC5">
              <w:t xml:space="preserve">Net </w:t>
            </w:r>
            <w:r w:rsidR="001977A8">
              <w:t>increase</w:t>
            </w:r>
            <w:r w:rsidRPr="000D3DC5">
              <w:t xml:space="preserve"> </w:t>
            </w:r>
            <w:r w:rsidR="00680BC1">
              <w:t xml:space="preserve">(decrease) </w:t>
            </w:r>
            <w:r w:rsidRPr="000D3DC5">
              <w:t>in cash and cash equivalents</w:t>
            </w:r>
          </w:p>
        </w:tc>
        <w:tc>
          <w:tcPr>
            <w:tcW w:w="1800" w:type="dxa"/>
          </w:tcPr>
          <w:p w14:paraId="07DCA151" w14:textId="67ABB0B0" w:rsidR="002D627A" w:rsidRPr="000D3DC5" w:rsidRDefault="00767AC2" w:rsidP="002D627A">
            <w:pPr>
              <w:tabs>
                <w:tab w:val="decimal" w:pos="1332"/>
                <w:tab w:val="right" w:pos="9180"/>
              </w:tabs>
            </w:pPr>
            <w:r>
              <w:tab/>
            </w:r>
            <w:r w:rsidR="00DF72F8">
              <w:t>(9,823,821)</w:t>
            </w:r>
          </w:p>
        </w:tc>
        <w:tc>
          <w:tcPr>
            <w:tcW w:w="360" w:type="dxa"/>
          </w:tcPr>
          <w:p w14:paraId="36255853" w14:textId="77777777" w:rsidR="002D627A" w:rsidRPr="000D3DC5" w:rsidRDefault="002D627A" w:rsidP="002D627A">
            <w:pPr>
              <w:tabs>
                <w:tab w:val="right" w:pos="9180"/>
              </w:tabs>
            </w:pPr>
          </w:p>
        </w:tc>
        <w:tc>
          <w:tcPr>
            <w:tcW w:w="1620" w:type="dxa"/>
          </w:tcPr>
          <w:p w14:paraId="51BA2EF5" w14:textId="5C55F4D3" w:rsidR="002D627A" w:rsidRPr="000D3DC5" w:rsidRDefault="006E7CF8" w:rsidP="002D627A">
            <w:pPr>
              <w:tabs>
                <w:tab w:val="decimal" w:pos="1152"/>
                <w:tab w:val="right" w:pos="9180"/>
              </w:tabs>
            </w:pPr>
            <w:r>
              <w:tab/>
            </w:r>
            <w:r w:rsidR="00932F75">
              <w:t>19,478,584</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1D08289E" w:rsidR="002D627A" w:rsidRPr="000D3DC5" w:rsidRDefault="00767AC2" w:rsidP="002D627A">
            <w:pPr>
              <w:tabs>
                <w:tab w:val="decimal" w:pos="1332"/>
                <w:tab w:val="right" w:pos="9180"/>
              </w:tabs>
            </w:pPr>
            <w:r>
              <w:tab/>
            </w:r>
            <w:r w:rsidR="00DF72F8">
              <w:t>27,612,732</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1444C583" w:rsidR="002D627A" w:rsidRPr="000D3DC5" w:rsidRDefault="006E7CF8" w:rsidP="002D627A">
            <w:pPr>
              <w:tabs>
                <w:tab w:val="decimal" w:pos="1152"/>
                <w:tab w:val="right" w:pos="9180"/>
              </w:tabs>
            </w:pPr>
            <w:r>
              <w:tab/>
            </w:r>
            <w:r w:rsidR="00E440EE">
              <w:t>11,423,</w:t>
            </w:r>
            <w:r w:rsidR="00932F75">
              <w:t>870</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19260805" w:rsidR="002D627A" w:rsidRPr="000D3DC5" w:rsidRDefault="00767AC2" w:rsidP="002D627A">
            <w:pPr>
              <w:tabs>
                <w:tab w:val="decimal" w:pos="1332"/>
                <w:tab w:val="right" w:pos="9180"/>
              </w:tabs>
            </w:pPr>
            <w:r>
              <w:t>$</w:t>
            </w:r>
            <w:r>
              <w:tab/>
            </w:r>
            <w:r w:rsidR="00DF72F8">
              <w:t>17,788,911</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37D31D1E" w:rsidR="002D627A" w:rsidRPr="000D3DC5" w:rsidRDefault="006E7CF8" w:rsidP="002D627A">
            <w:pPr>
              <w:tabs>
                <w:tab w:val="decimal" w:pos="1152"/>
                <w:tab w:val="right" w:pos="9180"/>
              </w:tabs>
            </w:pPr>
            <w:r>
              <w:t>$</w:t>
            </w:r>
            <w:r>
              <w:tab/>
            </w:r>
            <w:r w:rsidR="00932F75">
              <w:t>30,902,454</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0850573E" w:rsidR="00277F5A" w:rsidRDefault="004A0507" w:rsidP="00277F5A">
      <w:pPr>
        <w:jc w:val="center"/>
        <w:rPr>
          <w:b/>
        </w:rPr>
      </w:pPr>
      <w:r>
        <w:rPr>
          <w:b/>
        </w:rPr>
        <w:t>June</w:t>
      </w:r>
      <w:r w:rsidR="00F415DC">
        <w:rPr>
          <w:b/>
        </w:rPr>
        <w:t xml:space="preserve"> 3</w:t>
      </w:r>
      <w:r>
        <w:rPr>
          <w:b/>
        </w:rPr>
        <w:t>0</w:t>
      </w:r>
      <w:r w:rsidR="00277F5A" w:rsidRPr="001C6303">
        <w:rPr>
          <w:b/>
        </w:rPr>
        <w:t>, 20</w:t>
      </w:r>
      <w:r w:rsidR="00CE1FF4">
        <w:rPr>
          <w:b/>
        </w:rPr>
        <w:t>2</w:t>
      </w:r>
      <w:r w:rsidR="00454D03">
        <w:rPr>
          <w:b/>
        </w:rPr>
        <w:t>3</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7BBE58B" w:rsidR="00277F5A" w:rsidRPr="001C6303" w:rsidRDefault="00277F5A" w:rsidP="000A55AE">
      <w:pPr>
        <w:pStyle w:val="ListNumbering"/>
        <w:spacing w:after="0"/>
      </w:pPr>
      <w:r w:rsidRPr="001C6303">
        <w:t>1.</w:t>
      </w:r>
      <w:r w:rsidRPr="001C6303">
        <w:tab/>
      </w:r>
      <w:r w:rsidR="00C33214">
        <w:t>Nature</w:t>
      </w:r>
      <w:r w:rsidRPr="001C6303">
        <w:t xml:space="preserve"> of </w:t>
      </w:r>
      <w:r w:rsidR="0034148D">
        <w:t>Business</w:t>
      </w:r>
      <w:r w:rsidRPr="001C6303">
        <w:t xml:space="preserve"> </w:t>
      </w:r>
    </w:p>
    <w:p w14:paraId="24E71BAC" w14:textId="77777777" w:rsidR="000A55AE" w:rsidRDefault="000A55AE" w:rsidP="000A55AE"/>
    <w:p w14:paraId="285D846F" w14:textId="77777777" w:rsidR="00454D03" w:rsidRPr="00454D03" w:rsidRDefault="00454D03" w:rsidP="00454D03">
      <w:r w:rsidRPr="00454D03">
        <w:t>GeoVax Labs, Inc., headquartered in the Atlanta, Georgia metropolitan area, is a clinical-stage biotechnology company incorporated under the laws of the State of Delaware. GeoVax Labs, Inc. and its wholly owned subsidiary, GeoVax, Inc., a Georgia corporation, are collectively referred to herein as “GeoVax” or the “Company”.</w:t>
      </w:r>
    </w:p>
    <w:p w14:paraId="26AE6334" w14:textId="77777777" w:rsidR="00454D03" w:rsidRPr="00454D03" w:rsidRDefault="00454D03" w:rsidP="00454D03"/>
    <w:p w14:paraId="0B20834E" w14:textId="29942AC6" w:rsidR="00454D03" w:rsidRPr="00454D03" w:rsidRDefault="00454D03" w:rsidP="00454D03">
      <w:r w:rsidRPr="00454D03">
        <w:t xml:space="preserve">The Company is focused on developing immunotherapies and vaccines against </w:t>
      </w:r>
      <w:r w:rsidR="003963E0">
        <w:t xml:space="preserve">cancers and </w:t>
      </w:r>
      <w:r w:rsidRPr="00454D03">
        <w:t xml:space="preserve">infectious diseases using novel vector vaccine platforms. </w:t>
      </w:r>
      <w:proofErr w:type="spellStart"/>
      <w:r w:rsidRPr="00454D03">
        <w:rPr>
          <w:bCs/>
        </w:rPr>
        <w:t>GeoVax’s</w:t>
      </w:r>
      <w:proofErr w:type="spellEnd"/>
      <w:r w:rsidRPr="00454D03">
        <w:rPr>
          <w:bCs/>
        </w:rPr>
        <w:t xml:space="preserve"> product pipeline includes ongoing human clinical trials for </w:t>
      </w:r>
      <w:r w:rsidR="003963E0">
        <w:rPr>
          <w:bCs/>
        </w:rPr>
        <w:t xml:space="preserve">a next-generation </w:t>
      </w:r>
      <w:r w:rsidRPr="00454D03">
        <w:rPr>
          <w:bCs/>
        </w:rPr>
        <w:t xml:space="preserve">COVID-19 </w:t>
      </w:r>
      <w:r w:rsidR="003963E0">
        <w:rPr>
          <w:bCs/>
        </w:rPr>
        <w:t xml:space="preserve">vaccine </w:t>
      </w:r>
      <w:r w:rsidRPr="00454D03">
        <w:rPr>
          <w:bCs/>
        </w:rPr>
        <w:t xml:space="preserve">and a </w:t>
      </w:r>
      <w:r w:rsidR="003963E0">
        <w:rPr>
          <w:bCs/>
        </w:rPr>
        <w:t xml:space="preserve">gene-directed </w:t>
      </w:r>
      <w:r w:rsidRPr="00454D03">
        <w:rPr>
          <w:bCs/>
        </w:rPr>
        <w:t xml:space="preserve">therapy for advanced </w:t>
      </w:r>
      <w:r w:rsidRPr="00454D03">
        <w:t xml:space="preserve">head and neck cancer. Additional </w:t>
      </w:r>
      <w:r w:rsidR="003963E0">
        <w:t xml:space="preserve">preclinical </w:t>
      </w:r>
      <w:r w:rsidRPr="00454D03">
        <w:t xml:space="preserve">research and development programs include preventive vaccines against </w:t>
      </w:r>
      <w:proofErr w:type="spellStart"/>
      <w:r w:rsidR="003963E0">
        <w:t>Mpox</w:t>
      </w:r>
      <w:proofErr w:type="spellEnd"/>
      <w:r w:rsidR="003963E0">
        <w:t xml:space="preserve"> (monkeypox), </w:t>
      </w:r>
      <w:r w:rsidRPr="00454D03">
        <w:t>hemorrhagic fever viruses (Ebola Zaire, Ebola Sudan, Marburg, and Lassa Fever) Zika virus, and malaria, as well as immunotherapies for</w:t>
      </w:r>
      <w:r w:rsidR="003963E0">
        <w:t xml:space="preserve"> </w:t>
      </w:r>
      <w:r w:rsidRPr="00454D03">
        <w:t xml:space="preserve">solid tumors. </w:t>
      </w:r>
    </w:p>
    <w:p w14:paraId="16B124B0" w14:textId="77777777" w:rsidR="003963E0" w:rsidRPr="000A55AE" w:rsidRDefault="003963E0" w:rsidP="000A55AE"/>
    <w:p w14:paraId="0A1FABE3" w14:textId="77777777" w:rsidR="00C33214" w:rsidRPr="00161492" w:rsidRDefault="00C33214" w:rsidP="00C33214">
      <w:pPr>
        <w:pStyle w:val="ListNumbering"/>
        <w:spacing w:after="0"/>
      </w:pPr>
      <w:r>
        <w:t>2</w:t>
      </w:r>
      <w:r w:rsidRPr="001C6303">
        <w:t>.</w:t>
      </w:r>
      <w:r w:rsidRPr="001C6303">
        <w:tab/>
      </w:r>
      <w:r>
        <w:t>Summary of Significant Accounting Policies</w:t>
      </w:r>
    </w:p>
    <w:p w14:paraId="7C11DE94" w14:textId="77777777" w:rsidR="00C33214" w:rsidRDefault="00C33214" w:rsidP="00C33214">
      <w:pPr>
        <w:pStyle w:val="BodyText"/>
        <w:spacing w:after="0"/>
      </w:pPr>
    </w:p>
    <w:p w14:paraId="5494E008" w14:textId="4E921885" w:rsidR="00C33214" w:rsidRDefault="00C33214" w:rsidP="00C33214">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2022</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 xml:space="preserve">ations and financial position. During the </w:t>
      </w:r>
      <w:r w:rsidR="004A0507">
        <w:t>six</w:t>
      </w:r>
      <w:r>
        <w:t xml:space="preserve"> months ended </w:t>
      </w:r>
      <w:r w:rsidR="004A0507">
        <w:t>June</w:t>
      </w:r>
      <w:r>
        <w:t xml:space="preserve"> 3</w:t>
      </w:r>
      <w:r w:rsidR="004A0507">
        <w:t>0</w:t>
      </w:r>
      <w:r>
        <w:t>, 2023, t</w:t>
      </w:r>
      <w:r w:rsidRPr="001C6303">
        <w:t xml:space="preserve">here have been no material changes to, or in the application of, the accounting policies previously identified </w:t>
      </w:r>
      <w:r>
        <w:t>and described in the Form 10-K.</w:t>
      </w:r>
    </w:p>
    <w:p w14:paraId="6E636DF1" w14:textId="77777777" w:rsidR="00C33214" w:rsidRDefault="00C33214" w:rsidP="00C33214">
      <w:pPr>
        <w:pStyle w:val="BodyText"/>
        <w:spacing w:after="0"/>
      </w:pPr>
    </w:p>
    <w:p w14:paraId="1B5250C3" w14:textId="77777777" w:rsidR="003963E0" w:rsidRDefault="00C33214" w:rsidP="00C33214">
      <w:pPr>
        <w:pStyle w:val="BodyText"/>
        <w:spacing w:after="0"/>
        <w:rPr>
          <w:i/>
          <w:iCs/>
        </w:rPr>
      </w:pPr>
      <w:r w:rsidRPr="00307685">
        <w:rPr>
          <w:i/>
          <w:iCs/>
        </w:rPr>
        <w:t>Basis of Presentation</w:t>
      </w:r>
    </w:p>
    <w:p w14:paraId="26527AE8" w14:textId="77777777" w:rsidR="003963E0" w:rsidRDefault="003963E0" w:rsidP="00C33214">
      <w:pPr>
        <w:pStyle w:val="BodyText"/>
        <w:spacing w:after="0"/>
        <w:rPr>
          <w:i/>
          <w:iCs/>
        </w:rPr>
      </w:pPr>
    </w:p>
    <w:p w14:paraId="777DAAFC" w14:textId="4924F3FE" w:rsidR="00C33214" w:rsidRPr="000F6A1C" w:rsidRDefault="00C33214" w:rsidP="00C33214">
      <w:pPr>
        <w:pStyle w:val="BodyText"/>
        <w:spacing w:after="0"/>
        <w:rPr>
          <w:i/>
          <w:iCs/>
        </w:rPr>
      </w:pPr>
      <w:r w:rsidRPr="00A840E6">
        <w:t>The accompanying</w:t>
      </w:r>
      <w:r w:rsidRPr="001C6303">
        <w:t xml:space="preserve"> 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2022.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7ACCDE04" w14:textId="77777777" w:rsidR="00F85B8A" w:rsidRDefault="00F85B8A" w:rsidP="00C33214">
      <w:pPr>
        <w:autoSpaceDE w:val="0"/>
        <w:autoSpaceDN w:val="0"/>
        <w:adjustRightInd w:val="0"/>
      </w:pPr>
    </w:p>
    <w:p w14:paraId="16EAD4BB" w14:textId="039D593D" w:rsidR="00317F50" w:rsidRDefault="00317F50" w:rsidP="00317F50">
      <w:pPr>
        <w:autoSpaceDE w:val="0"/>
        <w:autoSpaceDN w:val="0"/>
        <w:adjustRightInd w:val="0"/>
      </w:pPr>
      <w:r w:rsidRPr="00F85B8A">
        <w:t xml:space="preserve">We believe that our existing cash resources will be sufficient to continue our planned </w:t>
      </w:r>
      <w:r w:rsidRPr="00272BE3">
        <w:t xml:space="preserve">operations into the </w:t>
      </w:r>
      <w:r w:rsidR="0060614F">
        <w:t>first</w:t>
      </w:r>
      <w:r w:rsidR="0060614F" w:rsidRPr="00272BE3">
        <w:t xml:space="preserve"> </w:t>
      </w:r>
      <w:r w:rsidRPr="00272BE3">
        <w:t>quarter of 202</w:t>
      </w:r>
      <w:r w:rsidR="0060614F">
        <w:t>4</w:t>
      </w:r>
      <w:r w:rsidRPr="00272BE3">
        <w:t>. We are devoting substantially all of our present efforts to research and development of our vaccine and immunotherapy candidates</w:t>
      </w:r>
      <w:r w:rsidR="00C02C9D" w:rsidRPr="00272BE3">
        <w:t xml:space="preserve"> and expect to</w:t>
      </w:r>
      <w:r w:rsidRPr="00272BE3">
        <w:t xml:space="preserve"> require additional funding to continue our research and development</w:t>
      </w:r>
      <w:r w:rsidRPr="00F85B8A">
        <w:t xml:space="preserve"> activities.</w:t>
      </w:r>
      <w:r>
        <w:t xml:space="preserve"> </w:t>
      </w:r>
      <w:r w:rsidR="00C02C9D">
        <w:t>We</w:t>
      </w:r>
      <w:r w:rsidR="00C02C9D" w:rsidRPr="006F5235">
        <w:t xml:space="preserve"> plan to </w:t>
      </w:r>
      <w:r w:rsidR="00C02C9D">
        <w:t>pursue</w:t>
      </w:r>
      <w:r w:rsidR="00C02C9D" w:rsidRPr="006F5235">
        <w:t xml:space="preserve"> additional </w:t>
      </w:r>
      <w:r w:rsidR="00C02C9D">
        <w:t>cash resources</w:t>
      </w:r>
      <w:r w:rsidR="00C02C9D" w:rsidRPr="006F5235">
        <w:t xml:space="preserve"> through public or private equity or debt financings</w:t>
      </w:r>
      <w:r w:rsidR="00C02C9D">
        <w:t>, g</w:t>
      </w:r>
      <w:r w:rsidR="00C02C9D" w:rsidRPr="00F85B8A">
        <w:t>overnment grants, arrangements with strategic partners</w:t>
      </w:r>
      <w:r w:rsidR="00C02C9D">
        <w:t>,</w:t>
      </w:r>
      <w:r w:rsidR="00C02C9D" w:rsidRPr="00F85B8A">
        <w:t xml:space="preserve"> or from other sources. There can be no assurance that additional funding will be available on favorable terms or at all.</w:t>
      </w:r>
      <w:r w:rsidR="00C02C9D">
        <w:t xml:space="preserve"> </w:t>
      </w:r>
      <w:r w:rsidRPr="00317F50">
        <w:t xml:space="preserve">These factors collectively raise substantial doubt about the Company’s ability to continue as a going concern within one year </w:t>
      </w:r>
      <w:proofErr w:type="gramStart"/>
      <w:r w:rsidRPr="00317F50">
        <w:t>from</w:t>
      </w:r>
      <w:proofErr w:type="gramEnd"/>
      <w:r w:rsidRPr="00317F50">
        <w:t xml:space="preserve"> the date </w:t>
      </w:r>
      <w:r w:rsidR="00AF7C6C">
        <w:t>these financial statements are issued</w:t>
      </w:r>
      <w:r w:rsidRPr="00317F50">
        <w:t>.</w:t>
      </w:r>
      <w:r w:rsidR="00C02C9D">
        <w:t xml:space="preserve"> </w:t>
      </w:r>
      <w:r w:rsidRPr="00F85B8A">
        <w:t xml:space="preserve">Management believes that we will be successful in securing the additional capital required to continue the Company’s planned operations, but that our plans do not fully alleviate the substantial doubt about the Company’s ability to operate as a going concern. </w:t>
      </w:r>
    </w:p>
    <w:p w14:paraId="169D1D96" w14:textId="77777777" w:rsidR="00317F50" w:rsidRDefault="00317F50" w:rsidP="00317F50">
      <w:pPr>
        <w:autoSpaceDE w:val="0"/>
        <w:autoSpaceDN w:val="0"/>
        <w:adjustRightInd w:val="0"/>
      </w:pPr>
    </w:p>
    <w:p w14:paraId="4F77EAA6" w14:textId="5E81722A" w:rsidR="00317F50" w:rsidRDefault="00317F50" w:rsidP="00F85B8A">
      <w:pPr>
        <w:autoSpaceDE w:val="0"/>
        <w:autoSpaceDN w:val="0"/>
        <w:adjustRightInd w:val="0"/>
      </w:pPr>
      <w:r>
        <w:t>The accompanying</w:t>
      </w:r>
      <w:r w:rsidR="00F85B8A" w:rsidRPr="00F85B8A">
        <w:t xml:space="preserve"> financial statements have been prepared assuming that </w:t>
      </w:r>
      <w:r>
        <w:t>the Company</w:t>
      </w:r>
      <w:r w:rsidR="00F85B8A" w:rsidRPr="00F85B8A">
        <w:t xml:space="preserve"> will continue as a going concern, which contemplates realization of assets and the satisfaction of liabilities in the normal course of business. </w:t>
      </w:r>
      <w:r w:rsidRPr="006F5235">
        <w:t>The financial statements do not include any adjustments relating to the recoverability and classification of recorded asset amounts or the amounts and classification of liabilities that might result from the outcome of the uncertainties described above</w:t>
      </w:r>
      <w:r>
        <w:t>.</w:t>
      </w:r>
    </w:p>
    <w:p w14:paraId="663E192F" w14:textId="77777777" w:rsidR="00C33214" w:rsidRDefault="00C33214" w:rsidP="00C33214">
      <w:pPr>
        <w:autoSpaceDE w:val="0"/>
        <w:autoSpaceDN w:val="0"/>
        <w:adjustRightInd w:val="0"/>
      </w:pPr>
    </w:p>
    <w:p w14:paraId="32D70077" w14:textId="77777777" w:rsidR="003963E0" w:rsidRDefault="00C33214" w:rsidP="00C33214">
      <w:pPr>
        <w:autoSpaceDE w:val="0"/>
        <w:autoSpaceDN w:val="0"/>
        <w:adjustRightInd w:val="0"/>
      </w:pPr>
      <w:r w:rsidRPr="009701F2">
        <w:rPr>
          <w:i/>
          <w:iCs/>
        </w:rPr>
        <w:t>Recent Accounting Pronouncements</w:t>
      </w:r>
    </w:p>
    <w:p w14:paraId="2A234A05" w14:textId="77777777" w:rsidR="003963E0" w:rsidRDefault="003963E0" w:rsidP="00C33214">
      <w:pPr>
        <w:autoSpaceDE w:val="0"/>
        <w:autoSpaceDN w:val="0"/>
        <w:adjustRightInd w:val="0"/>
      </w:pPr>
    </w:p>
    <w:p w14:paraId="77591EC6" w14:textId="59849169" w:rsidR="00C33214" w:rsidRDefault="00C33214" w:rsidP="00C33214">
      <w:pPr>
        <w:autoSpaceDE w:val="0"/>
        <w:autoSpaceDN w:val="0"/>
        <w:adjustRightInd w:val="0"/>
      </w:pPr>
      <w:r>
        <w:t xml:space="preserve">During the </w:t>
      </w:r>
      <w:r w:rsidR="004A0507">
        <w:t>six</w:t>
      </w:r>
      <w:r>
        <w:t xml:space="preserve"> months ended </w:t>
      </w:r>
      <w:r w:rsidR="004A0507">
        <w:t>June</w:t>
      </w:r>
      <w:r>
        <w:t xml:space="preserve"> 3</w:t>
      </w:r>
      <w:r w:rsidR="004A0507">
        <w:t>0</w:t>
      </w:r>
      <w:r>
        <w:t>, 202</w:t>
      </w:r>
      <w:r w:rsidR="00F85B8A">
        <w:t>3</w:t>
      </w:r>
      <w:r>
        <w:t xml:space="preserve">, there have </w:t>
      </w:r>
      <w:r w:rsidRPr="00727CF3">
        <w:t>been no new accounting pronouncements</w:t>
      </w:r>
      <w:r w:rsidRPr="005F0851">
        <w:t xml:space="preserve"> or changes in accounting pronouncements </w:t>
      </w:r>
      <w:r>
        <w:t>which</w:t>
      </w:r>
      <w:r w:rsidRPr="005F0851">
        <w:t xml:space="preserve"> </w:t>
      </w:r>
      <w:r>
        <w:t xml:space="preserve">we expect to have a material impact on our financial </w:t>
      </w:r>
      <w:r w:rsidRPr="006D35E3">
        <w:t>statements</w:t>
      </w:r>
      <w:r>
        <w:t>.</w:t>
      </w:r>
    </w:p>
    <w:p w14:paraId="6BE5DAEC" w14:textId="77777777" w:rsidR="000A55AE" w:rsidRDefault="000A55AE" w:rsidP="000A55AE">
      <w:pPr>
        <w:pStyle w:val="BodyText"/>
        <w:spacing w:after="0"/>
      </w:pPr>
    </w:p>
    <w:p w14:paraId="4AC53497" w14:textId="77777777" w:rsidR="00F85B8A" w:rsidRDefault="00F85B8A">
      <w:pPr>
        <w:rPr>
          <w:b/>
        </w:rPr>
      </w:pPr>
      <w:r>
        <w:br w:type="page"/>
      </w:r>
    </w:p>
    <w:p w14:paraId="2532CC43" w14:textId="20753028" w:rsidR="00C33214" w:rsidRDefault="00C33214" w:rsidP="00C33214">
      <w:pPr>
        <w:pStyle w:val="ListNumbering"/>
        <w:spacing w:after="0"/>
      </w:pPr>
      <w:r w:rsidRPr="00462439">
        <w:lastRenderedPageBreak/>
        <w:t>3.</w:t>
      </w:r>
      <w:r w:rsidRPr="00462439">
        <w:tab/>
        <w:t>Balance Sheet Component</w:t>
      </w:r>
      <w:r w:rsidR="0081257D" w:rsidRPr="00462439">
        <w:t>s</w:t>
      </w:r>
    </w:p>
    <w:p w14:paraId="28D2F684" w14:textId="77777777" w:rsidR="00C33214" w:rsidRDefault="00C33214" w:rsidP="00C33214">
      <w:pPr>
        <w:pStyle w:val="BodyText"/>
        <w:spacing w:after="0"/>
      </w:pPr>
    </w:p>
    <w:p w14:paraId="4047E711" w14:textId="77777777" w:rsidR="00C33214" w:rsidRPr="000E74A1" w:rsidRDefault="00C33214" w:rsidP="00C33214">
      <w:pPr>
        <w:pStyle w:val="BodyText"/>
        <w:spacing w:after="0"/>
      </w:pPr>
      <w:r w:rsidRPr="003963E0">
        <w:rPr>
          <w:i/>
          <w:iCs/>
        </w:rPr>
        <w:t>Prepaid Expenses</w:t>
      </w:r>
      <w:r>
        <w:rPr>
          <w:b/>
          <w:bCs/>
        </w:rPr>
        <w:t xml:space="preserve">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726A200B" w14:textId="77777777" w:rsidTr="001F7586">
        <w:tc>
          <w:tcPr>
            <w:tcW w:w="6055" w:type="dxa"/>
          </w:tcPr>
          <w:p w14:paraId="21784B19" w14:textId="77777777" w:rsidR="00C33214" w:rsidRPr="00EB7BF0" w:rsidRDefault="00C33214" w:rsidP="001F7586"/>
        </w:tc>
        <w:tc>
          <w:tcPr>
            <w:tcW w:w="1842" w:type="dxa"/>
            <w:tcBorders>
              <w:bottom w:val="single" w:sz="4" w:space="0" w:color="auto"/>
            </w:tcBorders>
          </w:tcPr>
          <w:p w14:paraId="1EE5C258" w14:textId="186D5F44" w:rsidR="00C33214" w:rsidRDefault="00462439" w:rsidP="001F7586">
            <w:pPr>
              <w:jc w:val="center"/>
            </w:pPr>
            <w:r>
              <w:t>June</w:t>
            </w:r>
            <w:r w:rsidR="00B3108A">
              <w:t xml:space="preserve"> 3</w:t>
            </w:r>
            <w:r>
              <w:t>0</w:t>
            </w:r>
            <w:r w:rsidR="00C33214">
              <w:t>,</w:t>
            </w:r>
          </w:p>
          <w:p w14:paraId="6F5D6FA6" w14:textId="02911AE1" w:rsidR="00C33214" w:rsidRPr="00EB7BF0" w:rsidRDefault="00C33214" w:rsidP="001F7586">
            <w:pPr>
              <w:jc w:val="center"/>
            </w:pPr>
            <w:r>
              <w:t>202</w:t>
            </w:r>
            <w:r w:rsidR="00B3108A">
              <w:t>3</w:t>
            </w:r>
          </w:p>
        </w:tc>
        <w:tc>
          <w:tcPr>
            <w:tcW w:w="1841" w:type="dxa"/>
            <w:tcBorders>
              <w:bottom w:val="single" w:sz="4" w:space="0" w:color="auto"/>
            </w:tcBorders>
          </w:tcPr>
          <w:p w14:paraId="6E9130A8" w14:textId="77777777" w:rsidR="00C33214" w:rsidRDefault="00C33214" w:rsidP="001F7586">
            <w:pPr>
              <w:jc w:val="center"/>
            </w:pPr>
            <w:r>
              <w:t>December 31,</w:t>
            </w:r>
          </w:p>
          <w:p w14:paraId="530498E3" w14:textId="7B21ABD7" w:rsidR="00C33214" w:rsidRPr="00EB7BF0" w:rsidRDefault="00C33214" w:rsidP="001F7586">
            <w:pPr>
              <w:jc w:val="center"/>
            </w:pPr>
            <w:r>
              <w:t>202</w:t>
            </w:r>
            <w:r w:rsidR="00B3108A">
              <w:t>2</w:t>
            </w:r>
          </w:p>
        </w:tc>
      </w:tr>
      <w:tr w:rsidR="00C33214" w:rsidRPr="007863FD" w14:paraId="565A2437" w14:textId="77777777" w:rsidTr="001F7586">
        <w:tc>
          <w:tcPr>
            <w:tcW w:w="6055" w:type="dxa"/>
          </w:tcPr>
          <w:p w14:paraId="6C5C2F31" w14:textId="77777777" w:rsidR="00C33214" w:rsidRPr="007863FD" w:rsidRDefault="00C33214" w:rsidP="001F7586">
            <w:pPr>
              <w:ind w:left="162"/>
            </w:pPr>
            <w:r w:rsidRPr="007863FD">
              <w:t xml:space="preserve">Prepaid clinical trial </w:t>
            </w:r>
            <w:r>
              <w:t>costs (current portion)</w:t>
            </w:r>
          </w:p>
        </w:tc>
        <w:tc>
          <w:tcPr>
            <w:tcW w:w="1842" w:type="dxa"/>
          </w:tcPr>
          <w:p w14:paraId="278B6BE7" w14:textId="3D1C9769" w:rsidR="00C33214" w:rsidRPr="007863FD" w:rsidRDefault="00C33214" w:rsidP="001F7586">
            <w:pPr>
              <w:tabs>
                <w:tab w:val="decimal" w:pos="1199"/>
              </w:tabs>
            </w:pPr>
            <w:r w:rsidRPr="007863FD">
              <w:t xml:space="preserve">$ </w:t>
            </w:r>
            <w:r w:rsidR="009465AC">
              <w:t>1,941,588</w:t>
            </w:r>
          </w:p>
        </w:tc>
        <w:tc>
          <w:tcPr>
            <w:tcW w:w="1841" w:type="dxa"/>
          </w:tcPr>
          <w:p w14:paraId="2AB7558F" w14:textId="1844AC6F" w:rsidR="00C33214" w:rsidRPr="007863FD" w:rsidRDefault="00C33214" w:rsidP="001F7586">
            <w:pPr>
              <w:tabs>
                <w:tab w:val="decimal" w:pos="1157"/>
              </w:tabs>
            </w:pPr>
            <w:r w:rsidRPr="007863FD">
              <w:t xml:space="preserve">$ </w:t>
            </w:r>
            <w:r w:rsidR="0081257D">
              <w:t>1,171,077</w:t>
            </w:r>
          </w:p>
        </w:tc>
      </w:tr>
      <w:tr w:rsidR="00C33214" w:rsidRPr="007863FD" w14:paraId="4045901A" w14:textId="77777777" w:rsidTr="001F7586">
        <w:tc>
          <w:tcPr>
            <w:tcW w:w="6055" w:type="dxa"/>
          </w:tcPr>
          <w:p w14:paraId="5B2C46F1" w14:textId="77777777" w:rsidR="00C33214" w:rsidRPr="007863FD" w:rsidRDefault="00C33214" w:rsidP="001F7586">
            <w:pPr>
              <w:ind w:left="162"/>
            </w:pPr>
            <w:r w:rsidRPr="007863FD">
              <w:t>Prepaid insurance premiums</w:t>
            </w:r>
          </w:p>
        </w:tc>
        <w:tc>
          <w:tcPr>
            <w:tcW w:w="1842" w:type="dxa"/>
          </w:tcPr>
          <w:p w14:paraId="4CAA7A25" w14:textId="6B98B0E1" w:rsidR="00C33214" w:rsidRPr="007863FD" w:rsidRDefault="009465AC" w:rsidP="001F7586">
            <w:pPr>
              <w:tabs>
                <w:tab w:val="decimal" w:pos="1199"/>
              </w:tabs>
            </w:pPr>
            <w:r>
              <w:t>36,150</w:t>
            </w:r>
          </w:p>
        </w:tc>
        <w:tc>
          <w:tcPr>
            <w:tcW w:w="1841" w:type="dxa"/>
          </w:tcPr>
          <w:p w14:paraId="431CBB2D" w14:textId="18FCF91A" w:rsidR="00C33214" w:rsidRPr="007863FD" w:rsidRDefault="0081257D" w:rsidP="001F7586">
            <w:pPr>
              <w:tabs>
                <w:tab w:val="decimal" w:pos="1157"/>
              </w:tabs>
            </w:pPr>
            <w:r>
              <w:t>107,876</w:t>
            </w:r>
          </w:p>
        </w:tc>
      </w:tr>
      <w:tr w:rsidR="00C33214" w:rsidRPr="007863FD" w14:paraId="254019CC" w14:textId="77777777" w:rsidTr="001F7586">
        <w:tc>
          <w:tcPr>
            <w:tcW w:w="6055" w:type="dxa"/>
          </w:tcPr>
          <w:p w14:paraId="47B61EB8" w14:textId="77777777" w:rsidR="00C33214" w:rsidRPr="007863FD" w:rsidRDefault="00C33214" w:rsidP="001F7586">
            <w:pPr>
              <w:ind w:left="162"/>
            </w:pPr>
            <w:r w:rsidRPr="007863FD">
              <w:t>Prepaid rent</w:t>
            </w:r>
          </w:p>
        </w:tc>
        <w:tc>
          <w:tcPr>
            <w:tcW w:w="1842" w:type="dxa"/>
          </w:tcPr>
          <w:p w14:paraId="30C55A8D" w14:textId="19CDA7AB" w:rsidR="00C33214" w:rsidRPr="007863FD" w:rsidRDefault="009465AC" w:rsidP="001F7586">
            <w:pPr>
              <w:tabs>
                <w:tab w:val="decimal" w:pos="1199"/>
              </w:tabs>
            </w:pPr>
            <w:r>
              <w:t>13,045</w:t>
            </w:r>
          </w:p>
        </w:tc>
        <w:tc>
          <w:tcPr>
            <w:tcW w:w="1841" w:type="dxa"/>
          </w:tcPr>
          <w:p w14:paraId="1E2FA7AB" w14:textId="2F7FCEED" w:rsidR="00C33214" w:rsidRPr="007863FD" w:rsidRDefault="0081257D" w:rsidP="001F7586">
            <w:pPr>
              <w:tabs>
                <w:tab w:val="decimal" w:pos="1157"/>
              </w:tabs>
            </w:pPr>
            <w:r>
              <w:t>13,045</w:t>
            </w:r>
          </w:p>
        </w:tc>
      </w:tr>
      <w:tr w:rsidR="00C33214" w:rsidRPr="007863FD" w14:paraId="26B41B8E" w14:textId="77777777" w:rsidTr="001F7586">
        <w:tc>
          <w:tcPr>
            <w:tcW w:w="6055" w:type="dxa"/>
          </w:tcPr>
          <w:p w14:paraId="272A764F" w14:textId="77777777" w:rsidR="00C33214" w:rsidRPr="007863FD" w:rsidRDefault="00C33214" w:rsidP="001F7586">
            <w:pPr>
              <w:ind w:left="162"/>
            </w:pPr>
            <w:r w:rsidRPr="007863FD">
              <w:t>Other prepaid expenses</w:t>
            </w:r>
          </w:p>
        </w:tc>
        <w:tc>
          <w:tcPr>
            <w:tcW w:w="1842" w:type="dxa"/>
          </w:tcPr>
          <w:p w14:paraId="23098E51" w14:textId="6BAECFA9" w:rsidR="00C33214" w:rsidRPr="007863FD" w:rsidRDefault="009465AC" w:rsidP="001F7586">
            <w:pPr>
              <w:tabs>
                <w:tab w:val="decimal" w:pos="1199"/>
              </w:tabs>
            </w:pPr>
            <w:r>
              <w:t>47,500</w:t>
            </w:r>
          </w:p>
        </w:tc>
        <w:tc>
          <w:tcPr>
            <w:tcW w:w="1841" w:type="dxa"/>
          </w:tcPr>
          <w:p w14:paraId="40A57631" w14:textId="2E339D06" w:rsidR="00C33214" w:rsidRPr="007863FD" w:rsidRDefault="0081257D" w:rsidP="001F7586">
            <w:pPr>
              <w:tabs>
                <w:tab w:val="decimal" w:pos="1157"/>
              </w:tabs>
            </w:pPr>
            <w:r>
              <w:t>34,000</w:t>
            </w:r>
          </w:p>
        </w:tc>
      </w:tr>
      <w:tr w:rsidR="00C33214" w:rsidRPr="00EB7BF0" w14:paraId="7005D342" w14:textId="77777777" w:rsidTr="001F7586">
        <w:tc>
          <w:tcPr>
            <w:tcW w:w="6055" w:type="dxa"/>
          </w:tcPr>
          <w:p w14:paraId="6691E3AF" w14:textId="77777777" w:rsidR="00C33214" w:rsidRPr="007863FD" w:rsidRDefault="00C33214" w:rsidP="001F7586">
            <w:pPr>
              <w:ind w:left="162"/>
            </w:pPr>
            <w:r w:rsidRPr="007863FD">
              <w:t>Total prepaid expenses</w:t>
            </w:r>
          </w:p>
        </w:tc>
        <w:tc>
          <w:tcPr>
            <w:tcW w:w="1842" w:type="dxa"/>
            <w:tcBorders>
              <w:top w:val="single" w:sz="4" w:space="0" w:color="auto"/>
              <w:bottom w:val="double" w:sz="4" w:space="0" w:color="auto"/>
            </w:tcBorders>
          </w:tcPr>
          <w:p w14:paraId="05D8AD42" w14:textId="3A7BB1C7" w:rsidR="00C33214" w:rsidRPr="007863FD" w:rsidRDefault="00C33214" w:rsidP="001F7586">
            <w:pPr>
              <w:tabs>
                <w:tab w:val="decimal" w:pos="1199"/>
              </w:tabs>
            </w:pPr>
            <w:r w:rsidRPr="007863FD">
              <w:t xml:space="preserve">$ </w:t>
            </w:r>
            <w:r w:rsidR="009465AC">
              <w:t>2,038,283</w:t>
            </w:r>
          </w:p>
        </w:tc>
        <w:tc>
          <w:tcPr>
            <w:tcW w:w="1841" w:type="dxa"/>
            <w:tcBorders>
              <w:top w:val="single" w:sz="4" w:space="0" w:color="auto"/>
              <w:bottom w:val="double" w:sz="4" w:space="0" w:color="auto"/>
            </w:tcBorders>
          </w:tcPr>
          <w:p w14:paraId="647B7A0B" w14:textId="109E4F4D" w:rsidR="00C33214" w:rsidRPr="00EB7BF0" w:rsidRDefault="00C33214" w:rsidP="001F7586">
            <w:pPr>
              <w:tabs>
                <w:tab w:val="decimal" w:pos="1157"/>
              </w:tabs>
            </w:pPr>
            <w:r w:rsidRPr="007863FD">
              <w:t xml:space="preserve">$ </w:t>
            </w:r>
            <w:r w:rsidR="0081257D">
              <w:t>1,325,998</w:t>
            </w:r>
          </w:p>
        </w:tc>
      </w:tr>
    </w:tbl>
    <w:p w14:paraId="2A866DF5" w14:textId="77777777" w:rsidR="00C33214" w:rsidRDefault="00C33214" w:rsidP="00C33214">
      <w:pPr>
        <w:pStyle w:val="BodyText"/>
        <w:spacing w:after="0"/>
      </w:pPr>
    </w:p>
    <w:p w14:paraId="4C485881" w14:textId="77777777" w:rsidR="00C33214" w:rsidRPr="001C6303" w:rsidRDefault="00C33214" w:rsidP="00C33214">
      <w:pPr>
        <w:pStyle w:val="BodyText"/>
        <w:spacing w:after="0"/>
      </w:pPr>
      <w:r w:rsidRPr="003963E0">
        <w:rPr>
          <w:i/>
          <w:iCs/>
        </w:rPr>
        <w:t>Property and Equipment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4780FA68" w14:textId="77777777" w:rsidTr="001F7586">
        <w:tc>
          <w:tcPr>
            <w:tcW w:w="6055" w:type="dxa"/>
          </w:tcPr>
          <w:p w14:paraId="0E781E51" w14:textId="77777777" w:rsidR="00C33214" w:rsidRPr="00EB7BF0" w:rsidRDefault="00C33214" w:rsidP="001F7586"/>
        </w:tc>
        <w:tc>
          <w:tcPr>
            <w:tcW w:w="1842" w:type="dxa"/>
            <w:tcBorders>
              <w:bottom w:val="single" w:sz="4" w:space="0" w:color="auto"/>
            </w:tcBorders>
          </w:tcPr>
          <w:p w14:paraId="312FBE8D" w14:textId="3924F66F" w:rsidR="00C33214" w:rsidRDefault="00462439" w:rsidP="001F7586">
            <w:pPr>
              <w:jc w:val="center"/>
            </w:pPr>
            <w:r>
              <w:t>June</w:t>
            </w:r>
            <w:r w:rsidR="00C33214">
              <w:t xml:space="preserve"> 3</w:t>
            </w:r>
            <w:r>
              <w:t>0</w:t>
            </w:r>
            <w:r w:rsidR="00C33214">
              <w:t>,</w:t>
            </w:r>
          </w:p>
          <w:p w14:paraId="0FADF8BF" w14:textId="5A2F3FE6" w:rsidR="00C33214" w:rsidRPr="00EB7BF0" w:rsidRDefault="00C33214" w:rsidP="001F7586">
            <w:pPr>
              <w:jc w:val="center"/>
            </w:pPr>
            <w:r>
              <w:t>202</w:t>
            </w:r>
            <w:r w:rsidR="0081257D">
              <w:t>3</w:t>
            </w:r>
          </w:p>
        </w:tc>
        <w:tc>
          <w:tcPr>
            <w:tcW w:w="1841" w:type="dxa"/>
            <w:tcBorders>
              <w:bottom w:val="single" w:sz="4" w:space="0" w:color="auto"/>
            </w:tcBorders>
          </w:tcPr>
          <w:p w14:paraId="202C82D7" w14:textId="77777777" w:rsidR="00C33214" w:rsidRDefault="00C33214" w:rsidP="001F7586">
            <w:pPr>
              <w:jc w:val="center"/>
            </w:pPr>
            <w:r>
              <w:t>December 31,</w:t>
            </w:r>
          </w:p>
          <w:p w14:paraId="66A44892" w14:textId="6C98BAEB" w:rsidR="00C33214" w:rsidRPr="00EB7BF0" w:rsidRDefault="00C33214" w:rsidP="001F7586">
            <w:pPr>
              <w:jc w:val="center"/>
            </w:pPr>
            <w:r>
              <w:t>202</w:t>
            </w:r>
            <w:r w:rsidR="0081257D">
              <w:t>2</w:t>
            </w:r>
          </w:p>
        </w:tc>
      </w:tr>
      <w:tr w:rsidR="00C33214" w:rsidRPr="00EB7BF0" w14:paraId="61BE3941" w14:textId="77777777" w:rsidTr="001F7586">
        <w:tc>
          <w:tcPr>
            <w:tcW w:w="6055" w:type="dxa"/>
          </w:tcPr>
          <w:p w14:paraId="3A133ACD" w14:textId="77777777" w:rsidR="00C33214" w:rsidRPr="00EB7BF0" w:rsidRDefault="00C33214" w:rsidP="001F7586">
            <w:pPr>
              <w:ind w:left="162"/>
            </w:pPr>
            <w:r>
              <w:t>Equipment and furnishings</w:t>
            </w:r>
          </w:p>
        </w:tc>
        <w:tc>
          <w:tcPr>
            <w:tcW w:w="1842" w:type="dxa"/>
          </w:tcPr>
          <w:p w14:paraId="0EC3AE35" w14:textId="76601EFA" w:rsidR="00C33214" w:rsidRPr="00FA15F9" w:rsidRDefault="00C33214" w:rsidP="003963E0">
            <w:pPr>
              <w:tabs>
                <w:tab w:val="decimal" w:pos="1199"/>
              </w:tabs>
            </w:pPr>
            <w:r w:rsidRPr="00FA15F9">
              <w:t xml:space="preserve">$   </w:t>
            </w:r>
            <w:r w:rsidR="00316911">
              <w:t>749,617</w:t>
            </w:r>
          </w:p>
        </w:tc>
        <w:tc>
          <w:tcPr>
            <w:tcW w:w="1841" w:type="dxa"/>
          </w:tcPr>
          <w:p w14:paraId="03FED1AB" w14:textId="6DA445C1" w:rsidR="00C33214" w:rsidRPr="00EB7BF0" w:rsidRDefault="00C33214" w:rsidP="003963E0">
            <w:pPr>
              <w:tabs>
                <w:tab w:val="decimal" w:pos="1158"/>
              </w:tabs>
            </w:pPr>
            <w:r>
              <w:t xml:space="preserve">$   </w:t>
            </w:r>
            <w:r w:rsidR="0081257D">
              <w:t>725,812</w:t>
            </w:r>
          </w:p>
        </w:tc>
      </w:tr>
      <w:tr w:rsidR="00C33214" w:rsidRPr="00EB7BF0" w14:paraId="26B22873" w14:textId="77777777" w:rsidTr="001F7586">
        <w:tc>
          <w:tcPr>
            <w:tcW w:w="6055" w:type="dxa"/>
          </w:tcPr>
          <w:p w14:paraId="59A74BED" w14:textId="77777777" w:rsidR="00C33214" w:rsidRPr="00EB7BF0" w:rsidRDefault="00C33214" w:rsidP="001F7586">
            <w:pPr>
              <w:ind w:left="162"/>
            </w:pPr>
            <w:r w:rsidRPr="00EB7BF0">
              <w:t>Leasehold improvements</w:t>
            </w:r>
          </w:p>
        </w:tc>
        <w:tc>
          <w:tcPr>
            <w:tcW w:w="1842" w:type="dxa"/>
          </w:tcPr>
          <w:p w14:paraId="0218B0B9" w14:textId="0F002E82" w:rsidR="00C33214" w:rsidRPr="00FA15F9" w:rsidRDefault="00DD73A5" w:rsidP="003963E0">
            <w:pPr>
              <w:tabs>
                <w:tab w:val="decimal" w:pos="1199"/>
              </w:tabs>
            </w:pPr>
            <w:r>
              <w:t>11</w:t>
            </w:r>
            <w:r w:rsidR="00462439">
              <w:t>5,605</w:t>
            </w:r>
          </w:p>
        </w:tc>
        <w:tc>
          <w:tcPr>
            <w:tcW w:w="1841" w:type="dxa"/>
          </w:tcPr>
          <w:p w14:paraId="084052B9" w14:textId="77777777" w:rsidR="00C33214" w:rsidRPr="00EB7BF0" w:rsidRDefault="00C33214" w:rsidP="003963E0">
            <w:pPr>
              <w:tabs>
                <w:tab w:val="decimal" w:pos="1158"/>
              </w:tabs>
            </w:pPr>
            <w:r>
              <w:t>115,605</w:t>
            </w:r>
          </w:p>
        </w:tc>
      </w:tr>
      <w:tr w:rsidR="00C33214" w:rsidRPr="00EB7BF0" w14:paraId="47B6F5EB" w14:textId="77777777" w:rsidTr="001F7586">
        <w:tc>
          <w:tcPr>
            <w:tcW w:w="6055" w:type="dxa"/>
          </w:tcPr>
          <w:p w14:paraId="1BC698D0" w14:textId="77777777" w:rsidR="00C33214" w:rsidRPr="00EB7BF0" w:rsidRDefault="00C33214" w:rsidP="001F7586">
            <w:pPr>
              <w:ind w:left="162"/>
            </w:pPr>
            <w:r w:rsidRPr="00EB7BF0">
              <w:t>Total property and equipment</w:t>
            </w:r>
          </w:p>
        </w:tc>
        <w:tc>
          <w:tcPr>
            <w:tcW w:w="1842" w:type="dxa"/>
            <w:tcBorders>
              <w:top w:val="single" w:sz="4" w:space="0" w:color="auto"/>
            </w:tcBorders>
          </w:tcPr>
          <w:p w14:paraId="2CE13460" w14:textId="52AF9BF3" w:rsidR="00C33214" w:rsidRPr="00FA15F9" w:rsidRDefault="00316911" w:rsidP="003963E0">
            <w:pPr>
              <w:tabs>
                <w:tab w:val="decimal" w:pos="1199"/>
              </w:tabs>
            </w:pPr>
            <w:r>
              <w:t>865,222</w:t>
            </w:r>
          </w:p>
        </w:tc>
        <w:tc>
          <w:tcPr>
            <w:tcW w:w="1841" w:type="dxa"/>
            <w:tcBorders>
              <w:top w:val="single" w:sz="4" w:space="0" w:color="auto"/>
            </w:tcBorders>
          </w:tcPr>
          <w:p w14:paraId="56A309AC" w14:textId="69A230C1" w:rsidR="00C33214" w:rsidRPr="00EB7BF0" w:rsidRDefault="0081257D" w:rsidP="003963E0">
            <w:pPr>
              <w:tabs>
                <w:tab w:val="decimal" w:pos="1158"/>
              </w:tabs>
            </w:pPr>
            <w:r>
              <w:t>841,417</w:t>
            </w:r>
          </w:p>
        </w:tc>
      </w:tr>
      <w:tr w:rsidR="00C33214" w:rsidRPr="00452D3C" w14:paraId="5C9A6CCB" w14:textId="77777777" w:rsidTr="001F7586">
        <w:tc>
          <w:tcPr>
            <w:tcW w:w="6055" w:type="dxa"/>
          </w:tcPr>
          <w:p w14:paraId="51052637" w14:textId="77777777" w:rsidR="00C33214" w:rsidRPr="00452D3C" w:rsidRDefault="00C33214" w:rsidP="001F7586">
            <w:pPr>
              <w:ind w:left="162"/>
            </w:pPr>
            <w:r w:rsidRPr="00452D3C">
              <w:t>Accumulated depreciation and amortization</w:t>
            </w:r>
          </w:p>
        </w:tc>
        <w:tc>
          <w:tcPr>
            <w:tcW w:w="1842" w:type="dxa"/>
            <w:tcBorders>
              <w:bottom w:val="single" w:sz="4" w:space="0" w:color="auto"/>
            </w:tcBorders>
          </w:tcPr>
          <w:p w14:paraId="4D97F0C2" w14:textId="70FA046E" w:rsidR="00C33214" w:rsidRPr="00FA15F9" w:rsidRDefault="00316911" w:rsidP="003963E0">
            <w:pPr>
              <w:tabs>
                <w:tab w:val="decimal" w:pos="1199"/>
              </w:tabs>
            </w:pPr>
            <w:r>
              <w:t>(641,142)</w:t>
            </w:r>
          </w:p>
        </w:tc>
        <w:tc>
          <w:tcPr>
            <w:tcW w:w="1841" w:type="dxa"/>
            <w:tcBorders>
              <w:bottom w:val="single" w:sz="4" w:space="0" w:color="auto"/>
            </w:tcBorders>
          </w:tcPr>
          <w:p w14:paraId="58FC2814" w14:textId="19220969" w:rsidR="00C33214" w:rsidRPr="00452D3C" w:rsidRDefault="00C33214" w:rsidP="003963E0">
            <w:pPr>
              <w:tabs>
                <w:tab w:val="decimal" w:pos="1158"/>
              </w:tabs>
            </w:pPr>
            <w:r>
              <w:t>(</w:t>
            </w:r>
            <w:r w:rsidR="0081257D">
              <w:t>606,505</w:t>
            </w:r>
            <w:r w:rsidRPr="00452D3C">
              <w:t>)</w:t>
            </w:r>
          </w:p>
        </w:tc>
      </w:tr>
      <w:tr w:rsidR="00C33214" w:rsidRPr="00EB7BF0" w14:paraId="1A52B04F" w14:textId="77777777" w:rsidTr="001F7586">
        <w:tc>
          <w:tcPr>
            <w:tcW w:w="6055" w:type="dxa"/>
          </w:tcPr>
          <w:p w14:paraId="2B4C864F" w14:textId="77777777" w:rsidR="00C33214" w:rsidRPr="00452D3C" w:rsidRDefault="00C33214" w:rsidP="001F7586">
            <w:pPr>
              <w:ind w:left="162"/>
            </w:pPr>
            <w:r>
              <w:t>Total p</w:t>
            </w:r>
            <w:r w:rsidRPr="00452D3C">
              <w:t>roperty and equipment, net</w:t>
            </w:r>
          </w:p>
        </w:tc>
        <w:tc>
          <w:tcPr>
            <w:tcW w:w="1842" w:type="dxa"/>
            <w:tcBorders>
              <w:top w:val="single" w:sz="4" w:space="0" w:color="auto"/>
              <w:bottom w:val="double" w:sz="4" w:space="0" w:color="auto"/>
            </w:tcBorders>
          </w:tcPr>
          <w:p w14:paraId="31C94105" w14:textId="10B3D3EB" w:rsidR="00C33214" w:rsidRPr="00FA15F9" w:rsidRDefault="00C33214" w:rsidP="003963E0">
            <w:pPr>
              <w:tabs>
                <w:tab w:val="decimal" w:pos="1199"/>
              </w:tabs>
            </w:pPr>
            <w:r w:rsidRPr="00FA15F9">
              <w:t xml:space="preserve">$ </w:t>
            </w:r>
            <w:r>
              <w:t xml:space="preserve"> </w:t>
            </w:r>
            <w:r w:rsidRPr="00FA15F9">
              <w:t xml:space="preserve"> </w:t>
            </w:r>
            <w:r w:rsidR="00316911">
              <w:t>224,080</w:t>
            </w:r>
          </w:p>
        </w:tc>
        <w:tc>
          <w:tcPr>
            <w:tcW w:w="1841" w:type="dxa"/>
            <w:tcBorders>
              <w:top w:val="single" w:sz="4" w:space="0" w:color="auto"/>
              <w:bottom w:val="double" w:sz="4" w:space="0" w:color="auto"/>
            </w:tcBorders>
          </w:tcPr>
          <w:p w14:paraId="10D018C3" w14:textId="69D6D03E" w:rsidR="00C33214" w:rsidRPr="00EB7BF0" w:rsidRDefault="00C33214" w:rsidP="003963E0">
            <w:pPr>
              <w:tabs>
                <w:tab w:val="decimal" w:pos="1158"/>
              </w:tabs>
            </w:pPr>
            <w:r w:rsidRPr="00452D3C">
              <w:t xml:space="preserve">$  </w:t>
            </w:r>
            <w:r>
              <w:t xml:space="preserve"> </w:t>
            </w:r>
            <w:r w:rsidR="0081257D">
              <w:t>234,912</w:t>
            </w:r>
          </w:p>
        </w:tc>
      </w:tr>
    </w:tbl>
    <w:p w14:paraId="71427467" w14:textId="77777777" w:rsidR="00C33214" w:rsidRDefault="00C33214" w:rsidP="00C33214">
      <w:pPr>
        <w:pStyle w:val="BodyText"/>
        <w:spacing w:after="0"/>
      </w:pPr>
    </w:p>
    <w:p w14:paraId="1D788BFB" w14:textId="77777777" w:rsidR="00C33214" w:rsidRPr="004C0A63" w:rsidRDefault="00C33214" w:rsidP="00C33214">
      <w:pPr>
        <w:pStyle w:val="BodyText"/>
        <w:spacing w:after="0"/>
      </w:pPr>
      <w:r w:rsidRPr="003963E0">
        <w:rPr>
          <w:i/>
          <w:iCs/>
        </w:rPr>
        <w:t>Other 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284755ED" w14:textId="77777777" w:rsidTr="001F7586">
        <w:tc>
          <w:tcPr>
            <w:tcW w:w="6055" w:type="dxa"/>
          </w:tcPr>
          <w:p w14:paraId="349ED9B3" w14:textId="77777777" w:rsidR="00C33214" w:rsidRPr="004C0A63" w:rsidRDefault="00C33214" w:rsidP="001F7586"/>
        </w:tc>
        <w:tc>
          <w:tcPr>
            <w:tcW w:w="1842" w:type="dxa"/>
            <w:tcBorders>
              <w:bottom w:val="single" w:sz="4" w:space="0" w:color="auto"/>
            </w:tcBorders>
          </w:tcPr>
          <w:p w14:paraId="4D1286BC" w14:textId="3E428834" w:rsidR="00C33214" w:rsidRPr="004C0A63" w:rsidRDefault="00462439" w:rsidP="001F7586">
            <w:pPr>
              <w:jc w:val="center"/>
            </w:pPr>
            <w:r>
              <w:t>June</w:t>
            </w:r>
            <w:r w:rsidR="00C33214" w:rsidRPr="004C0A63">
              <w:t xml:space="preserve"> 3</w:t>
            </w:r>
            <w:r>
              <w:t>0</w:t>
            </w:r>
            <w:r w:rsidR="00C33214" w:rsidRPr="004C0A63">
              <w:t>,</w:t>
            </w:r>
          </w:p>
          <w:p w14:paraId="5AC7CAEA" w14:textId="25C675E1" w:rsidR="00C33214" w:rsidRPr="004C0A63" w:rsidRDefault="00C33214" w:rsidP="001F7586">
            <w:pPr>
              <w:jc w:val="center"/>
            </w:pPr>
            <w:r w:rsidRPr="004C0A63">
              <w:t>202</w:t>
            </w:r>
            <w:r w:rsidR="0081257D">
              <w:t>3</w:t>
            </w:r>
          </w:p>
        </w:tc>
        <w:tc>
          <w:tcPr>
            <w:tcW w:w="1841" w:type="dxa"/>
            <w:tcBorders>
              <w:bottom w:val="single" w:sz="4" w:space="0" w:color="auto"/>
            </w:tcBorders>
          </w:tcPr>
          <w:p w14:paraId="3DC04D12" w14:textId="77777777" w:rsidR="00C33214" w:rsidRPr="004C0A63" w:rsidRDefault="00C33214" w:rsidP="001F7586">
            <w:pPr>
              <w:jc w:val="center"/>
            </w:pPr>
            <w:r w:rsidRPr="004C0A63">
              <w:t>December 31,</w:t>
            </w:r>
          </w:p>
          <w:p w14:paraId="1559921E" w14:textId="1E4C7339" w:rsidR="00C33214" w:rsidRPr="004C0A63" w:rsidRDefault="00C33214" w:rsidP="001F7586">
            <w:pPr>
              <w:jc w:val="center"/>
            </w:pPr>
            <w:r w:rsidRPr="004C0A63">
              <w:t>202</w:t>
            </w:r>
            <w:r w:rsidR="0081257D">
              <w:t>2</w:t>
            </w:r>
          </w:p>
        </w:tc>
      </w:tr>
      <w:tr w:rsidR="00C33214" w:rsidRPr="004C0A63" w14:paraId="3C0619E7" w14:textId="77777777" w:rsidTr="001F7586">
        <w:tc>
          <w:tcPr>
            <w:tcW w:w="6055" w:type="dxa"/>
          </w:tcPr>
          <w:p w14:paraId="53B83472" w14:textId="77777777" w:rsidR="00C33214" w:rsidRPr="004C0A63" w:rsidRDefault="00C33214" w:rsidP="001F7586">
            <w:pPr>
              <w:ind w:left="162"/>
            </w:pPr>
            <w:r>
              <w:t>Prepaid clinical trial costs (noncurrent portion)</w:t>
            </w:r>
          </w:p>
        </w:tc>
        <w:tc>
          <w:tcPr>
            <w:tcW w:w="1842" w:type="dxa"/>
          </w:tcPr>
          <w:p w14:paraId="5CC0E0F7" w14:textId="49BB416B" w:rsidR="00C33214" w:rsidRPr="004C0A63" w:rsidRDefault="00C33214" w:rsidP="001F7586">
            <w:pPr>
              <w:tabs>
                <w:tab w:val="decimal" w:pos="1199"/>
              </w:tabs>
            </w:pPr>
            <w:r w:rsidRPr="004C0A63">
              <w:t xml:space="preserve">$ </w:t>
            </w:r>
            <w:r w:rsidR="009465AC">
              <w:t>1,106,778</w:t>
            </w:r>
          </w:p>
        </w:tc>
        <w:tc>
          <w:tcPr>
            <w:tcW w:w="1841" w:type="dxa"/>
          </w:tcPr>
          <w:p w14:paraId="6E833E9E" w14:textId="73FDA586" w:rsidR="00C33214" w:rsidRPr="004C0A63" w:rsidRDefault="00C33214" w:rsidP="001F7586">
            <w:pPr>
              <w:tabs>
                <w:tab w:val="decimal" w:pos="1157"/>
              </w:tabs>
            </w:pPr>
            <w:r w:rsidRPr="004C0A63">
              <w:t xml:space="preserve">$ </w:t>
            </w:r>
            <w:r w:rsidR="0081257D">
              <w:t>2,083,276</w:t>
            </w:r>
          </w:p>
        </w:tc>
      </w:tr>
      <w:tr w:rsidR="00C33214" w:rsidRPr="004C0A63" w14:paraId="6EE6D5DB" w14:textId="77777777" w:rsidTr="001F7586">
        <w:tc>
          <w:tcPr>
            <w:tcW w:w="6055" w:type="dxa"/>
          </w:tcPr>
          <w:p w14:paraId="511C78FA" w14:textId="77777777" w:rsidR="00C33214" w:rsidRDefault="00C33214" w:rsidP="001F7586">
            <w:pPr>
              <w:ind w:left="162"/>
            </w:pPr>
            <w:r>
              <w:t>Prepaid technology license fees</w:t>
            </w:r>
          </w:p>
        </w:tc>
        <w:tc>
          <w:tcPr>
            <w:tcW w:w="1842" w:type="dxa"/>
          </w:tcPr>
          <w:p w14:paraId="4C59E24A" w14:textId="4DE65238" w:rsidR="00C33214" w:rsidRPr="004C0A63" w:rsidRDefault="009465AC" w:rsidP="001F7586">
            <w:pPr>
              <w:tabs>
                <w:tab w:val="decimal" w:pos="1199"/>
              </w:tabs>
            </w:pPr>
            <w:r>
              <w:t>80,000</w:t>
            </w:r>
          </w:p>
        </w:tc>
        <w:tc>
          <w:tcPr>
            <w:tcW w:w="1841" w:type="dxa"/>
          </w:tcPr>
          <w:p w14:paraId="2F4B180F" w14:textId="6FC95658" w:rsidR="00C33214" w:rsidRPr="004C0A63" w:rsidRDefault="0081257D" w:rsidP="001F7586">
            <w:pPr>
              <w:tabs>
                <w:tab w:val="decimal" w:pos="1157"/>
              </w:tabs>
            </w:pPr>
            <w:r>
              <w:t>80,000</w:t>
            </w:r>
          </w:p>
        </w:tc>
      </w:tr>
      <w:tr w:rsidR="00C33214" w:rsidRPr="004C0A63" w14:paraId="49D3AD83" w14:textId="77777777" w:rsidTr="001F7586">
        <w:tc>
          <w:tcPr>
            <w:tcW w:w="6055" w:type="dxa"/>
          </w:tcPr>
          <w:p w14:paraId="28A72DAB" w14:textId="77777777" w:rsidR="00C33214" w:rsidRPr="004C0A63" w:rsidRDefault="00C33214" w:rsidP="001F7586">
            <w:pPr>
              <w:ind w:left="162"/>
            </w:pPr>
            <w:r>
              <w:t>Deposits</w:t>
            </w:r>
          </w:p>
        </w:tc>
        <w:tc>
          <w:tcPr>
            <w:tcW w:w="1842" w:type="dxa"/>
            <w:tcBorders>
              <w:bottom w:val="single" w:sz="4" w:space="0" w:color="auto"/>
            </w:tcBorders>
          </w:tcPr>
          <w:p w14:paraId="308FBD62" w14:textId="218779A0" w:rsidR="00C33214" w:rsidRPr="004C0A63" w:rsidRDefault="009465AC" w:rsidP="001F7586">
            <w:pPr>
              <w:tabs>
                <w:tab w:val="decimal" w:pos="1199"/>
              </w:tabs>
            </w:pPr>
            <w:r>
              <w:t>11,010</w:t>
            </w:r>
          </w:p>
        </w:tc>
        <w:tc>
          <w:tcPr>
            <w:tcW w:w="1841" w:type="dxa"/>
            <w:tcBorders>
              <w:bottom w:val="single" w:sz="4" w:space="0" w:color="auto"/>
            </w:tcBorders>
          </w:tcPr>
          <w:p w14:paraId="15611E4A" w14:textId="77777777" w:rsidR="00C33214" w:rsidRPr="004C0A63" w:rsidRDefault="00C33214" w:rsidP="001F7586">
            <w:pPr>
              <w:tabs>
                <w:tab w:val="decimal" w:pos="1157"/>
              </w:tabs>
            </w:pPr>
            <w:r w:rsidRPr="004C0A63">
              <w:t>1</w:t>
            </w:r>
            <w:r>
              <w:t>1,010</w:t>
            </w:r>
          </w:p>
        </w:tc>
      </w:tr>
      <w:tr w:rsidR="00C33214" w:rsidRPr="004C0A63" w14:paraId="6FBC55C8" w14:textId="77777777" w:rsidTr="001F7586">
        <w:tc>
          <w:tcPr>
            <w:tcW w:w="6055" w:type="dxa"/>
          </w:tcPr>
          <w:p w14:paraId="58B45002" w14:textId="77777777" w:rsidR="00C33214" w:rsidRPr="004C0A63" w:rsidRDefault="00C33214" w:rsidP="001F7586">
            <w:pPr>
              <w:ind w:left="162"/>
            </w:pPr>
            <w:r w:rsidRPr="004C0A63">
              <w:t xml:space="preserve">Total </w:t>
            </w:r>
            <w:r>
              <w:t>other assets</w:t>
            </w:r>
          </w:p>
        </w:tc>
        <w:tc>
          <w:tcPr>
            <w:tcW w:w="1842" w:type="dxa"/>
            <w:tcBorders>
              <w:top w:val="single" w:sz="4" w:space="0" w:color="auto"/>
              <w:bottom w:val="double" w:sz="4" w:space="0" w:color="auto"/>
            </w:tcBorders>
          </w:tcPr>
          <w:p w14:paraId="186E3944" w14:textId="29ED123F" w:rsidR="00C33214" w:rsidRPr="004C0A63" w:rsidRDefault="00C33214" w:rsidP="001F7586">
            <w:pPr>
              <w:tabs>
                <w:tab w:val="decimal" w:pos="1199"/>
              </w:tabs>
            </w:pPr>
            <w:r w:rsidRPr="004C0A63">
              <w:t xml:space="preserve">$ </w:t>
            </w:r>
            <w:r w:rsidR="009465AC">
              <w:t>1,197,788</w:t>
            </w:r>
          </w:p>
        </w:tc>
        <w:tc>
          <w:tcPr>
            <w:tcW w:w="1841" w:type="dxa"/>
            <w:tcBorders>
              <w:top w:val="single" w:sz="4" w:space="0" w:color="auto"/>
              <w:bottom w:val="double" w:sz="4" w:space="0" w:color="auto"/>
            </w:tcBorders>
          </w:tcPr>
          <w:p w14:paraId="5797A5B1" w14:textId="13E42F30" w:rsidR="00C33214" w:rsidRPr="004C0A63" w:rsidRDefault="00C33214" w:rsidP="001F7586">
            <w:pPr>
              <w:tabs>
                <w:tab w:val="decimal" w:pos="1157"/>
              </w:tabs>
            </w:pPr>
            <w:r w:rsidRPr="004C0A63">
              <w:t>$</w:t>
            </w:r>
            <w:r>
              <w:t xml:space="preserve"> </w:t>
            </w:r>
            <w:r w:rsidR="0081257D">
              <w:t>2,174,286</w:t>
            </w:r>
          </w:p>
        </w:tc>
      </w:tr>
    </w:tbl>
    <w:p w14:paraId="2733DBBC" w14:textId="77777777" w:rsidR="00C33214" w:rsidRDefault="00C33214" w:rsidP="00C33214">
      <w:pPr>
        <w:pStyle w:val="BodyText"/>
        <w:spacing w:after="0"/>
      </w:pPr>
    </w:p>
    <w:p w14:paraId="0B817B5D" w14:textId="77777777" w:rsidR="00C33214" w:rsidRPr="004C0A63" w:rsidRDefault="00C33214" w:rsidP="00C33214">
      <w:pPr>
        <w:pStyle w:val="BodyText"/>
        <w:spacing w:after="0"/>
      </w:pPr>
      <w:r w:rsidRPr="003963E0">
        <w:rPr>
          <w:i/>
          <w:i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78091CCC" w14:textId="77777777" w:rsidTr="001F7586">
        <w:tc>
          <w:tcPr>
            <w:tcW w:w="6055" w:type="dxa"/>
          </w:tcPr>
          <w:p w14:paraId="01665DE1" w14:textId="77777777" w:rsidR="00C33214" w:rsidRPr="004C0A63" w:rsidRDefault="00C33214" w:rsidP="001F7586"/>
        </w:tc>
        <w:tc>
          <w:tcPr>
            <w:tcW w:w="1842" w:type="dxa"/>
            <w:tcBorders>
              <w:bottom w:val="single" w:sz="4" w:space="0" w:color="auto"/>
            </w:tcBorders>
          </w:tcPr>
          <w:p w14:paraId="4F2C31F7" w14:textId="59104ACF" w:rsidR="00C33214" w:rsidRPr="004C0A63" w:rsidRDefault="00462439" w:rsidP="001F7586">
            <w:pPr>
              <w:jc w:val="center"/>
            </w:pPr>
            <w:r>
              <w:t>June</w:t>
            </w:r>
            <w:r w:rsidR="00C33214" w:rsidRPr="004C0A63">
              <w:t xml:space="preserve"> 3</w:t>
            </w:r>
            <w:r>
              <w:t>0</w:t>
            </w:r>
            <w:r w:rsidR="00C33214" w:rsidRPr="004C0A63">
              <w:t>,</w:t>
            </w:r>
          </w:p>
          <w:p w14:paraId="6D85B788" w14:textId="2B5EA2DC" w:rsidR="00C33214" w:rsidRPr="004C0A63" w:rsidRDefault="00C33214" w:rsidP="001F7586">
            <w:pPr>
              <w:jc w:val="center"/>
            </w:pPr>
            <w:r w:rsidRPr="004C0A63">
              <w:t>202</w:t>
            </w:r>
            <w:r w:rsidR="0081257D">
              <w:t>3</w:t>
            </w:r>
          </w:p>
        </w:tc>
        <w:tc>
          <w:tcPr>
            <w:tcW w:w="1841" w:type="dxa"/>
            <w:tcBorders>
              <w:bottom w:val="single" w:sz="4" w:space="0" w:color="auto"/>
            </w:tcBorders>
          </w:tcPr>
          <w:p w14:paraId="3DDEC9CD" w14:textId="77777777" w:rsidR="00C33214" w:rsidRPr="004C0A63" w:rsidRDefault="00C33214" w:rsidP="001F7586">
            <w:pPr>
              <w:jc w:val="center"/>
            </w:pPr>
            <w:r w:rsidRPr="004C0A63">
              <w:t>December 31,</w:t>
            </w:r>
          </w:p>
          <w:p w14:paraId="26F09ECE" w14:textId="0E483937" w:rsidR="00C33214" w:rsidRPr="004C0A63" w:rsidRDefault="00C33214" w:rsidP="001F7586">
            <w:pPr>
              <w:jc w:val="center"/>
            </w:pPr>
            <w:r w:rsidRPr="004C0A63">
              <w:t>202</w:t>
            </w:r>
            <w:r w:rsidR="0081257D">
              <w:t>2</w:t>
            </w:r>
          </w:p>
        </w:tc>
      </w:tr>
      <w:tr w:rsidR="00C33214" w:rsidRPr="004C0A63" w14:paraId="77CF5699" w14:textId="77777777" w:rsidTr="001F7586">
        <w:tc>
          <w:tcPr>
            <w:tcW w:w="6055" w:type="dxa"/>
          </w:tcPr>
          <w:p w14:paraId="10A2C7C2" w14:textId="7BC26F6D" w:rsidR="00C33214" w:rsidRPr="004C0A63" w:rsidRDefault="00C33214" w:rsidP="001F7586">
            <w:pPr>
              <w:ind w:left="162"/>
            </w:pPr>
            <w:r w:rsidRPr="004C0A63">
              <w:t xml:space="preserve">Accrued </w:t>
            </w:r>
            <w:r>
              <w:t xml:space="preserve">technology </w:t>
            </w:r>
            <w:r w:rsidRPr="004C0A63">
              <w:t>license fees</w:t>
            </w:r>
          </w:p>
        </w:tc>
        <w:tc>
          <w:tcPr>
            <w:tcW w:w="1842" w:type="dxa"/>
          </w:tcPr>
          <w:p w14:paraId="4FD60483" w14:textId="60343CF4" w:rsidR="00C33214" w:rsidRPr="004C0A63" w:rsidRDefault="00C33214" w:rsidP="001F7586">
            <w:pPr>
              <w:tabs>
                <w:tab w:val="decimal" w:pos="1199"/>
              </w:tabs>
            </w:pPr>
            <w:r w:rsidRPr="004C0A63">
              <w:t xml:space="preserve">$ </w:t>
            </w:r>
            <w:r w:rsidR="009465AC">
              <w:t>2,000,000</w:t>
            </w:r>
          </w:p>
        </w:tc>
        <w:tc>
          <w:tcPr>
            <w:tcW w:w="1841" w:type="dxa"/>
          </w:tcPr>
          <w:p w14:paraId="607807C7" w14:textId="0F994D2C" w:rsidR="00C33214" w:rsidRPr="004C0A63" w:rsidRDefault="00C33214" w:rsidP="001F7586">
            <w:pPr>
              <w:tabs>
                <w:tab w:val="decimal" w:pos="1157"/>
              </w:tabs>
            </w:pPr>
            <w:r w:rsidRPr="004C0A63">
              <w:t xml:space="preserve">$ </w:t>
            </w:r>
            <w:r w:rsidR="0081257D">
              <w:t>2,000,000</w:t>
            </w:r>
          </w:p>
        </w:tc>
      </w:tr>
      <w:tr w:rsidR="00C33214" w:rsidRPr="004C0A63" w14:paraId="315D2A37" w14:textId="77777777" w:rsidTr="001F7586">
        <w:tc>
          <w:tcPr>
            <w:tcW w:w="6055" w:type="dxa"/>
          </w:tcPr>
          <w:p w14:paraId="683A2EB4" w14:textId="08364FFF" w:rsidR="00C33214" w:rsidRPr="004C0A63" w:rsidRDefault="0081257D" w:rsidP="001F7586">
            <w:pPr>
              <w:ind w:left="162"/>
            </w:pPr>
            <w:r>
              <w:t>Payroll-related liabilities</w:t>
            </w:r>
          </w:p>
        </w:tc>
        <w:tc>
          <w:tcPr>
            <w:tcW w:w="1842" w:type="dxa"/>
          </w:tcPr>
          <w:p w14:paraId="1B1EAACD" w14:textId="754D092C" w:rsidR="00C33214" w:rsidRPr="004C0A63" w:rsidRDefault="009465AC" w:rsidP="001F7586">
            <w:pPr>
              <w:tabs>
                <w:tab w:val="decimal" w:pos="1199"/>
              </w:tabs>
            </w:pPr>
            <w:r>
              <w:t>123,922</w:t>
            </w:r>
          </w:p>
        </w:tc>
        <w:tc>
          <w:tcPr>
            <w:tcW w:w="1841" w:type="dxa"/>
          </w:tcPr>
          <w:p w14:paraId="028B342C" w14:textId="75037880" w:rsidR="00C33214" w:rsidRPr="004C0A63" w:rsidRDefault="0081257D" w:rsidP="001F7586">
            <w:pPr>
              <w:tabs>
                <w:tab w:val="decimal" w:pos="1157"/>
              </w:tabs>
            </w:pPr>
            <w:r>
              <w:t>550,810</w:t>
            </w:r>
          </w:p>
        </w:tc>
      </w:tr>
      <w:tr w:rsidR="00C33214" w:rsidRPr="007863FD" w14:paraId="13B6A0B7" w14:textId="77777777" w:rsidTr="001F7586">
        <w:tc>
          <w:tcPr>
            <w:tcW w:w="6055" w:type="dxa"/>
          </w:tcPr>
          <w:p w14:paraId="5E295C98" w14:textId="77777777" w:rsidR="00C33214" w:rsidRPr="007863FD" w:rsidRDefault="00C33214" w:rsidP="001F7586">
            <w:pPr>
              <w:ind w:left="162"/>
            </w:pPr>
            <w:r w:rsidRPr="007863FD">
              <w:t>Other accrued expenses</w:t>
            </w:r>
          </w:p>
        </w:tc>
        <w:tc>
          <w:tcPr>
            <w:tcW w:w="1842" w:type="dxa"/>
            <w:tcBorders>
              <w:bottom w:val="single" w:sz="4" w:space="0" w:color="auto"/>
            </w:tcBorders>
          </w:tcPr>
          <w:p w14:paraId="73D2112D" w14:textId="76FF0B73" w:rsidR="00C33214" w:rsidRPr="007863FD" w:rsidRDefault="009465AC" w:rsidP="001F7586">
            <w:pPr>
              <w:tabs>
                <w:tab w:val="decimal" w:pos="1199"/>
              </w:tabs>
            </w:pPr>
            <w:r>
              <w:t>1,090,459</w:t>
            </w:r>
          </w:p>
        </w:tc>
        <w:tc>
          <w:tcPr>
            <w:tcW w:w="1841" w:type="dxa"/>
            <w:tcBorders>
              <w:bottom w:val="single" w:sz="4" w:space="0" w:color="auto"/>
            </w:tcBorders>
          </w:tcPr>
          <w:p w14:paraId="5CE9E302" w14:textId="2B879B37" w:rsidR="00C33214" w:rsidRPr="007863FD" w:rsidRDefault="0081257D" w:rsidP="001F7586">
            <w:pPr>
              <w:tabs>
                <w:tab w:val="decimal" w:pos="1157"/>
              </w:tabs>
            </w:pPr>
            <w:r>
              <w:t>449,402</w:t>
            </w:r>
          </w:p>
        </w:tc>
      </w:tr>
      <w:tr w:rsidR="00C33214" w:rsidRPr="004C0A63" w14:paraId="5AD39E93" w14:textId="77777777" w:rsidTr="001F7586">
        <w:tc>
          <w:tcPr>
            <w:tcW w:w="6055" w:type="dxa"/>
          </w:tcPr>
          <w:p w14:paraId="60404FEA" w14:textId="77777777" w:rsidR="00C33214" w:rsidRPr="007863FD" w:rsidRDefault="00C33214" w:rsidP="001F7586">
            <w:pPr>
              <w:ind w:left="162"/>
            </w:pPr>
            <w:r w:rsidRPr="007863FD">
              <w:t>Total accrued expenses</w:t>
            </w:r>
          </w:p>
        </w:tc>
        <w:tc>
          <w:tcPr>
            <w:tcW w:w="1842" w:type="dxa"/>
            <w:tcBorders>
              <w:top w:val="single" w:sz="4" w:space="0" w:color="auto"/>
              <w:bottom w:val="double" w:sz="4" w:space="0" w:color="auto"/>
            </w:tcBorders>
          </w:tcPr>
          <w:p w14:paraId="1E46B022" w14:textId="7C42322A" w:rsidR="00C33214" w:rsidRPr="007863FD" w:rsidRDefault="00C33214" w:rsidP="001F7586">
            <w:pPr>
              <w:tabs>
                <w:tab w:val="decimal" w:pos="1199"/>
              </w:tabs>
            </w:pPr>
            <w:r w:rsidRPr="007863FD">
              <w:t xml:space="preserve">$ </w:t>
            </w:r>
            <w:r w:rsidR="009465AC">
              <w:t>3,214,381</w:t>
            </w:r>
          </w:p>
        </w:tc>
        <w:tc>
          <w:tcPr>
            <w:tcW w:w="1841" w:type="dxa"/>
            <w:tcBorders>
              <w:top w:val="single" w:sz="4" w:space="0" w:color="auto"/>
              <w:bottom w:val="double" w:sz="4" w:space="0" w:color="auto"/>
            </w:tcBorders>
          </w:tcPr>
          <w:p w14:paraId="18DFBFF3" w14:textId="09A30B0A" w:rsidR="00C33214" w:rsidRPr="004C0A63" w:rsidRDefault="00C33214" w:rsidP="001F7586">
            <w:pPr>
              <w:tabs>
                <w:tab w:val="decimal" w:pos="1157"/>
              </w:tabs>
            </w:pPr>
            <w:r w:rsidRPr="007863FD">
              <w:t xml:space="preserve">$ </w:t>
            </w:r>
            <w:r w:rsidR="0081257D">
              <w:t>3,000,212</w:t>
            </w:r>
          </w:p>
        </w:tc>
      </w:tr>
    </w:tbl>
    <w:p w14:paraId="058E46DE" w14:textId="77777777" w:rsidR="0081257D" w:rsidRDefault="0081257D" w:rsidP="000A55AE">
      <w:pPr>
        <w:pStyle w:val="BodyText"/>
        <w:spacing w:after="0"/>
      </w:pPr>
    </w:p>
    <w:p w14:paraId="2D51CE8D" w14:textId="70CD7246" w:rsidR="00C33214" w:rsidRPr="001C6303" w:rsidRDefault="00C33214" w:rsidP="00C33214">
      <w:pPr>
        <w:pStyle w:val="ListNumbering"/>
        <w:spacing w:after="0"/>
      </w:pPr>
      <w:bookmarkStart w:id="14" w:name="_Toc197922410"/>
      <w:r w:rsidRPr="00CA6DDA">
        <w:t>4.</w:t>
      </w:r>
      <w:r w:rsidRPr="00CA6DDA">
        <w:tab/>
        <w:t>Commitments</w:t>
      </w:r>
    </w:p>
    <w:p w14:paraId="366DCAC5" w14:textId="281D1709" w:rsidR="00C33214" w:rsidRDefault="00C33214" w:rsidP="00C33214">
      <w:pPr>
        <w:pStyle w:val="BodyText"/>
        <w:spacing w:after="0"/>
      </w:pPr>
    </w:p>
    <w:p w14:paraId="72D7E7DC" w14:textId="77777777" w:rsidR="003963E0" w:rsidRDefault="00F461F3" w:rsidP="00F461F3">
      <w:pPr>
        <w:rPr>
          <w:i/>
        </w:rPr>
      </w:pPr>
      <w:r>
        <w:rPr>
          <w:i/>
        </w:rPr>
        <w:t>Operating Lease</w:t>
      </w:r>
    </w:p>
    <w:p w14:paraId="3468399E" w14:textId="77777777" w:rsidR="003963E0" w:rsidRDefault="003963E0" w:rsidP="00F461F3">
      <w:pPr>
        <w:rPr>
          <w:i/>
        </w:rPr>
      </w:pPr>
    </w:p>
    <w:p w14:paraId="539107BD" w14:textId="36C3ECFE" w:rsidR="00F461F3" w:rsidRDefault="00F461F3" w:rsidP="00F461F3">
      <w:pPr>
        <w:rPr>
          <w:bCs/>
          <w:i/>
        </w:rPr>
      </w:pPr>
      <w:r>
        <w:t xml:space="preserve">We lease approximately 8,400 square feet of office and laboratory space pursuant to an operating lease which expires on December 31, 2025. </w:t>
      </w:r>
      <w:r w:rsidR="00775D2C" w:rsidRPr="00775D2C">
        <w:t xml:space="preserve">Rent </w:t>
      </w:r>
      <w:proofErr w:type="gramStart"/>
      <w:r w:rsidR="00775D2C" w:rsidRPr="00775D2C">
        <w:t>expense</w:t>
      </w:r>
      <w:proofErr w:type="gramEnd"/>
      <w:r w:rsidR="00775D2C" w:rsidRPr="00775D2C">
        <w:t xml:space="preserve"> for the three-month </w:t>
      </w:r>
      <w:r w:rsidR="00FE5DE0">
        <w:t xml:space="preserve">and six-month </w:t>
      </w:r>
      <w:r w:rsidR="00775D2C" w:rsidRPr="00775D2C">
        <w:t xml:space="preserve">periods ended </w:t>
      </w:r>
      <w:r w:rsidR="00FE5DE0">
        <w:t>June</w:t>
      </w:r>
      <w:r w:rsidR="00775D2C" w:rsidRPr="00775D2C">
        <w:t xml:space="preserve"> 3</w:t>
      </w:r>
      <w:r w:rsidR="00FE5DE0">
        <w:t>0</w:t>
      </w:r>
      <w:r w:rsidR="00775D2C" w:rsidRPr="00775D2C">
        <w:t xml:space="preserve">, </w:t>
      </w:r>
      <w:proofErr w:type="gramStart"/>
      <w:r w:rsidR="00775D2C" w:rsidRPr="00775D2C">
        <w:t>202</w:t>
      </w:r>
      <w:r w:rsidR="00775D2C">
        <w:t>3</w:t>
      </w:r>
      <w:proofErr w:type="gramEnd"/>
      <w:r w:rsidR="00775D2C" w:rsidRPr="00775D2C">
        <w:t xml:space="preserve"> was $</w:t>
      </w:r>
      <w:r w:rsidR="00CA6DDA">
        <w:t>45,414</w:t>
      </w:r>
      <w:r w:rsidR="00775D2C" w:rsidRPr="00775D2C">
        <w:t xml:space="preserve"> and $</w:t>
      </w:r>
      <w:r w:rsidR="00CA6DDA">
        <w:t>90,828</w:t>
      </w:r>
      <w:r w:rsidR="00775D2C" w:rsidRPr="00775D2C">
        <w:t>, respectively</w:t>
      </w:r>
      <w:r w:rsidR="00FE5DE0">
        <w:t xml:space="preserve">, as compared to </w:t>
      </w:r>
      <w:r w:rsidR="00FE5DE0">
        <w:rPr>
          <w:rFonts w:ascii="CG Times (WN)" w:hAnsi="CG Times (WN)"/>
        </w:rPr>
        <w:t>$44,089 and $88,178, respectively, for the same periods of 2022.</w:t>
      </w:r>
      <w:r w:rsidR="00775D2C" w:rsidRPr="00775D2C">
        <w:t xml:space="preserve"> </w:t>
      </w:r>
      <w:r>
        <w:t>Future minimum lease payments total $</w:t>
      </w:r>
      <w:r w:rsidR="00FE5DE0">
        <w:t>90,828</w:t>
      </w:r>
      <w:r>
        <w:t xml:space="preserve"> in 2023, $187,</w:t>
      </w:r>
      <w:r w:rsidR="00DD73A5">
        <w:t>056</w:t>
      </w:r>
      <w:r>
        <w:t xml:space="preserve"> in 2024, and $19</w:t>
      </w:r>
      <w:r w:rsidR="00DD73A5">
        <w:t>2,708</w:t>
      </w:r>
      <w:r>
        <w:t xml:space="preserve"> in 2025 although the lease may be terminated at any time by either party with one hundred eighty days written notice. </w:t>
      </w:r>
    </w:p>
    <w:p w14:paraId="7DE2B326" w14:textId="77777777" w:rsidR="00F461F3" w:rsidRDefault="00F461F3" w:rsidP="00F461F3">
      <w:pPr>
        <w:rPr>
          <w:bCs/>
        </w:rPr>
      </w:pPr>
    </w:p>
    <w:p w14:paraId="729763CB" w14:textId="77777777" w:rsidR="003963E0" w:rsidRDefault="00F461F3" w:rsidP="00F461F3">
      <w:pPr>
        <w:rPr>
          <w:bCs/>
          <w:i/>
          <w:iCs/>
        </w:rPr>
      </w:pPr>
      <w:r>
        <w:rPr>
          <w:bCs/>
          <w:i/>
          <w:iCs/>
        </w:rPr>
        <w:t>License Agreements</w:t>
      </w:r>
    </w:p>
    <w:p w14:paraId="0500BF23" w14:textId="77777777" w:rsidR="003963E0" w:rsidRDefault="003963E0" w:rsidP="00F461F3">
      <w:pPr>
        <w:rPr>
          <w:bCs/>
          <w:i/>
          <w:iCs/>
        </w:rPr>
      </w:pPr>
    </w:p>
    <w:p w14:paraId="7CFFC2AB" w14:textId="335D57F2" w:rsidR="00F461F3" w:rsidRDefault="00F461F3" w:rsidP="00F461F3">
      <w:r>
        <w:rPr>
          <w:bCs/>
        </w:rPr>
        <w:t>We have entered into license agreements</w:t>
      </w:r>
      <w:r>
        <w:t xml:space="preserve"> for various technologies and patent rights associated with our product development activities. These agreements may contain provisions for upfront payments, milestone fees </w:t>
      </w:r>
      <w:r>
        <w:rPr>
          <w:bCs/>
        </w:rPr>
        <w:t xml:space="preserve">due upon the achievement of selected development and regulatory events, minimum annual royalties or other fees, </w:t>
      </w:r>
      <w:r>
        <w:t>and royalties based on future net sales.</w:t>
      </w:r>
      <w:r w:rsidR="00AF7C6C" w:rsidRPr="00AF7C6C">
        <w:t xml:space="preserve"> </w:t>
      </w:r>
      <w:r w:rsidR="00AF7C6C" w:rsidRPr="003F7D9B">
        <w:t xml:space="preserve">Due to the uncertainty of the achievement and timing of the </w:t>
      </w:r>
      <w:r w:rsidR="00AF7C6C">
        <w:t xml:space="preserve">contingent </w:t>
      </w:r>
      <w:r w:rsidR="00AF7C6C" w:rsidRPr="003F7D9B">
        <w:t>events requiring payment under these agreements, the amounts to be paid by us</w:t>
      </w:r>
      <w:r w:rsidR="00AF7C6C">
        <w:t xml:space="preserve"> in the future</w:t>
      </w:r>
      <w:r w:rsidR="00AF7C6C" w:rsidRPr="003F7D9B">
        <w:t xml:space="preserve"> are not determinable</w:t>
      </w:r>
      <w:r w:rsidR="00AF7C6C">
        <w:t>.</w:t>
      </w:r>
    </w:p>
    <w:p w14:paraId="7ADC22B6" w14:textId="77777777" w:rsidR="00F461F3" w:rsidRDefault="00F461F3" w:rsidP="00F461F3"/>
    <w:p w14:paraId="05DB759E" w14:textId="77777777" w:rsidR="003963E0" w:rsidRDefault="00F461F3" w:rsidP="00F461F3">
      <w:pPr>
        <w:rPr>
          <w:bCs/>
        </w:rPr>
      </w:pPr>
      <w:r>
        <w:rPr>
          <w:bCs/>
          <w:i/>
          <w:iCs/>
        </w:rPr>
        <w:t>Other Commitments</w:t>
      </w:r>
    </w:p>
    <w:p w14:paraId="45B452CD" w14:textId="77777777" w:rsidR="003963E0" w:rsidRDefault="003963E0" w:rsidP="00F461F3">
      <w:pPr>
        <w:rPr>
          <w:bCs/>
        </w:rPr>
      </w:pPr>
    </w:p>
    <w:p w14:paraId="6A2CA56A" w14:textId="1FC0B676" w:rsidR="00F461F3" w:rsidRDefault="00F461F3" w:rsidP="00F461F3">
      <w:r>
        <w:t xml:space="preserve">In the normal course of </w:t>
      </w:r>
      <w:r w:rsidR="00775D2C">
        <w:t>business,</w:t>
      </w:r>
      <w:r>
        <w:t xml:space="preserve"> we enter into various contracts and purchase commitments including those with contract research organizations (“CROs”) </w:t>
      </w:r>
      <w:r w:rsidR="00CC7B89">
        <w:t>for clinical trial services,</w:t>
      </w:r>
      <w:r>
        <w:t xml:space="preserve"> </w:t>
      </w:r>
      <w:r>
        <w:rPr>
          <w:bCs/>
        </w:rPr>
        <w:t xml:space="preserve">contract manufacturing organizations (“CMOs”) </w:t>
      </w:r>
      <w:r>
        <w:t>for production of</w:t>
      </w:r>
      <w:r>
        <w:rPr>
          <w:bCs/>
        </w:rPr>
        <w:t xml:space="preserve"> materials for use in our clinical trials</w:t>
      </w:r>
      <w:r w:rsidR="00CC7B89">
        <w:rPr>
          <w:bCs/>
        </w:rPr>
        <w:t>, and other independent contractors</w:t>
      </w:r>
      <w:r w:rsidR="007814FB">
        <w:rPr>
          <w:bCs/>
        </w:rPr>
        <w:t xml:space="preserve"> or academic institutions</w:t>
      </w:r>
      <w:r w:rsidR="00CC7B89">
        <w:rPr>
          <w:bCs/>
        </w:rPr>
        <w:t xml:space="preserve"> for preclinical research </w:t>
      </w:r>
      <w:r w:rsidR="00CC7B89">
        <w:rPr>
          <w:bCs/>
        </w:rPr>
        <w:lastRenderedPageBreak/>
        <w:t>activities and other services and products</w:t>
      </w:r>
      <w:r>
        <w:rPr>
          <w:bCs/>
        </w:rPr>
        <w:t xml:space="preserve">. Most contracts are generally </w:t>
      </w:r>
      <w:proofErr w:type="gramStart"/>
      <w:r>
        <w:rPr>
          <w:bCs/>
        </w:rPr>
        <w:t>cancellable</w:t>
      </w:r>
      <w:proofErr w:type="gramEnd"/>
      <w:r>
        <w:rPr>
          <w:bCs/>
        </w:rPr>
        <w:t xml:space="preserve">, with notice, at the Company’s option. </w:t>
      </w:r>
      <w:r>
        <w:t>Payments due upon cancellation may consist of payments for services provided or expenses incurred to date, or cancellation penalties depending on the time of cancellation.</w:t>
      </w:r>
    </w:p>
    <w:p w14:paraId="2EEC6171" w14:textId="77777777" w:rsidR="007947EE" w:rsidRDefault="007947EE" w:rsidP="007947EE"/>
    <w:p w14:paraId="2EF779F7" w14:textId="0A7F5854" w:rsidR="00C33214" w:rsidRDefault="00C33214" w:rsidP="00C33214">
      <w:pPr>
        <w:pStyle w:val="ListNumbering"/>
        <w:spacing w:after="0"/>
      </w:pPr>
      <w:r w:rsidRPr="00B935E6">
        <w:t>5.</w:t>
      </w:r>
      <w:r w:rsidRPr="00B935E6">
        <w:tab/>
        <w:t>Stockholders’ Equity</w:t>
      </w:r>
    </w:p>
    <w:p w14:paraId="670EC335" w14:textId="77777777" w:rsidR="00C33214" w:rsidRDefault="00C33214" w:rsidP="00C33214">
      <w:pPr>
        <w:pStyle w:val="BodyTitle"/>
        <w:spacing w:after="0"/>
      </w:pPr>
    </w:p>
    <w:p w14:paraId="5007A7A2" w14:textId="77777777" w:rsidR="003963E0" w:rsidRDefault="00C33214" w:rsidP="00C33214">
      <w:pPr>
        <w:jc w:val="both"/>
      </w:pPr>
      <w:r w:rsidRPr="008C0ABC">
        <w:rPr>
          <w:i/>
          <w:iCs/>
        </w:rPr>
        <w:t>Common Stock Transactions</w:t>
      </w:r>
      <w:bookmarkStart w:id="15" w:name="_Hlk108625276"/>
    </w:p>
    <w:p w14:paraId="133A8E3D" w14:textId="77777777" w:rsidR="003963E0" w:rsidRDefault="003963E0" w:rsidP="00C33214">
      <w:pPr>
        <w:jc w:val="both"/>
      </w:pPr>
    </w:p>
    <w:p w14:paraId="70950825" w14:textId="307DCDE4" w:rsidR="00C33214" w:rsidRDefault="00C33214" w:rsidP="00C33214">
      <w:pPr>
        <w:jc w:val="both"/>
      </w:pPr>
      <w:r>
        <w:t xml:space="preserve">During </w:t>
      </w:r>
      <w:r w:rsidR="00775D2C">
        <w:t>March 2023</w:t>
      </w:r>
      <w:r>
        <w:t xml:space="preserve">, we issued </w:t>
      </w:r>
      <w:r w:rsidR="004D5835">
        <w:t>108,6</w:t>
      </w:r>
      <w:r w:rsidR="005D52D0">
        <w:t>9</w:t>
      </w:r>
      <w:r w:rsidR="004D5835">
        <w:t>6</w:t>
      </w:r>
      <w:r w:rsidR="00775D2C">
        <w:t xml:space="preserve"> s</w:t>
      </w:r>
      <w:r>
        <w:t xml:space="preserve">hares of our common stock pursuant to </w:t>
      </w:r>
      <w:r w:rsidR="00775D2C">
        <w:t xml:space="preserve">a </w:t>
      </w:r>
      <w:r w:rsidR="00CC7B89">
        <w:t xml:space="preserve">professional relations and </w:t>
      </w:r>
      <w:r>
        <w:t>consulting agreement.</w:t>
      </w:r>
    </w:p>
    <w:bookmarkEnd w:id="15"/>
    <w:p w14:paraId="20665DC4" w14:textId="77777777" w:rsidR="00C33214" w:rsidRDefault="00C33214" w:rsidP="00C33214">
      <w:pPr>
        <w:rPr>
          <w:color w:val="000000"/>
        </w:rPr>
      </w:pPr>
    </w:p>
    <w:p w14:paraId="64AFECED" w14:textId="77777777" w:rsidR="003963E0" w:rsidRDefault="00C33214" w:rsidP="00C33214">
      <w:pPr>
        <w:pStyle w:val="BodyTitle"/>
        <w:spacing w:after="0"/>
        <w:rPr>
          <w:u w:val="none"/>
        </w:rPr>
      </w:pPr>
      <w:r w:rsidRPr="006F0BD4">
        <w:rPr>
          <w:i/>
          <w:iCs/>
          <w:u w:val="none"/>
        </w:rPr>
        <w:t>Stock Options</w:t>
      </w:r>
    </w:p>
    <w:p w14:paraId="2D4E9977" w14:textId="77777777" w:rsidR="003963E0" w:rsidRDefault="003963E0" w:rsidP="00C33214">
      <w:pPr>
        <w:pStyle w:val="BodyTitle"/>
        <w:spacing w:after="0"/>
        <w:rPr>
          <w:u w:val="none"/>
        </w:rPr>
      </w:pPr>
    </w:p>
    <w:p w14:paraId="1227F874" w14:textId="6460AB66" w:rsidR="00C33214" w:rsidRPr="00BD3259" w:rsidRDefault="00C33214" w:rsidP="00C33214">
      <w:pPr>
        <w:pStyle w:val="BodyTitle"/>
        <w:spacing w:after="0"/>
        <w:rPr>
          <w:color w:val="000000"/>
          <w:u w:val="none"/>
        </w:rPr>
      </w:pPr>
      <w:r w:rsidRPr="006749F1">
        <w:rPr>
          <w:u w:val="none"/>
        </w:rPr>
        <w:t xml:space="preserve">We have a stock-based incentive plan (the “2020 Plan”) </w:t>
      </w:r>
      <w:r w:rsidRPr="006749F1">
        <w:rPr>
          <w:color w:val="000000"/>
          <w:u w:val="none"/>
        </w:rPr>
        <w:t xml:space="preserve">pursuant to which our Board of Directors may grant stock options and other stock-based awards to our employees, directors and consultants. A total of </w:t>
      </w:r>
      <w:r w:rsidR="00775D2C" w:rsidRPr="006749F1">
        <w:rPr>
          <w:color w:val="000000"/>
          <w:u w:val="none"/>
        </w:rPr>
        <w:t>2,</w:t>
      </w:r>
      <w:r w:rsidR="007814FB">
        <w:rPr>
          <w:color w:val="000000"/>
          <w:u w:val="none"/>
        </w:rPr>
        <w:t>075,500</w:t>
      </w:r>
      <w:r w:rsidRPr="006749F1">
        <w:rPr>
          <w:color w:val="000000"/>
          <w:u w:val="none"/>
        </w:rPr>
        <w:t xml:space="preserve"> shares of our common stock are reserved for </w:t>
      </w:r>
      <w:r w:rsidR="007814FB">
        <w:rPr>
          <w:color w:val="000000"/>
          <w:u w:val="none"/>
        </w:rPr>
        <w:t xml:space="preserve">future </w:t>
      </w:r>
      <w:r w:rsidRPr="006749F1">
        <w:rPr>
          <w:color w:val="000000"/>
          <w:u w:val="none"/>
        </w:rPr>
        <w:t xml:space="preserve">issuance pursuant to the 2020 Plan.  During the </w:t>
      </w:r>
      <w:r w:rsidR="00B935E6" w:rsidRPr="006749F1">
        <w:rPr>
          <w:color w:val="000000"/>
          <w:u w:val="none"/>
        </w:rPr>
        <w:t>six</w:t>
      </w:r>
      <w:r w:rsidRPr="006749F1">
        <w:rPr>
          <w:color w:val="000000"/>
          <w:u w:val="none"/>
        </w:rPr>
        <w:t xml:space="preserve"> months ended </w:t>
      </w:r>
      <w:r w:rsidR="00B935E6" w:rsidRPr="006749F1">
        <w:rPr>
          <w:color w:val="000000"/>
          <w:u w:val="none"/>
        </w:rPr>
        <w:t>June</w:t>
      </w:r>
      <w:r w:rsidRPr="006749F1">
        <w:rPr>
          <w:color w:val="000000"/>
          <w:u w:val="none"/>
        </w:rPr>
        <w:t xml:space="preserve"> 3</w:t>
      </w:r>
      <w:r w:rsidR="00B935E6" w:rsidRPr="006749F1">
        <w:rPr>
          <w:color w:val="000000"/>
          <w:u w:val="none"/>
        </w:rPr>
        <w:t>0</w:t>
      </w:r>
      <w:r w:rsidRPr="006749F1">
        <w:rPr>
          <w:color w:val="000000"/>
          <w:u w:val="none"/>
        </w:rPr>
        <w:t>, 202</w:t>
      </w:r>
      <w:r w:rsidR="00775D2C" w:rsidRPr="006749F1">
        <w:rPr>
          <w:color w:val="000000"/>
          <w:u w:val="none"/>
        </w:rPr>
        <w:t>3</w:t>
      </w:r>
      <w:r w:rsidRPr="006749F1">
        <w:rPr>
          <w:color w:val="000000"/>
          <w:u w:val="none"/>
        </w:rPr>
        <w:t xml:space="preserve">, </w:t>
      </w:r>
      <w:r w:rsidR="00BD3259">
        <w:rPr>
          <w:color w:val="000000"/>
          <w:u w:val="none"/>
        </w:rPr>
        <w:t xml:space="preserve">36,667 stock options were cancelled and there were no new grants of stock options or other </w:t>
      </w:r>
      <w:r w:rsidRPr="006749F1">
        <w:rPr>
          <w:color w:val="000000"/>
          <w:u w:val="none"/>
        </w:rPr>
        <w:t xml:space="preserve">transactions related to the 2020 Plan.  As of </w:t>
      </w:r>
      <w:r w:rsidR="00B935E6" w:rsidRPr="006749F1">
        <w:rPr>
          <w:color w:val="000000"/>
          <w:u w:val="none"/>
        </w:rPr>
        <w:t>June</w:t>
      </w:r>
      <w:r w:rsidRPr="006749F1">
        <w:rPr>
          <w:color w:val="000000"/>
          <w:u w:val="none"/>
        </w:rPr>
        <w:t xml:space="preserve"> 3</w:t>
      </w:r>
      <w:r w:rsidR="00B935E6" w:rsidRPr="006749F1">
        <w:rPr>
          <w:color w:val="000000"/>
          <w:u w:val="none"/>
        </w:rPr>
        <w:t>0</w:t>
      </w:r>
      <w:r w:rsidRPr="006749F1">
        <w:rPr>
          <w:color w:val="000000"/>
          <w:u w:val="none"/>
        </w:rPr>
        <w:t>, 202</w:t>
      </w:r>
      <w:r w:rsidR="00775D2C" w:rsidRPr="006749F1">
        <w:rPr>
          <w:color w:val="000000"/>
          <w:u w:val="none"/>
        </w:rPr>
        <w:t>3</w:t>
      </w:r>
      <w:r w:rsidRPr="006749F1">
        <w:rPr>
          <w:color w:val="000000"/>
          <w:u w:val="none"/>
        </w:rPr>
        <w:t xml:space="preserve">, there are </w:t>
      </w:r>
      <w:r w:rsidR="004D5835" w:rsidRPr="006749F1">
        <w:rPr>
          <w:color w:val="000000"/>
          <w:u w:val="none"/>
        </w:rPr>
        <w:t>2,0</w:t>
      </w:r>
      <w:r w:rsidR="006749F1" w:rsidRPr="006749F1">
        <w:rPr>
          <w:color w:val="000000"/>
          <w:u w:val="none"/>
        </w:rPr>
        <w:t>22,133</w:t>
      </w:r>
      <w:r w:rsidRPr="006749F1">
        <w:rPr>
          <w:color w:val="000000"/>
          <w:u w:val="none"/>
        </w:rPr>
        <w:t xml:space="preserve"> stock options outstanding, with a weighted-average exercise price of </w:t>
      </w:r>
      <w:r w:rsidR="00775D2C" w:rsidRPr="006749F1">
        <w:rPr>
          <w:color w:val="000000"/>
          <w:u w:val="none"/>
        </w:rPr>
        <w:t>$</w:t>
      </w:r>
      <w:r w:rsidR="004D5835" w:rsidRPr="006749F1">
        <w:rPr>
          <w:color w:val="000000"/>
          <w:u w:val="none"/>
        </w:rPr>
        <w:t>1.</w:t>
      </w:r>
      <w:r w:rsidR="006749F1" w:rsidRPr="006749F1">
        <w:rPr>
          <w:color w:val="000000"/>
          <w:u w:val="none"/>
        </w:rPr>
        <w:t>90</w:t>
      </w:r>
      <w:r w:rsidRPr="006749F1">
        <w:rPr>
          <w:color w:val="000000"/>
          <w:u w:val="none"/>
        </w:rPr>
        <w:t xml:space="preserve"> per share and a weighted-average remaining </w:t>
      </w:r>
      <w:r w:rsidR="004D5835" w:rsidRPr="006749F1">
        <w:rPr>
          <w:color w:val="000000"/>
          <w:u w:val="none"/>
        </w:rPr>
        <w:t xml:space="preserve">contractual </w:t>
      </w:r>
      <w:r w:rsidRPr="006749F1">
        <w:rPr>
          <w:color w:val="000000"/>
          <w:u w:val="none"/>
        </w:rPr>
        <w:t xml:space="preserve">term of </w:t>
      </w:r>
      <w:r w:rsidR="004D5835" w:rsidRPr="006749F1">
        <w:rPr>
          <w:color w:val="000000"/>
          <w:u w:val="none"/>
        </w:rPr>
        <w:t>8.</w:t>
      </w:r>
      <w:r w:rsidR="006749F1" w:rsidRPr="006749F1">
        <w:rPr>
          <w:color w:val="000000"/>
          <w:u w:val="none"/>
        </w:rPr>
        <w:t>7</w:t>
      </w:r>
      <w:r w:rsidRPr="006749F1">
        <w:rPr>
          <w:color w:val="000000"/>
          <w:u w:val="none"/>
        </w:rPr>
        <w:t xml:space="preserve"> years.</w:t>
      </w:r>
    </w:p>
    <w:p w14:paraId="22734239" w14:textId="77777777" w:rsidR="00C33214" w:rsidRDefault="00C33214" w:rsidP="00C33214">
      <w:pPr>
        <w:rPr>
          <w:color w:val="000000"/>
        </w:rPr>
      </w:pPr>
    </w:p>
    <w:p w14:paraId="2564304F" w14:textId="77777777" w:rsidR="003963E0" w:rsidRDefault="009B589E" w:rsidP="009B589E">
      <w:pPr>
        <w:suppressAutoHyphens/>
        <w:spacing w:line="240" w:lineRule="exact"/>
        <w:rPr>
          <w:i/>
          <w:color w:val="000000"/>
        </w:rPr>
      </w:pPr>
      <w:r w:rsidRPr="00914DFD">
        <w:rPr>
          <w:i/>
          <w:color w:val="000000"/>
        </w:rPr>
        <w:t>Stock Purchase Warrants</w:t>
      </w:r>
    </w:p>
    <w:p w14:paraId="158C81BC" w14:textId="77777777" w:rsidR="003963E0" w:rsidRDefault="003963E0" w:rsidP="009B589E">
      <w:pPr>
        <w:suppressAutoHyphens/>
        <w:spacing w:line="240" w:lineRule="exact"/>
        <w:rPr>
          <w:i/>
          <w:color w:val="000000"/>
        </w:rPr>
      </w:pPr>
    </w:p>
    <w:p w14:paraId="1F131806" w14:textId="523F9AFE" w:rsidR="009B589E" w:rsidRDefault="00CC7B89" w:rsidP="009B589E">
      <w:pPr>
        <w:suppressAutoHyphens/>
        <w:spacing w:line="240" w:lineRule="exact"/>
      </w:pPr>
      <w:r w:rsidRPr="006749F1">
        <w:rPr>
          <w:color w:val="000000"/>
        </w:rPr>
        <w:t xml:space="preserve">We have issued stock purchase warrants in connection with past financing and licensing transactions. </w:t>
      </w:r>
      <w:r w:rsidR="00914DFD" w:rsidRPr="006749F1">
        <w:rPr>
          <w:color w:val="000000"/>
        </w:rPr>
        <w:t xml:space="preserve">During the </w:t>
      </w:r>
      <w:r w:rsidR="00B935E6" w:rsidRPr="006749F1">
        <w:rPr>
          <w:color w:val="000000"/>
        </w:rPr>
        <w:t>six</w:t>
      </w:r>
      <w:r w:rsidR="00914DFD" w:rsidRPr="006749F1">
        <w:rPr>
          <w:color w:val="000000"/>
        </w:rPr>
        <w:t xml:space="preserve"> months ended </w:t>
      </w:r>
      <w:r w:rsidR="00B935E6" w:rsidRPr="006749F1">
        <w:rPr>
          <w:color w:val="000000"/>
        </w:rPr>
        <w:t>June</w:t>
      </w:r>
      <w:r w:rsidR="00914DFD" w:rsidRPr="006749F1">
        <w:rPr>
          <w:color w:val="000000"/>
        </w:rPr>
        <w:t xml:space="preserve"> 3</w:t>
      </w:r>
      <w:r w:rsidR="00B935E6" w:rsidRPr="006749F1">
        <w:rPr>
          <w:color w:val="000000"/>
        </w:rPr>
        <w:t>0</w:t>
      </w:r>
      <w:r w:rsidR="00914DFD" w:rsidRPr="006749F1">
        <w:rPr>
          <w:color w:val="000000"/>
        </w:rPr>
        <w:t xml:space="preserve">, 2023, there were no transactions related to our stock purchase warrants.  </w:t>
      </w:r>
      <w:r w:rsidR="009B589E" w:rsidRPr="006749F1">
        <w:t xml:space="preserve">As of </w:t>
      </w:r>
      <w:r w:rsidR="00B935E6" w:rsidRPr="006749F1">
        <w:t>June</w:t>
      </w:r>
      <w:r w:rsidR="009B589E" w:rsidRPr="006749F1">
        <w:t xml:space="preserve"> 3</w:t>
      </w:r>
      <w:r w:rsidR="00B935E6" w:rsidRPr="006749F1">
        <w:t>0</w:t>
      </w:r>
      <w:r w:rsidR="009B589E" w:rsidRPr="006749F1">
        <w:t xml:space="preserve">, 2023, there are 13,384,115 stock purchase warrants outstanding with </w:t>
      </w:r>
      <w:r w:rsidR="009B589E" w:rsidRPr="006749F1">
        <w:rPr>
          <w:color w:val="000000"/>
        </w:rPr>
        <w:t>a weighted-average exercise price of $</w:t>
      </w:r>
      <w:r w:rsidR="008C1886" w:rsidRPr="006749F1">
        <w:rPr>
          <w:color w:val="000000"/>
        </w:rPr>
        <w:t>2.77</w:t>
      </w:r>
      <w:r w:rsidR="009B589E" w:rsidRPr="006749F1">
        <w:rPr>
          <w:color w:val="000000"/>
        </w:rPr>
        <w:t xml:space="preserve"> per share and a weighted-average remaining term of </w:t>
      </w:r>
      <w:r w:rsidR="008C1886" w:rsidRPr="006749F1">
        <w:rPr>
          <w:color w:val="000000"/>
        </w:rPr>
        <w:t>4.</w:t>
      </w:r>
      <w:r w:rsidR="006749F1" w:rsidRPr="006749F1">
        <w:rPr>
          <w:color w:val="000000"/>
        </w:rPr>
        <w:t>0</w:t>
      </w:r>
      <w:r w:rsidR="009B589E" w:rsidRPr="006749F1">
        <w:rPr>
          <w:color w:val="000000"/>
        </w:rPr>
        <w:t xml:space="preserve"> years.</w:t>
      </w:r>
      <w:r w:rsidR="009B589E">
        <w:rPr>
          <w:color w:val="000000"/>
        </w:rPr>
        <w:t xml:space="preserve"> </w:t>
      </w:r>
    </w:p>
    <w:p w14:paraId="40560E09" w14:textId="09DA59F9" w:rsidR="000A55AE" w:rsidRDefault="000A55AE" w:rsidP="000A55AE">
      <w:pPr>
        <w:rPr>
          <w:color w:val="000000"/>
        </w:rPr>
      </w:pPr>
    </w:p>
    <w:p w14:paraId="78E20A9F" w14:textId="45EFC7D6" w:rsidR="005B58B3" w:rsidRPr="00F53171" w:rsidRDefault="00C33214" w:rsidP="005B58B3">
      <w:pPr>
        <w:pStyle w:val="BodyTitle"/>
        <w:spacing w:after="0"/>
        <w:rPr>
          <w:rFonts w:eastAsia="Times New Roman"/>
          <w:b/>
          <w:bCs/>
          <w:iCs/>
          <w:color w:val="000000"/>
          <w:u w:val="none"/>
        </w:rPr>
      </w:pPr>
      <w:r>
        <w:rPr>
          <w:rFonts w:eastAsia="Times New Roman"/>
          <w:b/>
          <w:bCs/>
          <w:iCs/>
          <w:color w:val="000000"/>
          <w:u w:val="none"/>
        </w:rPr>
        <w:t>6</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2973B6FC" w:rsidR="005B58B3" w:rsidRDefault="005B58B3" w:rsidP="005B58B3"/>
    <w:p w14:paraId="6A51C4C6" w14:textId="6630ED7F" w:rsidR="009B589E" w:rsidRPr="00B26306" w:rsidRDefault="008C1886" w:rsidP="009B589E">
      <w:r w:rsidRPr="00B26306">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w:t>
      </w:r>
      <w:r w:rsidR="009B589E" w:rsidRPr="00B26306">
        <w:t>Stock-based compensation expense related to stock option grants was $</w:t>
      </w:r>
      <w:r w:rsidR="00B26306" w:rsidRPr="00B26306">
        <w:t>226,013</w:t>
      </w:r>
      <w:r w:rsidR="009B589E" w:rsidRPr="00B26306">
        <w:t xml:space="preserve"> and $</w:t>
      </w:r>
      <w:r w:rsidR="00B26306" w:rsidRPr="00B26306">
        <w:t>454,05</w:t>
      </w:r>
      <w:r w:rsidR="007814FB">
        <w:t>2</w:t>
      </w:r>
      <w:r w:rsidR="009B589E" w:rsidRPr="00B26306">
        <w:t xml:space="preserve"> during the three-month</w:t>
      </w:r>
      <w:r w:rsidR="006749F1" w:rsidRPr="00B26306">
        <w:t xml:space="preserve"> and six-month</w:t>
      </w:r>
      <w:r w:rsidR="009B589E" w:rsidRPr="00B26306">
        <w:t xml:space="preserve"> periods ended </w:t>
      </w:r>
      <w:r w:rsidR="006749F1" w:rsidRPr="00B26306">
        <w:t>June</w:t>
      </w:r>
      <w:r w:rsidR="009B589E" w:rsidRPr="00B26306">
        <w:t xml:space="preserve"> 3</w:t>
      </w:r>
      <w:r w:rsidR="006749F1" w:rsidRPr="00B26306">
        <w:t>0</w:t>
      </w:r>
      <w:r w:rsidR="009B589E" w:rsidRPr="00B26306">
        <w:t>, 2023, respectively</w:t>
      </w:r>
      <w:r w:rsidRPr="00B26306">
        <w:t>, a</w:t>
      </w:r>
      <w:r w:rsidR="006749F1" w:rsidRPr="00B26306">
        <w:t>s compared to $190,191 and $380,382, respectively, during the same periods of 2022. As</w:t>
      </w:r>
      <w:r w:rsidR="009B589E" w:rsidRPr="00B26306">
        <w:rPr>
          <w:color w:val="000000"/>
        </w:rPr>
        <w:t xml:space="preserve"> of </w:t>
      </w:r>
      <w:r w:rsidR="006749F1" w:rsidRPr="00B26306">
        <w:rPr>
          <w:color w:val="000000"/>
        </w:rPr>
        <w:t>June 30</w:t>
      </w:r>
      <w:r w:rsidR="009B589E" w:rsidRPr="00B26306">
        <w:rPr>
          <w:color w:val="000000"/>
        </w:rPr>
        <w:t>, 2023, there is $</w:t>
      </w:r>
      <w:r w:rsidR="00B26306" w:rsidRPr="00B26306">
        <w:rPr>
          <w:color w:val="000000"/>
        </w:rPr>
        <w:t>962,090</w:t>
      </w:r>
      <w:r w:rsidR="009B589E" w:rsidRPr="00B26306">
        <w:rPr>
          <w:color w:val="000000"/>
        </w:rPr>
        <w:t xml:space="preserve"> of unrecognized compensation expense that we expect to recognize over a weighted-average period of </w:t>
      </w:r>
      <w:r w:rsidR="00B26306" w:rsidRPr="00B26306">
        <w:rPr>
          <w:color w:val="000000"/>
        </w:rPr>
        <w:t>1.6</w:t>
      </w:r>
      <w:r w:rsidR="009B589E" w:rsidRPr="00B26306">
        <w:rPr>
          <w:color w:val="000000"/>
        </w:rPr>
        <w:t xml:space="preserve"> years.</w:t>
      </w:r>
    </w:p>
    <w:p w14:paraId="5DF6D531" w14:textId="77777777" w:rsidR="009B589E" w:rsidRPr="00B26306" w:rsidRDefault="009B589E" w:rsidP="009B589E">
      <w:pPr>
        <w:rPr>
          <w:color w:val="000000"/>
        </w:rPr>
      </w:pPr>
    </w:p>
    <w:p w14:paraId="615D9CE7" w14:textId="50921D6B" w:rsidR="009B589E" w:rsidRDefault="008C1886" w:rsidP="009B589E">
      <w:pPr>
        <w:rPr>
          <w:color w:val="000000"/>
        </w:rPr>
      </w:pPr>
      <w:r w:rsidRPr="00B26306">
        <w:t xml:space="preserve">We have </w:t>
      </w:r>
      <w:r w:rsidR="00CC7B89" w:rsidRPr="00B26306">
        <w:t xml:space="preserve">also </w:t>
      </w:r>
      <w:r w:rsidRPr="00B26306">
        <w:t xml:space="preserve">issued shares of </w:t>
      </w:r>
      <w:r w:rsidR="00CC7B89" w:rsidRPr="00B26306">
        <w:t xml:space="preserve">our </w:t>
      </w:r>
      <w:r w:rsidRPr="00B26306">
        <w:t xml:space="preserve">restricted common stock to consultants and recognize the related expense over the terms of the related agreements. </w:t>
      </w:r>
      <w:r w:rsidR="009B589E" w:rsidRPr="00B26306">
        <w:t>During the three-month</w:t>
      </w:r>
      <w:r w:rsidR="006749F1" w:rsidRPr="00B26306">
        <w:t xml:space="preserve"> and six-month</w:t>
      </w:r>
      <w:r w:rsidR="009B589E" w:rsidRPr="00B26306">
        <w:t xml:space="preserve"> periods ended </w:t>
      </w:r>
      <w:r w:rsidR="006749F1" w:rsidRPr="00B26306">
        <w:t>June</w:t>
      </w:r>
      <w:r w:rsidR="009B589E" w:rsidRPr="00B26306">
        <w:t xml:space="preserve"> 3</w:t>
      </w:r>
      <w:r w:rsidR="006749F1" w:rsidRPr="00B26306">
        <w:t>0</w:t>
      </w:r>
      <w:r w:rsidR="009B589E" w:rsidRPr="00B26306">
        <w:t xml:space="preserve">, </w:t>
      </w:r>
      <w:proofErr w:type="gramStart"/>
      <w:r w:rsidR="009B589E" w:rsidRPr="00B26306">
        <w:t>2023</w:t>
      </w:r>
      <w:proofErr w:type="gramEnd"/>
      <w:r w:rsidR="009B589E" w:rsidRPr="00B26306">
        <w:t xml:space="preserve"> we recorded stock-based compensation expense of $</w:t>
      </w:r>
      <w:r w:rsidR="00B26306" w:rsidRPr="00B26306">
        <w:t>43,500</w:t>
      </w:r>
      <w:r w:rsidR="009B589E" w:rsidRPr="00B26306">
        <w:t xml:space="preserve"> and $</w:t>
      </w:r>
      <w:r w:rsidR="00B26306" w:rsidRPr="00B26306">
        <w:t>61,500</w:t>
      </w:r>
      <w:r w:rsidR="009B589E" w:rsidRPr="00B26306">
        <w:t>, respectively, associated with common stock issued for consulting services</w:t>
      </w:r>
      <w:r w:rsidR="006749F1" w:rsidRPr="00B26306">
        <w:t>, as compared to $16,987 and $31,947, respectively, for the same periods of 2022</w:t>
      </w:r>
      <w:r w:rsidR="009B589E" w:rsidRPr="00B26306">
        <w:t>.</w:t>
      </w:r>
      <w:r w:rsidR="009B589E" w:rsidRPr="00B26306">
        <w:rPr>
          <w:color w:val="000000"/>
        </w:rPr>
        <w:t xml:space="preserve"> </w:t>
      </w:r>
      <w:r w:rsidR="009B589E" w:rsidRPr="00B26306">
        <w:t xml:space="preserve">As of </w:t>
      </w:r>
      <w:r w:rsidR="006749F1" w:rsidRPr="00B26306">
        <w:t>June</w:t>
      </w:r>
      <w:r w:rsidR="009B589E" w:rsidRPr="00B26306">
        <w:t xml:space="preserve"> 3</w:t>
      </w:r>
      <w:r w:rsidR="006749F1" w:rsidRPr="00B26306">
        <w:t>0</w:t>
      </w:r>
      <w:r w:rsidR="009B589E" w:rsidRPr="00B26306">
        <w:t>, 2023, there is $</w:t>
      </w:r>
      <w:r w:rsidR="00B26306" w:rsidRPr="00B26306">
        <w:t>37,500</w:t>
      </w:r>
      <w:r w:rsidR="009B589E" w:rsidRPr="00B26306">
        <w:t xml:space="preserve"> recorded as a prepaid expense for these arrangements, which will be recognized as expense over the term of the related agreement.</w:t>
      </w:r>
    </w:p>
    <w:p w14:paraId="75E8E643" w14:textId="02D688F6" w:rsidR="00C33214" w:rsidRDefault="00C33214" w:rsidP="000A55AE">
      <w:pPr>
        <w:rPr>
          <w:color w:val="000000"/>
        </w:rPr>
      </w:pPr>
    </w:p>
    <w:p w14:paraId="2E26F5C9" w14:textId="1A465BC0" w:rsidR="00C33214" w:rsidRPr="001C6303" w:rsidRDefault="00C33214" w:rsidP="00C33214">
      <w:pPr>
        <w:pStyle w:val="ListNumbering"/>
        <w:spacing w:after="0"/>
      </w:pPr>
      <w:r>
        <w:t>7</w:t>
      </w:r>
      <w:r w:rsidRPr="001C6303">
        <w:t>.</w:t>
      </w:r>
      <w:r w:rsidRPr="001C6303">
        <w:tab/>
      </w:r>
      <w:r>
        <w:t xml:space="preserve">Net </w:t>
      </w:r>
      <w:r w:rsidRPr="001C6303">
        <w:t>Loss Per Share</w:t>
      </w:r>
    </w:p>
    <w:p w14:paraId="27AFE495" w14:textId="77777777" w:rsidR="00C33214" w:rsidRDefault="00C33214" w:rsidP="00C33214">
      <w:pPr>
        <w:pStyle w:val="BodyText"/>
        <w:spacing w:after="0"/>
      </w:pPr>
    </w:p>
    <w:p w14:paraId="21E0E353" w14:textId="024F7DC2" w:rsidR="00C33214" w:rsidRDefault="00C33214" w:rsidP="00C33214">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16" w:name="_Hlk107585474"/>
      <w:r>
        <w:t xml:space="preserve">The securities that could potentially dilute basic </w:t>
      </w:r>
      <w:r w:rsidRPr="00CE0C17">
        <w:t xml:space="preserve">earnings per share in the future and that have been excluded </w:t>
      </w:r>
      <w:bookmarkEnd w:id="16"/>
      <w:r w:rsidRPr="00CE0C17">
        <w:t xml:space="preserve">from the computation of diluted net loss per share totaled </w:t>
      </w:r>
      <w:r w:rsidR="00CE0C17" w:rsidRPr="00CE0C17">
        <w:t>15,406,248</w:t>
      </w:r>
      <w:r w:rsidRPr="00CE0C17">
        <w:t xml:space="preserve"> and </w:t>
      </w:r>
      <w:r w:rsidR="00CE0C17" w:rsidRPr="00CE0C17">
        <w:t>18,967,629</w:t>
      </w:r>
      <w:r w:rsidRPr="00CE0C17">
        <w:t xml:space="preserve"> shares </w:t>
      </w:r>
      <w:proofErr w:type="gramStart"/>
      <w:r w:rsidRPr="00CE0C17">
        <w:t>at</w:t>
      </w:r>
      <w:proofErr w:type="gramEnd"/>
      <w:r w:rsidRPr="00CE0C17">
        <w:t xml:space="preserve"> </w:t>
      </w:r>
      <w:r w:rsidR="00CE0C17" w:rsidRPr="00CE0C17">
        <w:t>June</w:t>
      </w:r>
      <w:r w:rsidRPr="00CE0C17">
        <w:t xml:space="preserve"> 3</w:t>
      </w:r>
      <w:r w:rsidR="00CE0C17" w:rsidRPr="00CE0C17">
        <w:t>0</w:t>
      </w:r>
      <w:r w:rsidRPr="00CE0C17">
        <w:t>, 202</w:t>
      </w:r>
      <w:r w:rsidR="00036C2E" w:rsidRPr="00CE0C17">
        <w:t>3</w:t>
      </w:r>
      <w:r w:rsidRPr="00CE0C17">
        <w:t xml:space="preserve"> and 202</w:t>
      </w:r>
      <w:r w:rsidR="00036C2E" w:rsidRPr="00CE0C17">
        <w:t>2</w:t>
      </w:r>
      <w:r w:rsidRPr="00CE0C17">
        <w:t>, respectively.</w:t>
      </w:r>
    </w:p>
    <w:p w14:paraId="5F29D6AE" w14:textId="77777777" w:rsidR="00C33214" w:rsidRDefault="00C33214" w:rsidP="000A55AE">
      <w:pPr>
        <w:rPr>
          <w:color w:val="000000"/>
        </w:rPr>
      </w:pPr>
    </w:p>
    <w:p w14:paraId="45163D60" w14:textId="2CD49D44" w:rsidR="00881E20" w:rsidRPr="001C6303" w:rsidRDefault="00C33214" w:rsidP="000A55AE">
      <w:pPr>
        <w:pStyle w:val="ListNumbering"/>
        <w:spacing w:after="0"/>
      </w:pPr>
      <w:r>
        <w:t>8</w:t>
      </w:r>
      <w:r w:rsidR="00881E20" w:rsidRPr="001C6303">
        <w:t>.</w:t>
      </w:r>
      <w:r w:rsidR="00881E20" w:rsidRPr="001C6303">
        <w:tab/>
        <w:t>Income Taxes</w:t>
      </w:r>
    </w:p>
    <w:p w14:paraId="0850CD3F" w14:textId="38305047" w:rsidR="000A55AE" w:rsidRDefault="000A55AE" w:rsidP="000A55AE">
      <w:pPr>
        <w:pStyle w:val="BodyText"/>
        <w:spacing w:after="0"/>
      </w:pPr>
    </w:p>
    <w:p w14:paraId="5D139C65" w14:textId="653624E9" w:rsidR="00C33214" w:rsidRDefault="00C33214" w:rsidP="00C33214">
      <w:pPr>
        <w:pStyle w:val="BodyText"/>
        <w:spacing w:after="0"/>
      </w:pPr>
      <w:r>
        <w:t xml:space="preserve">No provision for income taxes was recorded in either of the </w:t>
      </w:r>
      <w:r w:rsidR="00B935E6">
        <w:t>six</w:t>
      </w:r>
      <w:r>
        <w:t xml:space="preserve">-month periods ended </w:t>
      </w:r>
      <w:r w:rsidR="00B935E6">
        <w:t>June</w:t>
      </w:r>
      <w:r>
        <w:t xml:space="preserve"> 3</w:t>
      </w:r>
      <w:r w:rsidR="00B935E6">
        <w:t>0</w:t>
      </w:r>
      <w:r>
        <w:t xml:space="preserve">, </w:t>
      </w:r>
      <w:proofErr w:type="gramStart"/>
      <w:r>
        <w:t>202</w:t>
      </w:r>
      <w:r w:rsidR="00036C2E">
        <w:t>3</w:t>
      </w:r>
      <w:proofErr w:type="gramEnd"/>
      <w:r>
        <w:t xml:space="preserve"> and 202</w:t>
      </w:r>
      <w:r w:rsidR="00036C2E">
        <w:t>2</w:t>
      </w:r>
      <w:r>
        <w:t xml:space="preserve">. The Company remains in a cumulative loss position with a full valuation allowance recorded against its net deferred income tax assets as of </w:t>
      </w:r>
      <w:r w:rsidR="00B935E6">
        <w:t>June</w:t>
      </w:r>
      <w:r>
        <w:t xml:space="preserve"> 3</w:t>
      </w:r>
      <w:r w:rsidR="00B935E6">
        <w:t>0</w:t>
      </w:r>
      <w:r>
        <w:t>, 202</w:t>
      </w:r>
      <w:r w:rsidR="00036C2E">
        <w:t>3</w:t>
      </w:r>
      <w:r>
        <w:t>.</w:t>
      </w:r>
    </w:p>
    <w:p w14:paraId="0C44511C" w14:textId="74075BE4" w:rsidR="000A55AE" w:rsidRDefault="000A55AE" w:rsidP="000A55AE">
      <w:pPr>
        <w:pStyle w:val="BodyText"/>
        <w:spacing w:after="0"/>
      </w:pPr>
    </w:p>
    <w:p w14:paraId="6E23F9E8" w14:textId="77777777" w:rsidR="00E5783E" w:rsidRDefault="00E5783E">
      <w:pPr>
        <w:rPr>
          <w:i/>
        </w:rPr>
      </w:pPr>
    </w:p>
    <w:p w14:paraId="27E9C1B0" w14:textId="77777777" w:rsidR="00B74BA5" w:rsidRDefault="00B74BA5">
      <w:pPr>
        <w:rPr>
          <w:b/>
        </w:rPr>
      </w:pPr>
      <w:r>
        <w:br w:type="page"/>
      </w:r>
    </w:p>
    <w:p w14:paraId="511152B0" w14:textId="7E51EC78" w:rsidR="00BD6BBE" w:rsidRPr="001C6303" w:rsidRDefault="0054260E" w:rsidP="000A55AE">
      <w:pPr>
        <w:pStyle w:val="Heading2"/>
        <w:numPr>
          <w:ilvl w:val="0"/>
          <w:numId w:val="0"/>
        </w:numPr>
        <w:tabs>
          <w:tab w:val="left" w:pos="1080"/>
        </w:tabs>
        <w:spacing w:after="0"/>
      </w:pPr>
      <w:r w:rsidRPr="00291008">
        <w:rPr>
          <w:u w:val="none"/>
        </w:rPr>
        <w:lastRenderedPageBreak/>
        <w:t>Item 2</w:t>
      </w:r>
      <w:r w:rsidRPr="00291008">
        <w:rPr>
          <w:u w:val="none"/>
        </w:rPr>
        <w:tab/>
      </w:r>
      <w:r w:rsidR="00BD6BBE" w:rsidRPr="00291008">
        <w:t>Management</w:t>
      </w:r>
      <w:r w:rsidR="00B44A4C" w:rsidRPr="00291008">
        <w:t>’</w:t>
      </w:r>
      <w:r w:rsidR="00BD6BBE" w:rsidRPr="00291008">
        <w:t xml:space="preserve">s Discussion and Analysis of Financial Condition </w:t>
      </w:r>
      <w:proofErr w:type="gramStart"/>
      <w:r w:rsidR="00BD6BBE" w:rsidRPr="00291008">
        <w:t>And</w:t>
      </w:r>
      <w:proofErr w:type="gramEnd"/>
      <w:r w:rsidR="00BD6BBE" w:rsidRPr="00291008">
        <w:t xml:space="preserve"> Results of Operations</w:t>
      </w:r>
      <w:bookmarkEnd w:id="14"/>
    </w:p>
    <w:p w14:paraId="10D16227" w14:textId="7DF0C357" w:rsidR="000A55AE" w:rsidRDefault="000A55AE" w:rsidP="000A55AE">
      <w:pPr>
        <w:pStyle w:val="Subtitle"/>
        <w:spacing w:after="0"/>
      </w:pPr>
    </w:p>
    <w:p w14:paraId="577F7BF7" w14:textId="0B5830D5"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sidR="00C33214">
        <w:rPr>
          <w:bCs/>
          <w:i/>
          <w:iCs/>
        </w:rPr>
        <w:t>2</w:t>
      </w:r>
      <w:r w:rsidRPr="0009354D">
        <w:rPr>
          <w:bCs/>
          <w:i/>
          <w:iCs/>
        </w:rPr>
        <w:t xml:space="preserve">, which was filed with the Securities and Exchange Commission on March </w:t>
      </w:r>
      <w:r w:rsidR="00C33214">
        <w:rPr>
          <w:bCs/>
          <w:i/>
          <w:iCs/>
        </w:rPr>
        <w:t>23</w:t>
      </w:r>
      <w:r w:rsidRPr="0009354D">
        <w:rPr>
          <w:bCs/>
          <w:i/>
          <w:iCs/>
        </w:rPr>
        <w:t>, 20</w:t>
      </w:r>
      <w:r w:rsidR="00C33214">
        <w:rPr>
          <w:bCs/>
          <w:i/>
          <w:iCs/>
        </w:rPr>
        <w:t>23</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6DE674D5" w:rsidR="00B70FE8" w:rsidRPr="00CC7B89" w:rsidRDefault="00B70FE8" w:rsidP="00B70FE8">
      <w:pPr>
        <w:tabs>
          <w:tab w:val="decimal" w:pos="9180"/>
        </w:tabs>
        <w:rPr>
          <w:bCs/>
          <w:i/>
          <w:iCs/>
        </w:rPr>
      </w:pPr>
      <w:r w:rsidRPr="00CC7B89">
        <w:rPr>
          <w:bCs/>
          <w:i/>
          <w:i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sidR="00C33214" w:rsidRPr="00CC7B89">
        <w:rPr>
          <w:bCs/>
          <w:i/>
          <w:iCs/>
        </w:rPr>
        <w:t>2</w:t>
      </w:r>
      <w:r w:rsidRPr="00CC7B89">
        <w:rPr>
          <w:bCs/>
          <w:i/>
          <w:i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3D1CF61B"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29D487AD" w14:textId="6CC0D320" w:rsidR="003963E0" w:rsidRDefault="000733A2" w:rsidP="000733A2">
      <w:r w:rsidRPr="00E55FA4">
        <w:t>GeoVax is a clinical-stage biotechnology company developing immunotherapies and vaccines against</w:t>
      </w:r>
      <w:r w:rsidR="003963E0">
        <w:t xml:space="preserve"> cancers and</w:t>
      </w:r>
      <w:r w:rsidRPr="00E55FA4">
        <w:t xml:space="preserve"> infectious diseases using novel vector vaccine platforms. </w:t>
      </w:r>
      <w:proofErr w:type="spellStart"/>
      <w:r w:rsidRPr="00E55FA4">
        <w:rPr>
          <w:bCs/>
        </w:rPr>
        <w:t>GeoVax’s</w:t>
      </w:r>
      <w:proofErr w:type="spellEnd"/>
      <w:r w:rsidRPr="00E55FA4">
        <w:rPr>
          <w:bCs/>
        </w:rPr>
        <w:t xml:space="preserve"> product pipeline includes ongoing human clinical trials </w:t>
      </w:r>
      <w:r>
        <w:rPr>
          <w:bCs/>
        </w:rPr>
        <w:t>for a next-generation</w:t>
      </w:r>
      <w:r w:rsidRPr="00E55FA4">
        <w:rPr>
          <w:bCs/>
        </w:rPr>
        <w:t xml:space="preserve"> COVID-19</w:t>
      </w:r>
      <w:r w:rsidR="003963E0">
        <w:rPr>
          <w:bCs/>
        </w:rPr>
        <w:t xml:space="preserve"> </w:t>
      </w:r>
      <w:r>
        <w:rPr>
          <w:bCs/>
        </w:rPr>
        <w:t>vaccine</w:t>
      </w:r>
      <w:r w:rsidRPr="00E55FA4">
        <w:rPr>
          <w:bCs/>
        </w:rPr>
        <w:t xml:space="preserve"> and </w:t>
      </w:r>
      <w:r>
        <w:rPr>
          <w:bCs/>
        </w:rPr>
        <w:t xml:space="preserve">a gene-directed therapy against </w:t>
      </w:r>
      <w:r w:rsidRPr="00E55FA4">
        <w:rPr>
          <w:bCs/>
        </w:rPr>
        <w:t xml:space="preserve">advanced </w:t>
      </w:r>
      <w:r w:rsidRPr="00E55FA4">
        <w:t xml:space="preserve">head and neck cancer. </w:t>
      </w:r>
      <w:r>
        <w:rPr>
          <w:bCs/>
        </w:rPr>
        <w:t xml:space="preserve">Additional </w:t>
      </w:r>
      <w:r w:rsidR="003963E0">
        <w:rPr>
          <w:bCs/>
        </w:rPr>
        <w:t xml:space="preserve">preclinical </w:t>
      </w:r>
      <w:r>
        <w:rPr>
          <w:bCs/>
        </w:rPr>
        <w:t xml:space="preserve">research and development programs include preventive vaccines against </w:t>
      </w:r>
      <w:proofErr w:type="spellStart"/>
      <w:r>
        <w:rPr>
          <w:bCs/>
        </w:rPr>
        <w:t>M</w:t>
      </w:r>
      <w:r w:rsidR="003963E0">
        <w:rPr>
          <w:bCs/>
        </w:rPr>
        <w:t>p</w:t>
      </w:r>
      <w:r>
        <w:rPr>
          <w:bCs/>
        </w:rPr>
        <w:t>ox</w:t>
      </w:r>
      <w:proofErr w:type="spellEnd"/>
      <w:r w:rsidR="003963E0">
        <w:rPr>
          <w:bCs/>
        </w:rPr>
        <w:t xml:space="preserve"> (monkeypox)</w:t>
      </w:r>
      <w:r>
        <w:rPr>
          <w:bCs/>
        </w:rPr>
        <w:t>, hemorrhagic fever viruses (Ebola Zaire, Ebola Sudan, Marburg, and Lassa)</w:t>
      </w:r>
      <w:r w:rsidR="003963E0">
        <w:rPr>
          <w:bCs/>
        </w:rPr>
        <w:t xml:space="preserve">, </w:t>
      </w:r>
      <w:r>
        <w:rPr>
          <w:bCs/>
        </w:rPr>
        <w:t>Zika virus</w:t>
      </w:r>
      <w:r w:rsidR="003963E0">
        <w:rPr>
          <w:bCs/>
        </w:rPr>
        <w:t>, and malaria</w:t>
      </w:r>
      <w:r>
        <w:rPr>
          <w:bCs/>
        </w:rPr>
        <w:t>, as well as immunotherapies for solid tumors.</w:t>
      </w:r>
    </w:p>
    <w:p w14:paraId="2F613EAF" w14:textId="77777777" w:rsidR="003963E0" w:rsidRPr="00E55FA4" w:rsidRDefault="003963E0" w:rsidP="000733A2"/>
    <w:p w14:paraId="7766B8B5" w14:textId="77777777" w:rsidR="000733A2" w:rsidRPr="00E55FA4" w:rsidRDefault="000733A2" w:rsidP="000733A2">
      <w:r w:rsidRPr="00E55FA4">
        <w:t>Our programs are in various stages of development</w:t>
      </w:r>
      <w:bookmarkStart w:id="17" w:name="_Hlk86323645"/>
      <w:r w:rsidRPr="00E55FA4">
        <w:t>, the most significant of which are summarized below:</w:t>
      </w:r>
    </w:p>
    <w:p w14:paraId="3AC8FD47" w14:textId="2DC0B434" w:rsidR="000733A2" w:rsidRPr="00E55FA4" w:rsidRDefault="000733A2" w:rsidP="000733A2">
      <w:pPr>
        <w:numPr>
          <w:ilvl w:val="0"/>
          <w:numId w:val="11"/>
        </w:numPr>
        <w:ind w:left="360"/>
        <w:rPr>
          <w:bCs/>
        </w:rPr>
      </w:pPr>
      <w:r w:rsidRPr="00E55FA4">
        <w:rPr>
          <w:bCs/>
        </w:rPr>
        <w:t xml:space="preserve">GEO-CM04S1 is currently undergoing a Phase 2 clinical trial (ClinicalTrials.gov Identifier: NCT04977024), evaluating its safety and efficacy as a preventive COVID-19 vaccine in </w:t>
      </w:r>
      <w:r w:rsidR="00C97366">
        <w:rPr>
          <w:bCs/>
        </w:rPr>
        <w:t xml:space="preserve">high-risk immunocompromised </w:t>
      </w:r>
      <w:r w:rsidRPr="00E55FA4">
        <w:rPr>
          <w:bCs/>
        </w:rPr>
        <w:t>patients</w:t>
      </w:r>
      <w:r w:rsidR="00C97366">
        <w:rPr>
          <w:bCs/>
        </w:rPr>
        <w:t xml:space="preserve"> (</w:t>
      </w:r>
      <w:proofErr w:type="gramStart"/>
      <w:r w:rsidR="00C97366">
        <w:rPr>
          <w:bCs/>
        </w:rPr>
        <w:t>e.g.</w:t>
      </w:r>
      <w:proofErr w:type="gramEnd"/>
      <w:r w:rsidR="00C97366">
        <w:rPr>
          <w:bCs/>
        </w:rPr>
        <w:t xml:space="preserve"> patients</w:t>
      </w:r>
      <w:r w:rsidRPr="00E55FA4">
        <w:rPr>
          <w:bCs/>
        </w:rPr>
        <w:t xml:space="preserve"> who have previously received either an allogeneic hematopoietic cell transplant, an autologous hematopoietic cell transplant or chimeric antigen receptor (CAR) T cell therapy</w:t>
      </w:r>
      <w:r w:rsidR="00C97366">
        <w:rPr>
          <w:bCs/>
        </w:rPr>
        <w:t>)</w:t>
      </w:r>
      <w:r w:rsidRPr="00E55FA4">
        <w:rPr>
          <w:bCs/>
        </w:rPr>
        <w:t xml:space="preserve">. </w:t>
      </w:r>
      <w:r w:rsidR="00C97366">
        <w:rPr>
          <w:bCs/>
        </w:rPr>
        <w:t>A</w:t>
      </w:r>
      <w:r w:rsidR="00C97366" w:rsidRPr="00C97366">
        <w:rPr>
          <w:bCs/>
        </w:rPr>
        <w:t xml:space="preserve"> preliminary analysis </w:t>
      </w:r>
      <w:r w:rsidR="00C97366">
        <w:rPr>
          <w:bCs/>
        </w:rPr>
        <w:t xml:space="preserve">of data from this study </w:t>
      </w:r>
      <w:r w:rsidR="00C97366" w:rsidRPr="00C97366">
        <w:rPr>
          <w:bCs/>
        </w:rPr>
        <w:t>indicates CM04S1 is highly immunogenic in these patients, inducing both antibody responses, including neutralizing antibodies, and T cell responses. These data support the progression of the Phase 2 clinical study, which include</w:t>
      </w:r>
      <w:r w:rsidR="007814FB">
        <w:rPr>
          <w:bCs/>
        </w:rPr>
        <w:t>s</w:t>
      </w:r>
      <w:r w:rsidR="00C97366" w:rsidRPr="00C97366">
        <w:rPr>
          <w:bCs/>
        </w:rPr>
        <w:t xml:space="preserve"> a direct comparison to currently approved mRNA vaccines</w:t>
      </w:r>
      <w:r w:rsidR="00C97366">
        <w:rPr>
          <w:bCs/>
        </w:rPr>
        <w:t>.</w:t>
      </w:r>
    </w:p>
    <w:p w14:paraId="4BA95AA5" w14:textId="595349E6" w:rsidR="000733A2" w:rsidRDefault="000733A2" w:rsidP="000733A2">
      <w:pPr>
        <w:numPr>
          <w:ilvl w:val="0"/>
          <w:numId w:val="11"/>
        </w:numPr>
        <w:ind w:left="360"/>
        <w:rPr>
          <w:bCs/>
        </w:rPr>
      </w:pPr>
      <w:r w:rsidRPr="00E55FA4">
        <w:rPr>
          <w:bCs/>
        </w:rPr>
        <w:t xml:space="preserve">GEO-CM04S1 is also undergoing the Phase 2 portion of a Phase 1/2 trial (ClinicalTrials.gov Identifier: NCT04639466), evaluating its use as a universal </w:t>
      </w:r>
      <w:r w:rsidR="00BD3259">
        <w:rPr>
          <w:bCs/>
        </w:rPr>
        <w:t xml:space="preserve">COVID-19 </w:t>
      </w:r>
      <w:r w:rsidRPr="00E55FA4">
        <w:rPr>
          <w:bCs/>
        </w:rPr>
        <w:t>booster vaccine to current FDA-approved two-shot mRNA vaccines from Pfizer/BioNTech and Moderna.</w:t>
      </w:r>
    </w:p>
    <w:p w14:paraId="70672BDD" w14:textId="62799C85" w:rsidR="00BD3259" w:rsidRPr="00E55FA4" w:rsidRDefault="00BD3259" w:rsidP="000733A2">
      <w:pPr>
        <w:numPr>
          <w:ilvl w:val="0"/>
          <w:numId w:val="11"/>
        </w:numPr>
        <w:ind w:left="360"/>
        <w:rPr>
          <w:bCs/>
        </w:rPr>
      </w:pPr>
      <w:r>
        <w:rPr>
          <w:bCs/>
        </w:rPr>
        <w:t xml:space="preserve">During July 2023, a new investigator-initiated Phase 2 clinical trial </w:t>
      </w:r>
      <w:r w:rsidRPr="00E55FA4">
        <w:rPr>
          <w:bCs/>
        </w:rPr>
        <w:t xml:space="preserve">(ClinicalTrials.gov Identifier: </w:t>
      </w:r>
      <w:r>
        <w:rPr>
          <w:bCs/>
        </w:rPr>
        <w:t>NCT05672355</w:t>
      </w:r>
      <w:r w:rsidRPr="00E55FA4">
        <w:rPr>
          <w:bCs/>
        </w:rPr>
        <w:t>)</w:t>
      </w:r>
      <w:r>
        <w:rPr>
          <w:bCs/>
        </w:rPr>
        <w:t xml:space="preserve"> of GEO-CM04S1 began, evaluating its use as a COVID-19 booster vaccine in patients with chronic lymphocytic leukemia (CLL).</w:t>
      </w:r>
    </w:p>
    <w:p w14:paraId="3B073B37" w14:textId="2B9928FA" w:rsidR="000733A2" w:rsidRPr="00E55FA4" w:rsidRDefault="000733A2" w:rsidP="000733A2">
      <w:pPr>
        <w:numPr>
          <w:ilvl w:val="0"/>
          <w:numId w:val="11"/>
        </w:numPr>
        <w:ind w:left="360"/>
        <w:rPr>
          <w:bCs/>
        </w:rPr>
      </w:pPr>
      <w:proofErr w:type="spellStart"/>
      <w:r w:rsidRPr="00E55FA4">
        <w:rPr>
          <w:bCs/>
        </w:rPr>
        <w:t>Gedeptin</w:t>
      </w:r>
      <w:proofErr w:type="spellEnd"/>
      <w:r w:rsidRPr="00E55FA4">
        <w:rPr>
          <w:bCs/>
          <w:vertAlign w:val="superscript"/>
        </w:rPr>
        <w:t>®</w:t>
      </w:r>
      <w:r w:rsidRPr="00E55FA4">
        <w:rPr>
          <w:bCs/>
        </w:rPr>
        <w:t xml:space="preserve"> is currently undergoing a Phase 1/2 clinical trial (ClinicalTrials.gov Identifier: NCT03754933) for treatment of patients with advanced head and neck squamous cell carcinoma (HNSCC). This trial</w:t>
      </w:r>
      <w:bookmarkEnd w:id="17"/>
      <w:r w:rsidRPr="00E55FA4">
        <w:rPr>
          <w:bCs/>
        </w:rPr>
        <w:t xml:space="preserve"> is being funded in part by the U.S. Food &amp; Drug Administration (FDA) pursuant to its Orphan Products Clinical Trials Grants Program. The trial is designed to inform the design of a larger patient trial that also may involve patients with other anatomically accessible oral and pharyngeal cancers, including cancers of the lip, tongue, gum, floor of mouth, salivary gland and other oral </w:t>
      </w:r>
      <w:r w:rsidRPr="00E55FA4">
        <w:rPr>
          <w:bCs/>
        </w:rPr>
        <w:lastRenderedPageBreak/>
        <w:t>cavities.</w:t>
      </w:r>
      <w:r w:rsidR="00703CA8">
        <w:rPr>
          <w:bCs/>
        </w:rPr>
        <w:t xml:space="preserve"> During July 2023, interim data were presented, indicating that administration of </w:t>
      </w:r>
      <w:proofErr w:type="spellStart"/>
      <w:r w:rsidR="00703CA8">
        <w:rPr>
          <w:bCs/>
        </w:rPr>
        <w:t>Gedeptin</w:t>
      </w:r>
      <w:proofErr w:type="spellEnd"/>
      <w:r w:rsidR="00703CA8">
        <w:rPr>
          <w:bCs/>
        </w:rPr>
        <w:t xml:space="preserve"> is safe and feasible, supporting the Company’s plans for progression to a multi-center trial.</w:t>
      </w:r>
    </w:p>
    <w:p w14:paraId="1F778D91" w14:textId="08A50F49" w:rsidR="000733A2" w:rsidRDefault="007814FB" w:rsidP="000733A2">
      <w:pPr>
        <w:numPr>
          <w:ilvl w:val="0"/>
          <w:numId w:val="11"/>
        </w:numPr>
        <w:ind w:left="360"/>
      </w:pPr>
      <w:r>
        <w:t>Our</w:t>
      </w:r>
      <w:r w:rsidR="000733A2" w:rsidRPr="00E55FA4">
        <w:t xml:space="preserve"> additional research programs for vaccines and immunotherapies at various stages of preclinical development.</w:t>
      </w:r>
    </w:p>
    <w:p w14:paraId="487EAC52" w14:textId="77777777" w:rsidR="000733A2" w:rsidRPr="00E55FA4" w:rsidRDefault="000733A2" w:rsidP="000733A2"/>
    <w:p w14:paraId="3EA5ABEB" w14:textId="77777777" w:rsidR="000733A2" w:rsidRPr="00E55FA4" w:rsidRDefault="000733A2" w:rsidP="000733A2">
      <w:r w:rsidRPr="00E55FA4">
        <w:t>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4B0F4CCA" w14:textId="77777777" w:rsidR="00E377E4" w:rsidRDefault="00E377E4" w:rsidP="00177E79"/>
    <w:p w14:paraId="57A46124" w14:textId="2C826BC6" w:rsidR="000733A2" w:rsidRPr="00E55FA4" w:rsidRDefault="000733A2" w:rsidP="000733A2">
      <w:pPr>
        <w:rPr>
          <w:b/>
          <w:bCs/>
        </w:rPr>
      </w:pPr>
      <w:r w:rsidRPr="00E55FA4">
        <w:rPr>
          <w:b/>
          <w:bCs/>
        </w:rPr>
        <w:t>Financial Overview</w:t>
      </w:r>
    </w:p>
    <w:p w14:paraId="582F8BCD" w14:textId="77777777" w:rsidR="000733A2" w:rsidRPr="00E55FA4" w:rsidRDefault="000733A2" w:rsidP="000733A2">
      <w:pPr>
        <w:rPr>
          <w:i/>
          <w:iCs/>
        </w:rPr>
      </w:pPr>
    </w:p>
    <w:p w14:paraId="33131CA1" w14:textId="09B703CD" w:rsidR="000733A2" w:rsidRPr="00E55FA4" w:rsidRDefault="000733A2" w:rsidP="000733A2">
      <w:pPr>
        <w:rPr>
          <w:i/>
          <w:iCs/>
        </w:rPr>
      </w:pPr>
      <w:r w:rsidRPr="00E55FA4">
        <w:rPr>
          <w:i/>
          <w:iCs/>
        </w:rPr>
        <w:t>Revenue</w:t>
      </w:r>
    </w:p>
    <w:p w14:paraId="7F3E0834" w14:textId="77777777" w:rsidR="000733A2" w:rsidRPr="00E55FA4" w:rsidRDefault="000733A2" w:rsidP="000733A2"/>
    <w:p w14:paraId="09CDAA2E" w14:textId="348B4633" w:rsidR="000733A2" w:rsidRPr="00E55FA4" w:rsidRDefault="000733A2" w:rsidP="000733A2">
      <w:r w:rsidRPr="00E55FA4">
        <w:t>We have not generated any revenue from product sales to date.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Our grant revenue relate</w:t>
      </w:r>
      <w:r w:rsidR="00AF7C6C">
        <w:t>s</w:t>
      </w:r>
      <w:r w:rsidRPr="00E55FA4">
        <w:t xml:space="preserve"> to grants and contracts from agencies of the U.S. government in support of our vaccine development activities. We record revenue associated with these grants as the related costs and expenses are incurred.</w:t>
      </w:r>
    </w:p>
    <w:p w14:paraId="320660C8" w14:textId="77777777" w:rsidR="000733A2" w:rsidRPr="00E55FA4" w:rsidRDefault="000733A2" w:rsidP="000733A2"/>
    <w:p w14:paraId="39BBA9BB" w14:textId="77777777" w:rsidR="000733A2" w:rsidRPr="00E55FA4" w:rsidRDefault="000733A2" w:rsidP="000733A2">
      <w:pPr>
        <w:rPr>
          <w:i/>
          <w:iCs/>
        </w:rPr>
      </w:pPr>
      <w:r w:rsidRPr="00E55FA4">
        <w:rPr>
          <w:i/>
          <w:iCs/>
        </w:rPr>
        <w:t>Research and development expenses</w:t>
      </w:r>
    </w:p>
    <w:p w14:paraId="6F6B32F0" w14:textId="77777777" w:rsidR="000733A2" w:rsidRPr="00E55FA4" w:rsidRDefault="000733A2" w:rsidP="000733A2"/>
    <w:p w14:paraId="7E8E1061" w14:textId="77777777" w:rsidR="000733A2" w:rsidRPr="00E55FA4" w:rsidRDefault="000733A2" w:rsidP="000733A2">
      <w:r w:rsidRPr="00E55FA4">
        <w:t>Since our inception, we have focused and we continue to focus significant resources on our research and development activities, including developing our vector platform and analytical testing methods, conducting preclinical studies, developing manufacturing processes, and conducting clinical trials. Research and development costs are expensed as incurred and consist primarily of the following:</w:t>
      </w:r>
    </w:p>
    <w:p w14:paraId="2B17485C" w14:textId="4B27FDDE" w:rsidR="000733A2" w:rsidRPr="00E55FA4" w:rsidRDefault="000733A2" w:rsidP="009C5872">
      <w:pPr>
        <w:numPr>
          <w:ilvl w:val="0"/>
          <w:numId w:val="12"/>
        </w:numPr>
        <w:ind w:left="360"/>
      </w:pPr>
      <w:r w:rsidRPr="00E55FA4">
        <w:t xml:space="preserve">personnel costs in our research, development and regulatory </w:t>
      </w:r>
      <w:proofErr w:type="gramStart"/>
      <w:r w:rsidRPr="00E55FA4">
        <w:t>functions;</w:t>
      </w:r>
      <w:proofErr w:type="gramEnd"/>
    </w:p>
    <w:p w14:paraId="373FB349" w14:textId="2C8D70DB" w:rsidR="000733A2" w:rsidRPr="00E55FA4" w:rsidRDefault="000733A2" w:rsidP="009C5872">
      <w:pPr>
        <w:numPr>
          <w:ilvl w:val="0"/>
          <w:numId w:val="12"/>
        </w:numPr>
        <w:ind w:left="360"/>
      </w:pPr>
      <w:r w:rsidRPr="00E55FA4">
        <w:t xml:space="preserve">expenses incurred with contract research organizations (“CROs”) that conduct clinical trials on our </w:t>
      </w:r>
      <w:proofErr w:type="gramStart"/>
      <w:r w:rsidRPr="00E55FA4">
        <w:t>behalf;</w:t>
      </w:r>
      <w:proofErr w:type="gramEnd"/>
    </w:p>
    <w:p w14:paraId="21CDC466" w14:textId="492F4871" w:rsidR="000733A2" w:rsidRPr="00E55FA4" w:rsidRDefault="000733A2" w:rsidP="009C5872">
      <w:pPr>
        <w:numPr>
          <w:ilvl w:val="0"/>
          <w:numId w:val="12"/>
        </w:numPr>
        <w:ind w:left="360"/>
      </w:pPr>
      <w:r w:rsidRPr="00E55FA4">
        <w:t xml:space="preserve">expenses incurred with contract manufacturing organizations (“CMOs”) that manufacture product used in </w:t>
      </w:r>
      <w:r w:rsidR="00CC7B89">
        <w:t>our</w:t>
      </w:r>
      <w:r w:rsidRPr="00E55FA4">
        <w:t xml:space="preserve"> clinical </w:t>
      </w:r>
      <w:proofErr w:type="gramStart"/>
      <w:r w:rsidRPr="00E55FA4">
        <w:t>trials;</w:t>
      </w:r>
      <w:proofErr w:type="gramEnd"/>
    </w:p>
    <w:p w14:paraId="6DF43E77" w14:textId="7B58116A" w:rsidR="000733A2" w:rsidRPr="00E55FA4" w:rsidRDefault="000733A2" w:rsidP="009C5872">
      <w:pPr>
        <w:numPr>
          <w:ilvl w:val="0"/>
          <w:numId w:val="12"/>
        </w:numPr>
        <w:ind w:left="360"/>
      </w:pPr>
      <w:r w:rsidRPr="00E55FA4">
        <w:t xml:space="preserve">expenses incurred in procuring materials and for analytical testing services required to produce vaccine </w:t>
      </w:r>
      <w:proofErr w:type="gramStart"/>
      <w:r w:rsidRPr="00E55FA4">
        <w:t>candidates;</w:t>
      </w:r>
      <w:proofErr w:type="gramEnd"/>
    </w:p>
    <w:p w14:paraId="4E0D4B06" w14:textId="015B7468" w:rsidR="000733A2" w:rsidRPr="00E55FA4" w:rsidRDefault="000733A2" w:rsidP="009C5872">
      <w:pPr>
        <w:numPr>
          <w:ilvl w:val="0"/>
          <w:numId w:val="12"/>
        </w:numPr>
        <w:ind w:left="360"/>
      </w:pPr>
      <w:r w:rsidRPr="00E55FA4">
        <w:t xml:space="preserve">expenses incurred internally and externally to improve the efficiency and yield of </w:t>
      </w:r>
      <w:r w:rsidR="00CC7B89">
        <w:t xml:space="preserve">our </w:t>
      </w:r>
      <w:r w:rsidRPr="00E55FA4">
        <w:t>vaccine</w:t>
      </w:r>
      <w:r w:rsidR="00CC7B89">
        <w:t xml:space="preserve"> manufacturing </w:t>
      </w:r>
      <w:proofErr w:type="gramStart"/>
      <w:r w:rsidR="00CC7B89">
        <w:t>process</w:t>
      </w:r>
      <w:r w:rsidRPr="00E55FA4">
        <w:t>;</w:t>
      </w:r>
      <w:proofErr w:type="gramEnd"/>
    </w:p>
    <w:p w14:paraId="6F03FF51" w14:textId="77777777" w:rsidR="000733A2" w:rsidRPr="00E55FA4" w:rsidRDefault="000733A2" w:rsidP="009C5872">
      <w:pPr>
        <w:numPr>
          <w:ilvl w:val="0"/>
          <w:numId w:val="12"/>
        </w:numPr>
        <w:ind w:left="360"/>
      </w:pPr>
      <w:r w:rsidRPr="00E55FA4">
        <w:t xml:space="preserve">laboratory supplies, vendor expenses and other third-party contract expenses related to preclinical research </w:t>
      </w:r>
      <w:proofErr w:type="gramStart"/>
      <w:r w:rsidRPr="00E55FA4">
        <w:t>activities;</w:t>
      </w:r>
      <w:proofErr w:type="gramEnd"/>
    </w:p>
    <w:p w14:paraId="0766B3FA" w14:textId="77777777" w:rsidR="000733A2" w:rsidRPr="00E55FA4" w:rsidRDefault="000733A2" w:rsidP="009C5872">
      <w:pPr>
        <w:numPr>
          <w:ilvl w:val="0"/>
          <w:numId w:val="12"/>
        </w:numPr>
        <w:ind w:left="360"/>
      </w:pPr>
      <w:r w:rsidRPr="00E55FA4">
        <w:t xml:space="preserve">technology license </w:t>
      </w:r>
      <w:proofErr w:type="gramStart"/>
      <w:r w:rsidRPr="00E55FA4">
        <w:t>fees;</w:t>
      </w:r>
      <w:proofErr w:type="gramEnd"/>
    </w:p>
    <w:p w14:paraId="0A132084" w14:textId="77777777" w:rsidR="000733A2" w:rsidRPr="00E55FA4" w:rsidRDefault="000733A2" w:rsidP="009C5872">
      <w:pPr>
        <w:numPr>
          <w:ilvl w:val="0"/>
          <w:numId w:val="12"/>
        </w:numPr>
        <w:ind w:left="360"/>
      </w:pPr>
      <w:r w:rsidRPr="00E55FA4">
        <w:t>consultant expenses for services supporting our clinical, regulatory and manufacturing activities; and</w:t>
      </w:r>
    </w:p>
    <w:p w14:paraId="1AD31F41" w14:textId="77777777" w:rsidR="000733A2" w:rsidRPr="00E55FA4" w:rsidRDefault="000733A2" w:rsidP="009C5872">
      <w:pPr>
        <w:numPr>
          <w:ilvl w:val="0"/>
          <w:numId w:val="12"/>
        </w:numPr>
        <w:ind w:left="360"/>
      </w:pPr>
      <w:r w:rsidRPr="00E55FA4">
        <w:t>facilities, depreciation and other general overhead expenses.</w:t>
      </w:r>
    </w:p>
    <w:p w14:paraId="3062B60A" w14:textId="77777777" w:rsidR="000733A2" w:rsidRPr="00E55FA4" w:rsidRDefault="000733A2" w:rsidP="000733A2"/>
    <w:p w14:paraId="55EE64AA" w14:textId="0F718AA3" w:rsidR="000733A2" w:rsidRPr="00E55FA4" w:rsidRDefault="000733A2" w:rsidP="000733A2">
      <w:r w:rsidRPr="00E55FA4">
        <w:t xml:space="preserve">We expect our research and development expenditures to increase during </w:t>
      </w:r>
      <w:r w:rsidR="00CC7B89">
        <w:t xml:space="preserve">the remainder of </w:t>
      </w:r>
      <w:r w:rsidRPr="00E55FA4">
        <w:t>2023 and beyond as we advance our existing and future product candidates into and through clinical trials and pursue regulatory approval, especially with regard to the</w:t>
      </w:r>
      <w:r w:rsidR="00CC7B89">
        <w:t xml:space="preserve"> ongoing</w:t>
      </w:r>
      <w:r w:rsidRPr="00E55FA4">
        <w:t xml:space="preserve"> </w:t>
      </w:r>
      <w:proofErr w:type="spellStart"/>
      <w:r w:rsidRPr="00E55FA4">
        <w:t>Gedeptin</w:t>
      </w:r>
      <w:proofErr w:type="spellEnd"/>
      <w:r w:rsidRPr="00E55FA4">
        <w:t xml:space="preserve">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3598AF17" w14:textId="77777777" w:rsidR="000733A2" w:rsidRPr="00E55FA4" w:rsidRDefault="000733A2" w:rsidP="000733A2"/>
    <w:p w14:paraId="3D81DD52" w14:textId="77777777" w:rsidR="000733A2" w:rsidRPr="00E55FA4" w:rsidRDefault="000733A2" w:rsidP="000733A2">
      <w:pPr>
        <w:rPr>
          <w:i/>
          <w:iCs/>
        </w:rPr>
      </w:pPr>
      <w:r w:rsidRPr="00E55FA4">
        <w:rPr>
          <w:i/>
          <w:iCs/>
        </w:rPr>
        <w:t>General and administrative expenses</w:t>
      </w:r>
    </w:p>
    <w:p w14:paraId="3A147612" w14:textId="77777777" w:rsidR="000733A2" w:rsidRPr="00E55FA4" w:rsidRDefault="000733A2" w:rsidP="000733A2"/>
    <w:p w14:paraId="3E025DDE" w14:textId="0C4308E5" w:rsidR="000733A2" w:rsidRPr="00E55FA4" w:rsidRDefault="000733A2" w:rsidP="000733A2">
      <w:r w:rsidRPr="00E55FA4">
        <w:t xml:space="preserve">Our general and administrative expenses consist primarily of personnel costs in our executive, finance and investor relations, business development and administrative functions. Other general and administrative expenses include consulting fees, professional service fees for accounting and legal services, lease expenses related to our offices, insurance premiums, intellectual property costs incurred in connection with filing and prosecuting patent applications, depreciation and other costs. We expect our general and administrative expenses to continue to increase in the future as we support expanded </w:t>
      </w:r>
      <w:r w:rsidRPr="00E55FA4">
        <w:lastRenderedPageBreak/>
        <w:t>research and development activities, prepare for potential commercialization of our current and future product candidates, and other general corporate activities.</w:t>
      </w:r>
    </w:p>
    <w:p w14:paraId="0C751484" w14:textId="77777777" w:rsidR="000733A2" w:rsidRDefault="000733A2" w:rsidP="00177E79"/>
    <w:p w14:paraId="04FAEA2E" w14:textId="5EC7E532" w:rsidR="000733A2" w:rsidRPr="0009354D" w:rsidRDefault="000733A2" w:rsidP="000733A2">
      <w:pPr>
        <w:rPr>
          <w:rFonts w:eastAsia="????"/>
          <w:b/>
        </w:rPr>
      </w:pPr>
      <w:r w:rsidRPr="0009354D">
        <w:rPr>
          <w:rFonts w:eastAsia="????"/>
          <w:b/>
        </w:rPr>
        <w:t>Critical Accounting Policies and Estimates</w:t>
      </w:r>
    </w:p>
    <w:p w14:paraId="28F68F40" w14:textId="77777777" w:rsidR="000733A2" w:rsidRPr="0009354D" w:rsidRDefault="000733A2" w:rsidP="000733A2"/>
    <w:p w14:paraId="15E247FE" w14:textId="77777777" w:rsidR="000733A2" w:rsidRPr="0009354D" w:rsidRDefault="000733A2" w:rsidP="000733A2">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4F0A887" w14:textId="77777777" w:rsidR="000733A2" w:rsidRPr="0009354D" w:rsidRDefault="000733A2" w:rsidP="000733A2"/>
    <w:p w14:paraId="3F7E00EF" w14:textId="5B39C2CF" w:rsidR="000733A2" w:rsidRPr="0009354D" w:rsidRDefault="000733A2" w:rsidP="000733A2">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w:t>
      </w:r>
      <w:r w:rsidR="00AF7C6C">
        <w:t xml:space="preserve">to </w:t>
      </w:r>
      <w:r w:rsidR="006201DA">
        <w:t>the</w:t>
      </w:r>
      <w:r w:rsidRPr="0009354D">
        <w:t xml:space="preserve"> Management’s Discussion and Analysis of Financial Condition and Results of Operations in our Annual Report on Form 10-K for the year ended December 31, 202</w:t>
      </w:r>
      <w:r>
        <w:t>2</w:t>
      </w:r>
      <w:r w:rsidRPr="0009354D">
        <w:t>. There have been no significant changes to our critical accounting policies from those disclosed in our 202</w:t>
      </w:r>
      <w:r>
        <w:t>2</w:t>
      </w:r>
      <w:r w:rsidRPr="0009354D">
        <w:t xml:space="preserve"> Annual Report.</w:t>
      </w:r>
    </w:p>
    <w:p w14:paraId="5FF6AC03" w14:textId="77777777" w:rsidR="000733A2" w:rsidRPr="0009354D" w:rsidRDefault="000733A2" w:rsidP="000733A2">
      <w:pPr>
        <w:rPr>
          <w:rFonts w:eastAsia="????"/>
          <w:b/>
        </w:rPr>
      </w:pPr>
    </w:p>
    <w:p w14:paraId="1531CB1B" w14:textId="2DF0CBF8" w:rsidR="000733A2" w:rsidRPr="0009354D" w:rsidRDefault="000733A2" w:rsidP="000733A2">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w:t>
      </w:r>
      <w:r>
        <w:rPr>
          <w:rFonts w:eastAsia="????"/>
        </w:rPr>
        <w:t>2</w:t>
      </w:r>
      <w:r w:rsidRPr="0009354D">
        <w:rPr>
          <w:rFonts w:eastAsia="????"/>
        </w:rPr>
        <w:t xml:space="preserve"> to the condensed consolidated financial statements, included in this Quarterly Report.</w:t>
      </w:r>
    </w:p>
    <w:p w14:paraId="46161159" w14:textId="77777777" w:rsidR="000733A2" w:rsidRDefault="000733A2" w:rsidP="00177E79"/>
    <w:p w14:paraId="489A766B" w14:textId="77777777" w:rsidR="00ED1E26" w:rsidRPr="001C37F3" w:rsidRDefault="00ED1E26" w:rsidP="00ED1E26">
      <w:pPr>
        <w:rPr>
          <w:b/>
          <w:iCs/>
        </w:rPr>
      </w:pPr>
      <w:r w:rsidRPr="001C37F3">
        <w:rPr>
          <w:b/>
          <w:iCs/>
        </w:rPr>
        <w:t>Off-Balance Sheet Arrangements</w:t>
      </w:r>
    </w:p>
    <w:p w14:paraId="68BDCA26" w14:textId="77777777" w:rsidR="00ED1E26" w:rsidRPr="00640BA0" w:rsidRDefault="00ED1E26" w:rsidP="00ED1E26"/>
    <w:p w14:paraId="5401077E" w14:textId="2D235514" w:rsidR="00ED1E26" w:rsidRDefault="00ED1E26" w:rsidP="00ED1E26">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3F83B649" w14:textId="15CADD02" w:rsidR="00FC0E85" w:rsidRDefault="00FC0E85" w:rsidP="00ED1E26">
      <w:pPr>
        <w:rPr>
          <w:color w:val="000000"/>
        </w:rPr>
      </w:pPr>
    </w:p>
    <w:p w14:paraId="228D5F02" w14:textId="695B1CC7" w:rsidR="00FC0E85" w:rsidRPr="0060614F" w:rsidRDefault="00FC0E85" w:rsidP="00ED1E26">
      <w:pPr>
        <w:rPr>
          <w:b/>
          <w:bCs/>
          <w:color w:val="000000"/>
        </w:rPr>
      </w:pPr>
      <w:r w:rsidRPr="0060614F">
        <w:rPr>
          <w:b/>
          <w:bCs/>
          <w:color w:val="000000"/>
        </w:rPr>
        <w:t>Recent Developments</w:t>
      </w:r>
    </w:p>
    <w:p w14:paraId="3A46C904" w14:textId="1CE5D386" w:rsidR="00ED1E26" w:rsidRDefault="00ED1E26" w:rsidP="0060614F">
      <w:pPr>
        <w:tabs>
          <w:tab w:val="left" w:pos="5760"/>
        </w:tabs>
      </w:pPr>
    </w:p>
    <w:p w14:paraId="47EBFBE1" w14:textId="77777777" w:rsidR="00FC0E85" w:rsidRPr="00FC0E85" w:rsidRDefault="00FC0E85" w:rsidP="00FC0E85">
      <w:pPr>
        <w:shd w:val="clear" w:color="auto" w:fill="FFFFFF"/>
        <w:jc w:val="both"/>
        <w:rPr>
          <w:color w:val="000000"/>
        </w:rPr>
      </w:pPr>
      <w:r w:rsidRPr="00FC0E85">
        <w:rPr>
          <w:color w:val="000000"/>
        </w:rPr>
        <w:t>On December 9, 2022, the Company received a deficiency letter from the Listing Qualifications Department of the Nasdaq Stock Market (“Nasdaq”) notifying the Company that, for the preceding 30 consecutive business days, the closing bid price for the Company’s common stock was below the minimum $1.00 per share requirement for continued inclusion on The Nasdaq Capital Market pursuant to Nasdaq Listing Rule 5550(a)(2) (the “Bid Price Requirement”). In accordance with Nasdaq rules, the Company was provided an initial period of 180 calendar days, or until June 7, 2023, to regain compliance with the Bid Price Requirement.</w:t>
      </w:r>
    </w:p>
    <w:p w14:paraId="432AC287" w14:textId="77777777" w:rsidR="00FC0E85" w:rsidRPr="00FC0E85" w:rsidRDefault="00FC0E85" w:rsidP="00FC0E85">
      <w:pPr>
        <w:shd w:val="clear" w:color="auto" w:fill="FFFFFF"/>
        <w:rPr>
          <w:color w:val="000000"/>
        </w:rPr>
      </w:pPr>
      <w:r w:rsidRPr="00FC0E85">
        <w:rPr>
          <w:color w:val="000000"/>
        </w:rPr>
        <w:t> </w:t>
      </w:r>
    </w:p>
    <w:p w14:paraId="5A757C13" w14:textId="77777777" w:rsidR="00FC0E85" w:rsidRPr="00FC0E85" w:rsidRDefault="00FC0E85" w:rsidP="00FC0E85">
      <w:pPr>
        <w:shd w:val="clear" w:color="auto" w:fill="FFFFFF"/>
        <w:jc w:val="both"/>
        <w:rPr>
          <w:color w:val="000000"/>
        </w:rPr>
      </w:pPr>
      <w:r w:rsidRPr="00FC0E85">
        <w:rPr>
          <w:color w:val="000000"/>
        </w:rPr>
        <w:t xml:space="preserve">The Company requested a 180-day extension to regain compliance with the Bid Price Requirement and, on June 8, 2023, the Company received written notification from Nasdaq granting the Company’s request. The Company now has until December 4, </w:t>
      </w:r>
      <w:proofErr w:type="gramStart"/>
      <w:r w:rsidRPr="00FC0E85">
        <w:rPr>
          <w:color w:val="000000"/>
        </w:rPr>
        <w:t>2023</w:t>
      </w:r>
      <w:proofErr w:type="gramEnd"/>
      <w:r w:rsidRPr="00FC0E85">
        <w:rPr>
          <w:color w:val="000000"/>
        </w:rPr>
        <w:t xml:space="preserve"> to meet the Bid Price Requirement (the “Compliance Date”).</w:t>
      </w:r>
    </w:p>
    <w:p w14:paraId="6825C63B" w14:textId="77777777" w:rsidR="00FC0E85" w:rsidRPr="00FC0E85" w:rsidRDefault="00FC0E85" w:rsidP="00FC0E85">
      <w:pPr>
        <w:shd w:val="clear" w:color="auto" w:fill="FFFFFF"/>
        <w:rPr>
          <w:color w:val="000000"/>
        </w:rPr>
      </w:pPr>
      <w:r w:rsidRPr="00FC0E85">
        <w:rPr>
          <w:color w:val="000000"/>
        </w:rPr>
        <w:t> </w:t>
      </w:r>
    </w:p>
    <w:p w14:paraId="0C32C3C4" w14:textId="77777777" w:rsidR="00FC0E85" w:rsidRPr="00FC0E85" w:rsidRDefault="00FC0E85" w:rsidP="00FC0E85">
      <w:pPr>
        <w:shd w:val="clear" w:color="auto" w:fill="FFFFFF"/>
        <w:jc w:val="both"/>
        <w:rPr>
          <w:color w:val="000000"/>
        </w:rPr>
      </w:pPr>
      <w:r w:rsidRPr="00FC0E85">
        <w:rPr>
          <w:color w:val="000000"/>
        </w:rPr>
        <w:t>The grant of the extension by Nasdaq has no effect on the listing of the Company’s shares, which will continue to be listed on the Nasdaq Capital Market under the symbol “GOVX.” If at any time prior to the Compliance Date, the bid price of the Company's common stock closes at, or above, $1.00 per share for a minimum of ten (10) consecutive business days Nasdaq will provide the Company with written confirmation of compliance and the matter will be closed.</w:t>
      </w:r>
    </w:p>
    <w:p w14:paraId="128CF31F" w14:textId="77777777" w:rsidR="00FC0E85" w:rsidRPr="00FC0E85" w:rsidRDefault="00FC0E85" w:rsidP="00FC0E85">
      <w:pPr>
        <w:shd w:val="clear" w:color="auto" w:fill="FFFFFF"/>
        <w:rPr>
          <w:color w:val="000000"/>
        </w:rPr>
      </w:pPr>
      <w:r w:rsidRPr="00FC0E85">
        <w:rPr>
          <w:color w:val="000000"/>
        </w:rPr>
        <w:t> </w:t>
      </w:r>
    </w:p>
    <w:p w14:paraId="74779AB6" w14:textId="4561D42F" w:rsidR="00FC0E85" w:rsidRPr="00FC0E85" w:rsidRDefault="00FC0E85" w:rsidP="0060614F">
      <w:pPr>
        <w:shd w:val="clear" w:color="auto" w:fill="FFFFFF"/>
        <w:jc w:val="both"/>
        <w:rPr>
          <w:color w:val="000000"/>
        </w:rPr>
      </w:pPr>
      <w:r w:rsidRPr="00FC0E85">
        <w:rPr>
          <w:color w:val="000000"/>
        </w:rPr>
        <w:t>If the Company does not meet the Bid Price Requirement prior to the Compliance Date, Nasdaq will notify the Company that the Company’s common stock will be subject to delisting. At that time, the Company may appeal the delisting determination to the Nasdaq Hearings Panel. There can be no assurance that if the Company does appeal a delisting determination, that such appeal will be successful.</w:t>
      </w:r>
    </w:p>
    <w:p w14:paraId="5216869F" w14:textId="77777777" w:rsidR="00FC0E85" w:rsidRDefault="00FC0E85" w:rsidP="00177E79"/>
    <w:p w14:paraId="3012DE20" w14:textId="77777777" w:rsidR="00A069DA" w:rsidRDefault="00A069DA">
      <w:pPr>
        <w:rPr>
          <w:rFonts w:eastAsia="????"/>
          <w:b/>
        </w:rPr>
      </w:pPr>
      <w:r>
        <w:rPr>
          <w:rFonts w:eastAsia="????"/>
          <w:b/>
        </w:rPr>
        <w:br w:type="page"/>
      </w:r>
    </w:p>
    <w:p w14:paraId="1FE83587" w14:textId="69D51EFE" w:rsidR="00177E79" w:rsidRPr="0009354D" w:rsidRDefault="00177E79" w:rsidP="00177E79">
      <w:pPr>
        <w:rPr>
          <w:rFonts w:eastAsia="????"/>
          <w:b/>
        </w:rPr>
      </w:pPr>
      <w:r w:rsidRPr="0009354D">
        <w:rPr>
          <w:rFonts w:eastAsia="????"/>
          <w:b/>
        </w:rPr>
        <w:lastRenderedPageBreak/>
        <w:t>Results of Operations</w:t>
      </w:r>
    </w:p>
    <w:p w14:paraId="2A5A41A7" w14:textId="77777777" w:rsidR="00177E79" w:rsidRPr="0009354D" w:rsidRDefault="00177E79" w:rsidP="00177E79">
      <w:pPr>
        <w:rPr>
          <w:i/>
          <w:iCs/>
        </w:rPr>
      </w:pPr>
    </w:p>
    <w:p w14:paraId="639573B1" w14:textId="6B75FCAC" w:rsidR="00177E79" w:rsidRDefault="00177E79" w:rsidP="00177E79">
      <w:pPr>
        <w:tabs>
          <w:tab w:val="left" w:pos="1080"/>
          <w:tab w:val="left" w:pos="1260"/>
          <w:tab w:val="left" w:pos="2340"/>
          <w:tab w:val="right" w:pos="9180"/>
        </w:tabs>
        <w:ind w:right="36"/>
        <w:rPr>
          <w:bCs/>
        </w:rPr>
      </w:pPr>
      <w:bookmarkStart w:id="18" w:name="_Hlk77172497"/>
      <w:r w:rsidRPr="0009354D">
        <w:rPr>
          <w:bCs/>
        </w:rPr>
        <w:t>The following table summarize</w:t>
      </w:r>
      <w:r w:rsidR="001F2E8C">
        <w:rPr>
          <w:bCs/>
        </w:rPr>
        <w:t>s</w:t>
      </w:r>
      <w:r w:rsidRPr="0009354D">
        <w:rPr>
          <w:bCs/>
        </w:rPr>
        <w:t xml:space="preserve"> our results of operations for the three-month </w:t>
      </w:r>
      <w:r w:rsidR="008E7767">
        <w:rPr>
          <w:bCs/>
        </w:rPr>
        <w:t xml:space="preserve">and six-month </w:t>
      </w:r>
      <w:r w:rsidRPr="0009354D">
        <w:rPr>
          <w:bCs/>
        </w:rPr>
        <w:t xml:space="preserve">periods ended </w:t>
      </w:r>
      <w:r w:rsidR="008E7767">
        <w:rPr>
          <w:bCs/>
        </w:rPr>
        <w:t>June</w:t>
      </w:r>
      <w:r w:rsidRPr="0009354D">
        <w:rPr>
          <w:bCs/>
        </w:rPr>
        <w:t xml:space="preserve"> 3</w:t>
      </w:r>
      <w:r w:rsidR="008E7767">
        <w:rPr>
          <w:bCs/>
        </w:rPr>
        <w:t>0</w:t>
      </w:r>
      <w:r w:rsidRPr="0009354D">
        <w:rPr>
          <w:bCs/>
        </w:rPr>
        <w:t xml:space="preserve">, </w:t>
      </w:r>
      <w:proofErr w:type="gramStart"/>
      <w:r w:rsidRPr="0009354D">
        <w:rPr>
          <w:bCs/>
        </w:rPr>
        <w:t>202</w:t>
      </w:r>
      <w:r w:rsidR="006201DA">
        <w:rPr>
          <w:bCs/>
        </w:rPr>
        <w:t>3</w:t>
      </w:r>
      <w:proofErr w:type="gramEnd"/>
      <w:r w:rsidRPr="0009354D">
        <w:rPr>
          <w:bCs/>
        </w:rPr>
        <w:t xml:space="preserve"> and 20</w:t>
      </w:r>
      <w:r w:rsidR="001F2E8C">
        <w:rPr>
          <w:bCs/>
        </w:rPr>
        <w:t>2</w:t>
      </w:r>
      <w:r w:rsidR="006201DA">
        <w:rPr>
          <w:bCs/>
        </w:rPr>
        <w:t>2</w:t>
      </w:r>
      <w:r w:rsidRPr="0009354D">
        <w:rPr>
          <w:bCs/>
        </w:rPr>
        <w:t>:</w:t>
      </w:r>
      <w:bookmarkEnd w:id="18"/>
    </w:p>
    <w:p w14:paraId="5523F180" w14:textId="77777777" w:rsidR="001F2E8C" w:rsidRPr="0009354D" w:rsidRDefault="001F2E8C" w:rsidP="00177E79">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8E7767" w:rsidRPr="0009354D" w14:paraId="131D8DA0" w14:textId="77777777" w:rsidTr="005C5FAB">
        <w:tc>
          <w:tcPr>
            <w:tcW w:w="378" w:type="dxa"/>
          </w:tcPr>
          <w:p w14:paraId="3738D14B" w14:textId="77777777" w:rsidR="008E7767" w:rsidRPr="0009354D" w:rsidRDefault="008E7767" w:rsidP="005C5FAB">
            <w:pPr>
              <w:ind w:right="-360"/>
            </w:pPr>
          </w:p>
        </w:tc>
        <w:tc>
          <w:tcPr>
            <w:tcW w:w="450" w:type="dxa"/>
          </w:tcPr>
          <w:p w14:paraId="19C203B7" w14:textId="77777777" w:rsidR="008E7767" w:rsidRPr="0009354D" w:rsidRDefault="008E7767" w:rsidP="005C5FAB">
            <w:pPr>
              <w:ind w:right="-360"/>
            </w:pPr>
          </w:p>
        </w:tc>
        <w:tc>
          <w:tcPr>
            <w:tcW w:w="450" w:type="dxa"/>
          </w:tcPr>
          <w:p w14:paraId="43153250" w14:textId="77777777" w:rsidR="008E7767" w:rsidRPr="0009354D" w:rsidRDefault="008E7767" w:rsidP="005C5FAB">
            <w:pPr>
              <w:ind w:right="-360"/>
            </w:pPr>
          </w:p>
        </w:tc>
        <w:tc>
          <w:tcPr>
            <w:tcW w:w="2160" w:type="dxa"/>
          </w:tcPr>
          <w:p w14:paraId="1F37EEB2" w14:textId="77777777" w:rsidR="008E7767" w:rsidRPr="0009354D" w:rsidRDefault="008E7767" w:rsidP="005C5FAB">
            <w:pPr>
              <w:tabs>
                <w:tab w:val="right" w:pos="9180"/>
              </w:tabs>
              <w:ind w:right="-360"/>
            </w:pPr>
          </w:p>
        </w:tc>
        <w:tc>
          <w:tcPr>
            <w:tcW w:w="1440" w:type="dxa"/>
          </w:tcPr>
          <w:p w14:paraId="3FCCEF04" w14:textId="77777777" w:rsidR="008E7767" w:rsidRPr="0009354D" w:rsidRDefault="008E7767" w:rsidP="005C5FAB">
            <w:pPr>
              <w:tabs>
                <w:tab w:val="right" w:pos="9180"/>
              </w:tabs>
              <w:ind w:right="-46"/>
              <w:jc w:val="center"/>
            </w:pPr>
          </w:p>
        </w:tc>
        <w:tc>
          <w:tcPr>
            <w:tcW w:w="2880" w:type="dxa"/>
            <w:gridSpan w:val="2"/>
            <w:tcBorders>
              <w:bottom w:val="single" w:sz="4" w:space="0" w:color="auto"/>
            </w:tcBorders>
          </w:tcPr>
          <w:p w14:paraId="33FA49D1" w14:textId="77777777" w:rsidR="008E7767" w:rsidRPr="0009354D" w:rsidRDefault="008E7767" w:rsidP="005C5FAB">
            <w:pPr>
              <w:tabs>
                <w:tab w:val="right" w:pos="9180"/>
              </w:tabs>
              <w:ind w:right="-18"/>
              <w:jc w:val="center"/>
            </w:pPr>
            <w:r w:rsidRPr="0009354D">
              <w:t>Three Months Ended June 30,</w:t>
            </w:r>
          </w:p>
        </w:tc>
        <w:tc>
          <w:tcPr>
            <w:tcW w:w="1530" w:type="dxa"/>
          </w:tcPr>
          <w:p w14:paraId="23EE96D7" w14:textId="77777777" w:rsidR="008E7767" w:rsidRPr="0009354D" w:rsidRDefault="008E7767" w:rsidP="005C5FAB">
            <w:pPr>
              <w:tabs>
                <w:tab w:val="right" w:pos="9180"/>
              </w:tabs>
              <w:ind w:right="-18"/>
              <w:jc w:val="center"/>
            </w:pPr>
          </w:p>
        </w:tc>
      </w:tr>
      <w:tr w:rsidR="008E7767" w:rsidRPr="0009354D" w14:paraId="0575EEBA" w14:textId="77777777" w:rsidTr="005C5FAB">
        <w:tc>
          <w:tcPr>
            <w:tcW w:w="378" w:type="dxa"/>
          </w:tcPr>
          <w:p w14:paraId="6FCEEC98" w14:textId="77777777" w:rsidR="008E7767" w:rsidRPr="0009354D" w:rsidRDefault="008E7767" w:rsidP="005C5FAB">
            <w:pPr>
              <w:ind w:right="-360"/>
            </w:pPr>
          </w:p>
        </w:tc>
        <w:tc>
          <w:tcPr>
            <w:tcW w:w="450" w:type="dxa"/>
          </w:tcPr>
          <w:p w14:paraId="70576945" w14:textId="77777777" w:rsidR="008E7767" w:rsidRPr="0009354D" w:rsidRDefault="008E7767" w:rsidP="005C5FAB">
            <w:pPr>
              <w:ind w:right="-360"/>
            </w:pPr>
          </w:p>
        </w:tc>
        <w:tc>
          <w:tcPr>
            <w:tcW w:w="450" w:type="dxa"/>
          </w:tcPr>
          <w:p w14:paraId="646E6530" w14:textId="77777777" w:rsidR="008E7767" w:rsidRPr="0009354D" w:rsidRDefault="008E7767" w:rsidP="005C5FAB">
            <w:pPr>
              <w:ind w:right="-360"/>
            </w:pPr>
          </w:p>
        </w:tc>
        <w:tc>
          <w:tcPr>
            <w:tcW w:w="2160" w:type="dxa"/>
          </w:tcPr>
          <w:p w14:paraId="7A2CDCA4" w14:textId="77777777" w:rsidR="008E7767" w:rsidRPr="0009354D" w:rsidRDefault="008E7767" w:rsidP="005C5FAB">
            <w:pPr>
              <w:tabs>
                <w:tab w:val="right" w:pos="9180"/>
              </w:tabs>
              <w:ind w:right="-360"/>
            </w:pPr>
          </w:p>
        </w:tc>
        <w:tc>
          <w:tcPr>
            <w:tcW w:w="1440" w:type="dxa"/>
          </w:tcPr>
          <w:p w14:paraId="26198999" w14:textId="77777777" w:rsidR="008E7767" w:rsidRPr="0009354D" w:rsidRDefault="008E7767" w:rsidP="005C5FAB">
            <w:pPr>
              <w:tabs>
                <w:tab w:val="right" w:pos="9180"/>
              </w:tabs>
              <w:ind w:right="-46"/>
              <w:jc w:val="center"/>
            </w:pPr>
          </w:p>
        </w:tc>
        <w:tc>
          <w:tcPr>
            <w:tcW w:w="1440" w:type="dxa"/>
            <w:tcBorders>
              <w:bottom w:val="single" w:sz="4" w:space="0" w:color="auto"/>
            </w:tcBorders>
          </w:tcPr>
          <w:p w14:paraId="3CC07C89" w14:textId="52842879" w:rsidR="008E7767" w:rsidRPr="0009354D" w:rsidRDefault="008E7767" w:rsidP="005C5FAB">
            <w:pPr>
              <w:tabs>
                <w:tab w:val="right" w:pos="9180"/>
              </w:tabs>
              <w:ind w:right="-46"/>
              <w:jc w:val="center"/>
            </w:pPr>
            <w:r w:rsidRPr="0009354D">
              <w:t>202</w:t>
            </w:r>
            <w:r>
              <w:t>3</w:t>
            </w:r>
          </w:p>
        </w:tc>
        <w:tc>
          <w:tcPr>
            <w:tcW w:w="1440" w:type="dxa"/>
            <w:tcBorders>
              <w:bottom w:val="single" w:sz="4" w:space="0" w:color="auto"/>
            </w:tcBorders>
          </w:tcPr>
          <w:p w14:paraId="3F767853" w14:textId="382D92DA" w:rsidR="008E7767" w:rsidRPr="0009354D" w:rsidRDefault="008E7767" w:rsidP="005C5FAB">
            <w:pPr>
              <w:tabs>
                <w:tab w:val="right" w:pos="9180"/>
              </w:tabs>
              <w:ind w:right="-18"/>
              <w:jc w:val="center"/>
            </w:pPr>
            <w:r w:rsidRPr="0009354D">
              <w:t>202</w:t>
            </w:r>
            <w:r>
              <w:t>2</w:t>
            </w:r>
          </w:p>
        </w:tc>
        <w:tc>
          <w:tcPr>
            <w:tcW w:w="1530" w:type="dxa"/>
            <w:tcBorders>
              <w:bottom w:val="single" w:sz="4" w:space="0" w:color="auto"/>
            </w:tcBorders>
          </w:tcPr>
          <w:p w14:paraId="3EF2D8DA" w14:textId="77777777" w:rsidR="008E7767" w:rsidRPr="0009354D" w:rsidRDefault="008E7767" w:rsidP="005C5FAB">
            <w:pPr>
              <w:tabs>
                <w:tab w:val="right" w:pos="9180"/>
              </w:tabs>
              <w:ind w:right="-18"/>
              <w:jc w:val="center"/>
            </w:pPr>
            <w:r w:rsidRPr="0009354D">
              <w:t>Change</w:t>
            </w:r>
          </w:p>
        </w:tc>
      </w:tr>
      <w:tr w:rsidR="008E7767" w:rsidRPr="0009354D" w14:paraId="4D681A83" w14:textId="77777777" w:rsidTr="005C5FAB">
        <w:tc>
          <w:tcPr>
            <w:tcW w:w="3438" w:type="dxa"/>
            <w:gridSpan w:val="4"/>
          </w:tcPr>
          <w:p w14:paraId="18540CA5" w14:textId="77777777" w:rsidR="008E7767" w:rsidRPr="0009354D" w:rsidRDefault="008E7767" w:rsidP="005C5FAB">
            <w:pPr>
              <w:tabs>
                <w:tab w:val="right" w:pos="9180"/>
              </w:tabs>
              <w:ind w:right="-360"/>
            </w:pPr>
            <w:r w:rsidRPr="0009354D">
              <w:t>Grant revenue</w:t>
            </w:r>
          </w:p>
        </w:tc>
        <w:tc>
          <w:tcPr>
            <w:tcW w:w="1440" w:type="dxa"/>
          </w:tcPr>
          <w:p w14:paraId="6B75DCD2" w14:textId="77777777" w:rsidR="008E7767" w:rsidRPr="0009354D" w:rsidRDefault="008E7767" w:rsidP="005C5FAB">
            <w:pPr>
              <w:tabs>
                <w:tab w:val="decimal" w:pos="1062"/>
                <w:tab w:val="right" w:pos="9180"/>
              </w:tabs>
              <w:ind w:right="-46"/>
            </w:pPr>
          </w:p>
        </w:tc>
        <w:tc>
          <w:tcPr>
            <w:tcW w:w="1440" w:type="dxa"/>
            <w:tcBorders>
              <w:top w:val="single" w:sz="4" w:space="0" w:color="auto"/>
            </w:tcBorders>
          </w:tcPr>
          <w:p w14:paraId="23A55E0D" w14:textId="77777777" w:rsidR="008E7767" w:rsidRPr="0009354D" w:rsidRDefault="008E7767" w:rsidP="005C5FAB">
            <w:pPr>
              <w:tabs>
                <w:tab w:val="decimal" w:pos="1062"/>
                <w:tab w:val="right" w:pos="9180"/>
              </w:tabs>
              <w:ind w:right="-46"/>
            </w:pPr>
            <w:r w:rsidRPr="0009354D">
              <w:t>$</w:t>
            </w:r>
            <w:r w:rsidRPr="0009354D">
              <w:tab/>
            </w:r>
            <w:r>
              <w:t>-</w:t>
            </w:r>
          </w:p>
        </w:tc>
        <w:tc>
          <w:tcPr>
            <w:tcW w:w="1440" w:type="dxa"/>
          </w:tcPr>
          <w:p w14:paraId="1A15D2A5" w14:textId="707476A3" w:rsidR="008E7767" w:rsidRPr="0009354D" w:rsidRDefault="008E7767" w:rsidP="005C5FAB">
            <w:pPr>
              <w:tabs>
                <w:tab w:val="decimal" w:pos="1062"/>
                <w:tab w:val="right" w:pos="9180"/>
              </w:tabs>
              <w:ind w:right="-18"/>
            </w:pPr>
            <w:r w:rsidRPr="0009354D">
              <w:t>$</w:t>
            </w:r>
            <w:r w:rsidRPr="0009354D">
              <w:tab/>
            </w:r>
            <w:r>
              <w:t>-</w:t>
            </w:r>
          </w:p>
        </w:tc>
        <w:tc>
          <w:tcPr>
            <w:tcW w:w="1530" w:type="dxa"/>
          </w:tcPr>
          <w:p w14:paraId="523EC714" w14:textId="4B5DCF26" w:rsidR="008E7767" w:rsidRPr="0009354D" w:rsidRDefault="008E7767" w:rsidP="005C5FAB">
            <w:pPr>
              <w:tabs>
                <w:tab w:val="decimal" w:pos="1152"/>
                <w:tab w:val="right" w:pos="9180"/>
              </w:tabs>
              <w:ind w:right="-18"/>
            </w:pPr>
            <w:r w:rsidRPr="0009354D">
              <w:t>$</w:t>
            </w:r>
            <w:r w:rsidRPr="0009354D">
              <w:tab/>
            </w:r>
            <w:r>
              <w:t>-</w:t>
            </w:r>
          </w:p>
        </w:tc>
      </w:tr>
      <w:tr w:rsidR="008E7767" w:rsidRPr="0009354D" w14:paraId="13FB6B1E" w14:textId="77777777" w:rsidTr="005C5FAB">
        <w:tc>
          <w:tcPr>
            <w:tcW w:w="3438" w:type="dxa"/>
            <w:gridSpan w:val="4"/>
          </w:tcPr>
          <w:p w14:paraId="2DCE0209" w14:textId="77777777" w:rsidR="008E7767" w:rsidRPr="0009354D" w:rsidRDefault="008E7767" w:rsidP="005C5FAB">
            <w:pPr>
              <w:tabs>
                <w:tab w:val="right" w:pos="9180"/>
              </w:tabs>
              <w:ind w:right="-360"/>
            </w:pPr>
            <w:r w:rsidRPr="0009354D">
              <w:t>Operating expenses:</w:t>
            </w:r>
          </w:p>
        </w:tc>
        <w:tc>
          <w:tcPr>
            <w:tcW w:w="1440" w:type="dxa"/>
          </w:tcPr>
          <w:p w14:paraId="5330E311" w14:textId="77777777" w:rsidR="008E7767" w:rsidRPr="0009354D" w:rsidRDefault="008E7767" w:rsidP="005C5FAB">
            <w:pPr>
              <w:tabs>
                <w:tab w:val="right" w:pos="9180"/>
              </w:tabs>
              <w:ind w:right="-46"/>
            </w:pPr>
          </w:p>
        </w:tc>
        <w:tc>
          <w:tcPr>
            <w:tcW w:w="1440" w:type="dxa"/>
          </w:tcPr>
          <w:p w14:paraId="1583EE2D" w14:textId="77777777" w:rsidR="008E7767" w:rsidRPr="0009354D" w:rsidRDefault="008E7767" w:rsidP="005C5FAB">
            <w:pPr>
              <w:tabs>
                <w:tab w:val="right" w:pos="9180"/>
              </w:tabs>
              <w:ind w:right="-46"/>
            </w:pPr>
          </w:p>
        </w:tc>
        <w:tc>
          <w:tcPr>
            <w:tcW w:w="1440" w:type="dxa"/>
          </w:tcPr>
          <w:p w14:paraId="0154F683" w14:textId="77777777" w:rsidR="008E7767" w:rsidRPr="0009354D" w:rsidRDefault="008E7767" w:rsidP="005C5FAB">
            <w:pPr>
              <w:tabs>
                <w:tab w:val="right" w:pos="9180"/>
              </w:tabs>
              <w:ind w:right="-18"/>
            </w:pPr>
          </w:p>
        </w:tc>
        <w:tc>
          <w:tcPr>
            <w:tcW w:w="1530" w:type="dxa"/>
          </w:tcPr>
          <w:p w14:paraId="3381C1FA" w14:textId="77777777" w:rsidR="008E7767" w:rsidRPr="0009354D" w:rsidRDefault="008E7767" w:rsidP="005C5FAB">
            <w:pPr>
              <w:tabs>
                <w:tab w:val="right" w:pos="9180"/>
              </w:tabs>
              <w:ind w:right="-18"/>
            </w:pPr>
          </w:p>
        </w:tc>
      </w:tr>
      <w:tr w:rsidR="008E7767" w:rsidRPr="0009354D" w14:paraId="4EC223A8" w14:textId="77777777" w:rsidTr="005C5FAB">
        <w:tc>
          <w:tcPr>
            <w:tcW w:w="378" w:type="dxa"/>
          </w:tcPr>
          <w:p w14:paraId="2F490DF7" w14:textId="77777777" w:rsidR="008E7767" w:rsidRPr="0009354D" w:rsidRDefault="008E7767" w:rsidP="005C5FAB">
            <w:pPr>
              <w:ind w:right="-360"/>
            </w:pPr>
          </w:p>
        </w:tc>
        <w:tc>
          <w:tcPr>
            <w:tcW w:w="3060" w:type="dxa"/>
            <w:gridSpan w:val="3"/>
          </w:tcPr>
          <w:p w14:paraId="20A9976F" w14:textId="77777777" w:rsidR="008E7767" w:rsidRPr="0009354D" w:rsidRDefault="008E7767" w:rsidP="005C5FAB">
            <w:pPr>
              <w:tabs>
                <w:tab w:val="right" w:pos="9180"/>
              </w:tabs>
              <w:ind w:right="-360"/>
            </w:pPr>
            <w:r w:rsidRPr="0009354D">
              <w:t>Research and development</w:t>
            </w:r>
          </w:p>
        </w:tc>
        <w:tc>
          <w:tcPr>
            <w:tcW w:w="1440" w:type="dxa"/>
          </w:tcPr>
          <w:p w14:paraId="25233F3A" w14:textId="77777777" w:rsidR="008E7767" w:rsidRPr="0009354D" w:rsidRDefault="008E7767" w:rsidP="005C5FAB">
            <w:pPr>
              <w:tabs>
                <w:tab w:val="decimal" w:pos="1062"/>
                <w:tab w:val="right" w:pos="9180"/>
              </w:tabs>
              <w:ind w:right="-46"/>
            </w:pPr>
          </w:p>
        </w:tc>
        <w:tc>
          <w:tcPr>
            <w:tcW w:w="1440" w:type="dxa"/>
          </w:tcPr>
          <w:p w14:paraId="543D5140" w14:textId="19B07DFE" w:rsidR="008E7767" w:rsidRPr="0009354D" w:rsidRDefault="008E7767" w:rsidP="005C5FAB">
            <w:pPr>
              <w:tabs>
                <w:tab w:val="decimal" w:pos="1062"/>
                <w:tab w:val="right" w:pos="9180"/>
              </w:tabs>
              <w:ind w:right="-46"/>
            </w:pPr>
            <w:r w:rsidRPr="0009354D">
              <w:tab/>
            </w:r>
            <w:r w:rsidR="0057490D">
              <w:t>4,</w:t>
            </w:r>
            <w:r w:rsidR="00272BE3">
              <w:t>719,728</w:t>
            </w:r>
          </w:p>
        </w:tc>
        <w:tc>
          <w:tcPr>
            <w:tcW w:w="1440" w:type="dxa"/>
          </w:tcPr>
          <w:p w14:paraId="4F62D6C8" w14:textId="25E7FB71" w:rsidR="008E7767" w:rsidRPr="0009354D" w:rsidRDefault="008E7767" w:rsidP="005C5FAB">
            <w:pPr>
              <w:tabs>
                <w:tab w:val="decimal" w:pos="1062"/>
                <w:tab w:val="right" w:pos="9180"/>
              </w:tabs>
              <w:ind w:right="-18"/>
            </w:pPr>
            <w:r w:rsidRPr="0009354D">
              <w:tab/>
            </w:r>
            <w:r>
              <w:t>1,307,177</w:t>
            </w:r>
          </w:p>
        </w:tc>
        <w:tc>
          <w:tcPr>
            <w:tcW w:w="1530" w:type="dxa"/>
          </w:tcPr>
          <w:p w14:paraId="1DD6A69A" w14:textId="061CE2D4" w:rsidR="008E7767" w:rsidRPr="0009354D" w:rsidRDefault="008E7767" w:rsidP="005C5FAB">
            <w:pPr>
              <w:tabs>
                <w:tab w:val="decimal" w:pos="1152"/>
                <w:tab w:val="right" w:pos="9180"/>
              </w:tabs>
              <w:ind w:right="-18"/>
            </w:pPr>
            <w:r w:rsidRPr="0009354D">
              <w:tab/>
            </w:r>
            <w:r w:rsidR="001115AD">
              <w:t>3,</w:t>
            </w:r>
            <w:r w:rsidR="00272BE3">
              <w:t>412,551</w:t>
            </w:r>
          </w:p>
        </w:tc>
      </w:tr>
      <w:tr w:rsidR="008E7767" w:rsidRPr="0009354D" w14:paraId="6C1A9AA7" w14:textId="77777777" w:rsidTr="005C5FAB">
        <w:tc>
          <w:tcPr>
            <w:tcW w:w="378" w:type="dxa"/>
          </w:tcPr>
          <w:p w14:paraId="08DEC957" w14:textId="77777777" w:rsidR="008E7767" w:rsidRPr="0009354D" w:rsidRDefault="008E7767" w:rsidP="005C5FAB">
            <w:pPr>
              <w:ind w:right="-360"/>
            </w:pPr>
          </w:p>
        </w:tc>
        <w:tc>
          <w:tcPr>
            <w:tcW w:w="3060" w:type="dxa"/>
            <w:gridSpan w:val="3"/>
          </w:tcPr>
          <w:p w14:paraId="65DEB1E5" w14:textId="77777777" w:rsidR="008E7767" w:rsidRPr="0009354D" w:rsidRDefault="008E7767" w:rsidP="005C5FAB">
            <w:pPr>
              <w:tabs>
                <w:tab w:val="right" w:pos="9180"/>
              </w:tabs>
              <w:ind w:right="-360"/>
            </w:pPr>
            <w:r w:rsidRPr="0009354D">
              <w:t>General and administrative</w:t>
            </w:r>
          </w:p>
        </w:tc>
        <w:tc>
          <w:tcPr>
            <w:tcW w:w="1440" w:type="dxa"/>
          </w:tcPr>
          <w:p w14:paraId="2B5B8D3D" w14:textId="77777777" w:rsidR="008E7767" w:rsidRPr="0009354D" w:rsidRDefault="008E7767" w:rsidP="005C5FAB">
            <w:pPr>
              <w:tabs>
                <w:tab w:val="decimal" w:pos="1062"/>
                <w:tab w:val="right" w:pos="9180"/>
              </w:tabs>
              <w:ind w:right="-46"/>
            </w:pPr>
          </w:p>
        </w:tc>
        <w:tc>
          <w:tcPr>
            <w:tcW w:w="1440" w:type="dxa"/>
          </w:tcPr>
          <w:p w14:paraId="724617FA" w14:textId="5DD39767" w:rsidR="008E7767" w:rsidRPr="0009354D" w:rsidRDefault="008E7767" w:rsidP="005C5FAB">
            <w:pPr>
              <w:tabs>
                <w:tab w:val="decimal" w:pos="1062"/>
                <w:tab w:val="right" w:pos="9180"/>
              </w:tabs>
              <w:ind w:right="-46"/>
            </w:pPr>
            <w:r w:rsidRPr="0009354D">
              <w:tab/>
            </w:r>
            <w:r w:rsidR="0057490D">
              <w:t>1</w:t>
            </w:r>
            <w:r w:rsidR="001115AD">
              <w:t>,</w:t>
            </w:r>
            <w:r w:rsidR="00272BE3">
              <w:t>459,093</w:t>
            </w:r>
          </w:p>
        </w:tc>
        <w:tc>
          <w:tcPr>
            <w:tcW w:w="1440" w:type="dxa"/>
          </w:tcPr>
          <w:p w14:paraId="0612C237" w14:textId="6F6809C2" w:rsidR="008E7767" w:rsidRPr="0009354D" w:rsidRDefault="008E7767" w:rsidP="005C5FAB">
            <w:pPr>
              <w:tabs>
                <w:tab w:val="decimal" w:pos="1062"/>
                <w:tab w:val="right" w:pos="9180"/>
              </w:tabs>
              <w:ind w:right="-18"/>
            </w:pPr>
            <w:r w:rsidRPr="0009354D">
              <w:tab/>
            </w:r>
            <w:r>
              <w:t>935,311</w:t>
            </w:r>
          </w:p>
        </w:tc>
        <w:tc>
          <w:tcPr>
            <w:tcW w:w="1530" w:type="dxa"/>
          </w:tcPr>
          <w:p w14:paraId="18B17D24" w14:textId="06C85722" w:rsidR="008E7767" w:rsidRPr="0009354D" w:rsidRDefault="008E7767" w:rsidP="005C5FAB">
            <w:pPr>
              <w:tabs>
                <w:tab w:val="decimal" w:pos="1152"/>
                <w:tab w:val="right" w:pos="9180"/>
              </w:tabs>
              <w:ind w:right="-18"/>
            </w:pPr>
            <w:r w:rsidRPr="0009354D">
              <w:tab/>
            </w:r>
            <w:r w:rsidR="00272BE3">
              <w:t>523,782</w:t>
            </w:r>
          </w:p>
        </w:tc>
      </w:tr>
      <w:tr w:rsidR="008E7767" w:rsidRPr="0009354D" w14:paraId="513B5A60" w14:textId="77777777" w:rsidTr="005C5FAB">
        <w:tc>
          <w:tcPr>
            <w:tcW w:w="3438" w:type="dxa"/>
            <w:gridSpan w:val="4"/>
          </w:tcPr>
          <w:p w14:paraId="53ABEAEF" w14:textId="77777777" w:rsidR="008E7767" w:rsidRPr="0009354D" w:rsidRDefault="008E7767" w:rsidP="005C5FAB">
            <w:pPr>
              <w:tabs>
                <w:tab w:val="right" w:pos="9180"/>
              </w:tabs>
              <w:ind w:right="-360"/>
            </w:pPr>
            <w:r w:rsidRPr="0009354D">
              <w:t>Total operating expenses</w:t>
            </w:r>
          </w:p>
        </w:tc>
        <w:tc>
          <w:tcPr>
            <w:tcW w:w="1440" w:type="dxa"/>
          </w:tcPr>
          <w:p w14:paraId="0560ACD1" w14:textId="77777777" w:rsidR="008E7767" w:rsidRPr="0009354D" w:rsidRDefault="008E7767" w:rsidP="005C5FAB">
            <w:pPr>
              <w:tabs>
                <w:tab w:val="decimal" w:pos="1062"/>
                <w:tab w:val="right" w:pos="9180"/>
              </w:tabs>
              <w:ind w:right="-46"/>
            </w:pPr>
          </w:p>
        </w:tc>
        <w:tc>
          <w:tcPr>
            <w:tcW w:w="1440" w:type="dxa"/>
            <w:tcBorders>
              <w:top w:val="single" w:sz="4" w:space="0" w:color="auto"/>
              <w:bottom w:val="single" w:sz="4" w:space="0" w:color="auto"/>
            </w:tcBorders>
          </w:tcPr>
          <w:p w14:paraId="68D2872B" w14:textId="317CA36F" w:rsidR="008E7767" w:rsidRPr="0009354D" w:rsidRDefault="008E7767" w:rsidP="005C5FAB">
            <w:pPr>
              <w:tabs>
                <w:tab w:val="decimal" w:pos="1062"/>
                <w:tab w:val="right" w:pos="9180"/>
              </w:tabs>
              <w:ind w:right="-46"/>
            </w:pPr>
            <w:r w:rsidRPr="0009354D">
              <w:tab/>
            </w:r>
            <w:r w:rsidR="0057490D">
              <w:t>6,</w:t>
            </w:r>
            <w:r w:rsidR="001115AD">
              <w:t>178,821</w:t>
            </w:r>
          </w:p>
        </w:tc>
        <w:tc>
          <w:tcPr>
            <w:tcW w:w="1440" w:type="dxa"/>
            <w:tcBorders>
              <w:top w:val="single" w:sz="4" w:space="0" w:color="auto"/>
              <w:bottom w:val="single" w:sz="4" w:space="0" w:color="auto"/>
            </w:tcBorders>
          </w:tcPr>
          <w:p w14:paraId="6F987421" w14:textId="12EFC280" w:rsidR="008E7767" w:rsidRPr="0009354D" w:rsidRDefault="008E7767" w:rsidP="005C5FAB">
            <w:pPr>
              <w:tabs>
                <w:tab w:val="decimal" w:pos="1062"/>
                <w:tab w:val="right" w:pos="9180"/>
              </w:tabs>
              <w:ind w:right="-18"/>
            </w:pPr>
            <w:r w:rsidRPr="0009354D">
              <w:tab/>
            </w:r>
            <w:r>
              <w:t>2,242,488</w:t>
            </w:r>
          </w:p>
        </w:tc>
        <w:tc>
          <w:tcPr>
            <w:tcW w:w="1530" w:type="dxa"/>
            <w:tcBorders>
              <w:top w:val="single" w:sz="4" w:space="0" w:color="auto"/>
              <w:bottom w:val="single" w:sz="4" w:space="0" w:color="auto"/>
            </w:tcBorders>
          </w:tcPr>
          <w:p w14:paraId="46AC0B53" w14:textId="1601DA11" w:rsidR="008E7767" w:rsidRPr="0009354D" w:rsidRDefault="008E7767" w:rsidP="005C5FAB">
            <w:pPr>
              <w:tabs>
                <w:tab w:val="decimal" w:pos="1152"/>
                <w:tab w:val="right" w:pos="9180"/>
              </w:tabs>
              <w:ind w:right="-18"/>
            </w:pPr>
            <w:r w:rsidRPr="0009354D">
              <w:tab/>
            </w:r>
            <w:r w:rsidR="0057490D">
              <w:t>3,</w:t>
            </w:r>
            <w:r w:rsidR="001115AD">
              <w:t>936,333</w:t>
            </w:r>
          </w:p>
        </w:tc>
      </w:tr>
      <w:tr w:rsidR="008E7767" w:rsidRPr="0009354D" w14:paraId="27FBFD17" w14:textId="77777777" w:rsidTr="005C5FAB">
        <w:tc>
          <w:tcPr>
            <w:tcW w:w="3438" w:type="dxa"/>
            <w:gridSpan w:val="4"/>
          </w:tcPr>
          <w:p w14:paraId="6D06EBF0" w14:textId="77777777" w:rsidR="008E7767" w:rsidRPr="0009354D" w:rsidRDefault="008E7767" w:rsidP="005C5FAB">
            <w:pPr>
              <w:tabs>
                <w:tab w:val="right" w:pos="9180"/>
              </w:tabs>
              <w:ind w:right="-360"/>
            </w:pPr>
            <w:r w:rsidRPr="0009354D">
              <w:t>Loss from operations</w:t>
            </w:r>
          </w:p>
        </w:tc>
        <w:tc>
          <w:tcPr>
            <w:tcW w:w="1440" w:type="dxa"/>
          </w:tcPr>
          <w:p w14:paraId="3D9658F0" w14:textId="77777777" w:rsidR="008E7767" w:rsidRPr="0009354D" w:rsidRDefault="008E7767" w:rsidP="005C5FAB">
            <w:pPr>
              <w:tabs>
                <w:tab w:val="decimal" w:pos="1062"/>
                <w:tab w:val="right" w:pos="9180"/>
              </w:tabs>
              <w:ind w:right="-46"/>
            </w:pPr>
          </w:p>
        </w:tc>
        <w:tc>
          <w:tcPr>
            <w:tcW w:w="1440" w:type="dxa"/>
          </w:tcPr>
          <w:p w14:paraId="4BDEC7AD" w14:textId="597D74A9" w:rsidR="008E7767" w:rsidRPr="0009354D" w:rsidRDefault="008E7767" w:rsidP="005C5FAB">
            <w:pPr>
              <w:tabs>
                <w:tab w:val="decimal" w:pos="1062"/>
                <w:tab w:val="right" w:pos="9180"/>
              </w:tabs>
              <w:ind w:right="-46"/>
            </w:pPr>
            <w:r w:rsidRPr="0009354D">
              <w:tab/>
            </w:r>
            <w:r w:rsidR="0057490D">
              <w:t>(6,1</w:t>
            </w:r>
            <w:r w:rsidR="001115AD">
              <w:t>78,821</w:t>
            </w:r>
            <w:r w:rsidR="0057490D">
              <w:t>)</w:t>
            </w:r>
          </w:p>
        </w:tc>
        <w:tc>
          <w:tcPr>
            <w:tcW w:w="1440" w:type="dxa"/>
          </w:tcPr>
          <w:p w14:paraId="3C9F258B" w14:textId="412D5305" w:rsidR="008E7767" w:rsidRPr="0009354D" w:rsidRDefault="008E7767" w:rsidP="005C5FAB">
            <w:pPr>
              <w:tabs>
                <w:tab w:val="decimal" w:pos="1044"/>
                <w:tab w:val="right" w:pos="9180"/>
              </w:tabs>
              <w:ind w:right="-18"/>
            </w:pPr>
            <w:r w:rsidRPr="0009354D">
              <w:tab/>
              <w:t>(</w:t>
            </w:r>
            <w:r>
              <w:t>2,242,488</w:t>
            </w:r>
            <w:r w:rsidRPr="0009354D">
              <w:t>)</w:t>
            </w:r>
          </w:p>
        </w:tc>
        <w:tc>
          <w:tcPr>
            <w:tcW w:w="1530" w:type="dxa"/>
          </w:tcPr>
          <w:p w14:paraId="40701C57" w14:textId="4D6F846D" w:rsidR="008E7767" w:rsidRPr="0009354D" w:rsidRDefault="008E7767" w:rsidP="005C5FAB">
            <w:pPr>
              <w:tabs>
                <w:tab w:val="decimal" w:pos="1152"/>
                <w:tab w:val="right" w:pos="9180"/>
              </w:tabs>
              <w:ind w:right="-18"/>
            </w:pPr>
            <w:r w:rsidRPr="0009354D">
              <w:tab/>
            </w:r>
            <w:r w:rsidR="0016519B">
              <w:t>(3,9</w:t>
            </w:r>
            <w:r w:rsidR="001115AD">
              <w:t>36,333</w:t>
            </w:r>
            <w:r w:rsidR="0016519B">
              <w:t>)</w:t>
            </w:r>
          </w:p>
        </w:tc>
      </w:tr>
      <w:tr w:rsidR="008E7767" w:rsidRPr="0009354D" w14:paraId="73610446" w14:textId="77777777" w:rsidTr="005C5FAB">
        <w:tc>
          <w:tcPr>
            <w:tcW w:w="3438" w:type="dxa"/>
            <w:gridSpan w:val="4"/>
          </w:tcPr>
          <w:p w14:paraId="092919C6" w14:textId="755AEEFA" w:rsidR="008E7767" w:rsidRPr="0009354D" w:rsidRDefault="008E7767" w:rsidP="005C5FAB">
            <w:pPr>
              <w:tabs>
                <w:tab w:val="right" w:pos="9180"/>
              </w:tabs>
              <w:ind w:right="-360"/>
            </w:pPr>
            <w:r>
              <w:t>Interest income</w:t>
            </w:r>
          </w:p>
        </w:tc>
        <w:tc>
          <w:tcPr>
            <w:tcW w:w="1440" w:type="dxa"/>
          </w:tcPr>
          <w:p w14:paraId="08CE802C" w14:textId="77777777" w:rsidR="008E7767" w:rsidRPr="0009354D" w:rsidRDefault="008E7767" w:rsidP="005C5FAB">
            <w:pPr>
              <w:tabs>
                <w:tab w:val="decimal" w:pos="1062"/>
                <w:tab w:val="right" w:pos="9180"/>
              </w:tabs>
              <w:ind w:right="-46"/>
            </w:pPr>
          </w:p>
        </w:tc>
        <w:tc>
          <w:tcPr>
            <w:tcW w:w="1440" w:type="dxa"/>
            <w:tcBorders>
              <w:bottom w:val="single" w:sz="4" w:space="0" w:color="auto"/>
            </w:tcBorders>
          </w:tcPr>
          <w:p w14:paraId="7517D725" w14:textId="419D92E6" w:rsidR="008E7767" w:rsidRPr="0009354D" w:rsidRDefault="008E7767" w:rsidP="005C5FAB">
            <w:pPr>
              <w:tabs>
                <w:tab w:val="decimal" w:pos="1062"/>
                <w:tab w:val="right" w:pos="9180"/>
              </w:tabs>
              <w:ind w:right="-46"/>
            </w:pPr>
            <w:r w:rsidRPr="0009354D">
              <w:tab/>
            </w:r>
            <w:r w:rsidR="0057490D">
              <w:t>251,201</w:t>
            </w:r>
          </w:p>
        </w:tc>
        <w:tc>
          <w:tcPr>
            <w:tcW w:w="1440" w:type="dxa"/>
            <w:tcBorders>
              <w:bottom w:val="single" w:sz="4" w:space="0" w:color="auto"/>
            </w:tcBorders>
          </w:tcPr>
          <w:p w14:paraId="2EA5AB5E" w14:textId="7C0C1ABE" w:rsidR="008E7767" w:rsidRPr="0009354D" w:rsidRDefault="008E7767" w:rsidP="005C5FAB">
            <w:pPr>
              <w:tabs>
                <w:tab w:val="decimal" w:pos="1062"/>
                <w:tab w:val="right" w:pos="9180"/>
              </w:tabs>
              <w:ind w:right="-18"/>
            </w:pPr>
            <w:r w:rsidRPr="0009354D">
              <w:tab/>
            </w:r>
            <w:r>
              <w:t>789</w:t>
            </w:r>
          </w:p>
        </w:tc>
        <w:tc>
          <w:tcPr>
            <w:tcW w:w="1530" w:type="dxa"/>
            <w:tcBorders>
              <w:bottom w:val="single" w:sz="4" w:space="0" w:color="auto"/>
            </w:tcBorders>
          </w:tcPr>
          <w:p w14:paraId="24ABF19E" w14:textId="7C7EA8FA" w:rsidR="008E7767" w:rsidRPr="0009354D" w:rsidRDefault="008E7767" w:rsidP="005C5FAB">
            <w:pPr>
              <w:tabs>
                <w:tab w:val="decimal" w:pos="1152"/>
                <w:tab w:val="right" w:pos="9180"/>
              </w:tabs>
              <w:ind w:right="-18"/>
            </w:pPr>
            <w:r w:rsidRPr="0009354D">
              <w:tab/>
            </w:r>
            <w:r w:rsidR="0016519B">
              <w:t>250,412</w:t>
            </w:r>
          </w:p>
        </w:tc>
      </w:tr>
      <w:tr w:rsidR="008E7767" w:rsidRPr="0009354D" w14:paraId="1219D8E1" w14:textId="77777777" w:rsidTr="005C5FAB">
        <w:tc>
          <w:tcPr>
            <w:tcW w:w="3438" w:type="dxa"/>
            <w:gridSpan w:val="4"/>
          </w:tcPr>
          <w:p w14:paraId="6BEDF560" w14:textId="77777777" w:rsidR="008E7767" w:rsidRPr="0009354D" w:rsidRDefault="008E7767" w:rsidP="005C5FAB">
            <w:pPr>
              <w:tabs>
                <w:tab w:val="right" w:pos="9180"/>
              </w:tabs>
              <w:ind w:right="-360"/>
            </w:pPr>
            <w:r w:rsidRPr="0009354D">
              <w:t>Net loss</w:t>
            </w:r>
          </w:p>
        </w:tc>
        <w:tc>
          <w:tcPr>
            <w:tcW w:w="1440" w:type="dxa"/>
          </w:tcPr>
          <w:p w14:paraId="22EB5F22" w14:textId="77777777" w:rsidR="008E7767" w:rsidRPr="0009354D" w:rsidRDefault="008E7767" w:rsidP="005C5FAB">
            <w:pPr>
              <w:tabs>
                <w:tab w:val="decimal" w:pos="1062"/>
                <w:tab w:val="right" w:pos="9180"/>
              </w:tabs>
              <w:ind w:right="-46"/>
            </w:pPr>
          </w:p>
        </w:tc>
        <w:tc>
          <w:tcPr>
            <w:tcW w:w="1440" w:type="dxa"/>
            <w:tcBorders>
              <w:bottom w:val="double" w:sz="4" w:space="0" w:color="auto"/>
            </w:tcBorders>
          </w:tcPr>
          <w:p w14:paraId="3AAD6D8C" w14:textId="054FFCF1" w:rsidR="008E7767" w:rsidRPr="0009354D" w:rsidRDefault="008E7767" w:rsidP="005C5FAB">
            <w:pPr>
              <w:tabs>
                <w:tab w:val="decimal" w:pos="1062"/>
                <w:tab w:val="right" w:pos="9180"/>
              </w:tabs>
              <w:ind w:right="-46"/>
            </w:pPr>
            <w:r w:rsidRPr="0009354D">
              <w:t>$</w:t>
            </w:r>
            <w:r w:rsidRPr="0009354D">
              <w:tab/>
            </w:r>
            <w:r w:rsidR="0057490D">
              <w:t>(5,</w:t>
            </w:r>
            <w:r w:rsidR="001115AD">
              <w:t>927,620</w:t>
            </w:r>
            <w:r w:rsidR="0057490D">
              <w:t>)</w:t>
            </w:r>
          </w:p>
        </w:tc>
        <w:tc>
          <w:tcPr>
            <w:tcW w:w="1440" w:type="dxa"/>
            <w:tcBorders>
              <w:top w:val="single" w:sz="4" w:space="0" w:color="auto"/>
              <w:bottom w:val="double" w:sz="4" w:space="0" w:color="auto"/>
            </w:tcBorders>
          </w:tcPr>
          <w:p w14:paraId="2A5077AA" w14:textId="5A501ACA" w:rsidR="008E7767" w:rsidRPr="0009354D" w:rsidRDefault="008E7767" w:rsidP="005C5FAB">
            <w:pPr>
              <w:tabs>
                <w:tab w:val="decimal" w:pos="1044"/>
                <w:tab w:val="right" w:pos="9180"/>
              </w:tabs>
              <w:ind w:right="-18"/>
            </w:pPr>
            <w:r w:rsidRPr="0009354D">
              <w:t>$</w:t>
            </w:r>
            <w:r w:rsidRPr="0009354D">
              <w:tab/>
              <w:t>(</w:t>
            </w:r>
            <w:r>
              <w:t>2,241,699</w:t>
            </w:r>
            <w:r w:rsidRPr="0009354D">
              <w:t>)</w:t>
            </w:r>
          </w:p>
        </w:tc>
        <w:tc>
          <w:tcPr>
            <w:tcW w:w="1530" w:type="dxa"/>
            <w:tcBorders>
              <w:top w:val="single" w:sz="4" w:space="0" w:color="auto"/>
              <w:bottom w:val="double" w:sz="4" w:space="0" w:color="auto"/>
            </w:tcBorders>
          </w:tcPr>
          <w:p w14:paraId="6C0B8C7F" w14:textId="77625472" w:rsidR="008E7767" w:rsidRPr="0009354D" w:rsidRDefault="008E7767" w:rsidP="005C5FAB">
            <w:pPr>
              <w:tabs>
                <w:tab w:val="decimal" w:pos="1152"/>
                <w:tab w:val="right" w:pos="9180"/>
              </w:tabs>
              <w:ind w:right="-18"/>
            </w:pPr>
            <w:r w:rsidRPr="0009354D">
              <w:t>$</w:t>
            </w:r>
            <w:r w:rsidRPr="0009354D">
              <w:tab/>
            </w:r>
            <w:r w:rsidR="0016519B">
              <w:t>(3,</w:t>
            </w:r>
            <w:r w:rsidR="001115AD">
              <w:t>685,921</w:t>
            </w:r>
            <w:r w:rsidR="0016519B">
              <w:t>)</w:t>
            </w:r>
          </w:p>
        </w:tc>
      </w:tr>
    </w:tbl>
    <w:p w14:paraId="04A1E338" w14:textId="77777777" w:rsidR="008E7767" w:rsidRPr="0009354D" w:rsidRDefault="008E7767" w:rsidP="008E7767">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440"/>
        <w:gridCol w:w="1440"/>
        <w:gridCol w:w="1440"/>
        <w:gridCol w:w="1530"/>
      </w:tblGrid>
      <w:tr w:rsidR="008E7767" w:rsidRPr="0009354D" w14:paraId="16B2F1E3" w14:textId="77777777" w:rsidTr="005C5FAB">
        <w:tc>
          <w:tcPr>
            <w:tcW w:w="378" w:type="dxa"/>
          </w:tcPr>
          <w:p w14:paraId="519686A7" w14:textId="77777777" w:rsidR="008E7767" w:rsidRPr="0009354D" w:rsidRDefault="008E7767" w:rsidP="005C5FAB">
            <w:pPr>
              <w:ind w:right="-360"/>
            </w:pPr>
            <w:bookmarkStart w:id="19" w:name="_Hlk77171462"/>
            <w:bookmarkStart w:id="20" w:name="_Hlk77088476"/>
          </w:p>
        </w:tc>
        <w:tc>
          <w:tcPr>
            <w:tcW w:w="450" w:type="dxa"/>
          </w:tcPr>
          <w:p w14:paraId="16B88E0F" w14:textId="77777777" w:rsidR="008E7767" w:rsidRPr="0009354D" w:rsidRDefault="008E7767" w:rsidP="005C5FAB">
            <w:pPr>
              <w:ind w:right="-360"/>
            </w:pPr>
          </w:p>
        </w:tc>
        <w:tc>
          <w:tcPr>
            <w:tcW w:w="450" w:type="dxa"/>
          </w:tcPr>
          <w:p w14:paraId="412EA3AD" w14:textId="77777777" w:rsidR="008E7767" w:rsidRPr="0009354D" w:rsidRDefault="008E7767" w:rsidP="005C5FAB">
            <w:pPr>
              <w:ind w:right="-360"/>
            </w:pPr>
          </w:p>
        </w:tc>
        <w:tc>
          <w:tcPr>
            <w:tcW w:w="2160" w:type="dxa"/>
          </w:tcPr>
          <w:p w14:paraId="3549EF9A" w14:textId="77777777" w:rsidR="008E7767" w:rsidRPr="0009354D" w:rsidRDefault="008E7767" w:rsidP="005C5FAB">
            <w:pPr>
              <w:tabs>
                <w:tab w:val="right" w:pos="9180"/>
              </w:tabs>
              <w:ind w:right="-360"/>
            </w:pPr>
          </w:p>
        </w:tc>
        <w:tc>
          <w:tcPr>
            <w:tcW w:w="1440" w:type="dxa"/>
          </w:tcPr>
          <w:p w14:paraId="7079B2EC" w14:textId="77777777" w:rsidR="008E7767" w:rsidRPr="0009354D" w:rsidRDefault="008E7767" w:rsidP="005C5FAB">
            <w:pPr>
              <w:tabs>
                <w:tab w:val="right" w:pos="9180"/>
              </w:tabs>
              <w:ind w:right="-46"/>
              <w:jc w:val="center"/>
            </w:pPr>
          </w:p>
        </w:tc>
        <w:tc>
          <w:tcPr>
            <w:tcW w:w="2880" w:type="dxa"/>
            <w:gridSpan w:val="2"/>
            <w:tcBorders>
              <w:bottom w:val="single" w:sz="4" w:space="0" w:color="auto"/>
            </w:tcBorders>
          </w:tcPr>
          <w:p w14:paraId="07D1E89F" w14:textId="77777777" w:rsidR="008E7767" w:rsidRPr="0009354D" w:rsidRDefault="008E7767" w:rsidP="005C5FAB">
            <w:pPr>
              <w:tabs>
                <w:tab w:val="right" w:pos="9180"/>
              </w:tabs>
              <w:ind w:right="-18"/>
              <w:jc w:val="center"/>
            </w:pPr>
            <w:r w:rsidRPr="0009354D">
              <w:t>Six Months Ended June 30,</w:t>
            </w:r>
          </w:p>
        </w:tc>
        <w:tc>
          <w:tcPr>
            <w:tcW w:w="1530" w:type="dxa"/>
          </w:tcPr>
          <w:p w14:paraId="1AD5C9FF" w14:textId="77777777" w:rsidR="008E7767" w:rsidRPr="0009354D" w:rsidRDefault="008E7767" w:rsidP="005C5FAB">
            <w:pPr>
              <w:tabs>
                <w:tab w:val="right" w:pos="9180"/>
              </w:tabs>
              <w:ind w:right="-18"/>
              <w:jc w:val="center"/>
            </w:pPr>
          </w:p>
        </w:tc>
      </w:tr>
      <w:bookmarkEnd w:id="19"/>
      <w:tr w:rsidR="008E7767" w:rsidRPr="0009354D" w14:paraId="4139DB6D" w14:textId="77777777" w:rsidTr="005C5FAB">
        <w:tc>
          <w:tcPr>
            <w:tcW w:w="378" w:type="dxa"/>
          </w:tcPr>
          <w:p w14:paraId="69F6586B" w14:textId="77777777" w:rsidR="008E7767" w:rsidRPr="0009354D" w:rsidRDefault="008E7767" w:rsidP="005C5FAB">
            <w:pPr>
              <w:ind w:right="-360"/>
            </w:pPr>
          </w:p>
        </w:tc>
        <w:tc>
          <w:tcPr>
            <w:tcW w:w="450" w:type="dxa"/>
          </w:tcPr>
          <w:p w14:paraId="2AAB0199" w14:textId="77777777" w:rsidR="008E7767" w:rsidRPr="0009354D" w:rsidRDefault="008E7767" w:rsidP="005C5FAB">
            <w:pPr>
              <w:ind w:right="-360"/>
            </w:pPr>
          </w:p>
        </w:tc>
        <w:tc>
          <w:tcPr>
            <w:tcW w:w="450" w:type="dxa"/>
          </w:tcPr>
          <w:p w14:paraId="7D6926AA" w14:textId="77777777" w:rsidR="008E7767" w:rsidRPr="0009354D" w:rsidRDefault="008E7767" w:rsidP="005C5FAB">
            <w:pPr>
              <w:ind w:right="-360"/>
            </w:pPr>
          </w:p>
        </w:tc>
        <w:tc>
          <w:tcPr>
            <w:tcW w:w="2160" w:type="dxa"/>
          </w:tcPr>
          <w:p w14:paraId="45FD5107" w14:textId="77777777" w:rsidR="008E7767" w:rsidRPr="0009354D" w:rsidRDefault="008E7767" w:rsidP="005C5FAB">
            <w:pPr>
              <w:tabs>
                <w:tab w:val="right" w:pos="9180"/>
              </w:tabs>
              <w:ind w:right="-360"/>
            </w:pPr>
          </w:p>
        </w:tc>
        <w:tc>
          <w:tcPr>
            <w:tcW w:w="1440" w:type="dxa"/>
          </w:tcPr>
          <w:p w14:paraId="221A4A65" w14:textId="77777777" w:rsidR="008E7767" w:rsidRPr="0009354D" w:rsidRDefault="008E7767" w:rsidP="005C5FAB">
            <w:pPr>
              <w:tabs>
                <w:tab w:val="right" w:pos="9180"/>
              </w:tabs>
              <w:ind w:right="-46"/>
              <w:jc w:val="center"/>
            </w:pPr>
          </w:p>
        </w:tc>
        <w:tc>
          <w:tcPr>
            <w:tcW w:w="1440" w:type="dxa"/>
            <w:tcBorders>
              <w:bottom w:val="single" w:sz="4" w:space="0" w:color="auto"/>
            </w:tcBorders>
          </w:tcPr>
          <w:p w14:paraId="65A4B7CA" w14:textId="41EC9162" w:rsidR="008E7767" w:rsidRPr="0009354D" w:rsidRDefault="008E7767" w:rsidP="005C5FAB">
            <w:pPr>
              <w:tabs>
                <w:tab w:val="right" w:pos="9180"/>
              </w:tabs>
              <w:ind w:right="-46"/>
              <w:jc w:val="center"/>
            </w:pPr>
            <w:r w:rsidRPr="0009354D">
              <w:t>202</w:t>
            </w:r>
            <w:r>
              <w:t>3</w:t>
            </w:r>
          </w:p>
        </w:tc>
        <w:tc>
          <w:tcPr>
            <w:tcW w:w="1440" w:type="dxa"/>
            <w:tcBorders>
              <w:bottom w:val="single" w:sz="4" w:space="0" w:color="auto"/>
            </w:tcBorders>
          </w:tcPr>
          <w:p w14:paraId="7B2BBBF0" w14:textId="4C670EE8" w:rsidR="008E7767" w:rsidRPr="0009354D" w:rsidRDefault="008E7767" w:rsidP="005C5FAB">
            <w:pPr>
              <w:tabs>
                <w:tab w:val="right" w:pos="9180"/>
              </w:tabs>
              <w:ind w:right="-18"/>
              <w:jc w:val="center"/>
            </w:pPr>
            <w:r w:rsidRPr="0009354D">
              <w:t>202</w:t>
            </w:r>
            <w:r>
              <w:t>2</w:t>
            </w:r>
          </w:p>
        </w:tc>
        <w:tc>
          <w:tcPr>
            <w:tcW w:w="1530" w:type="dxa"/>
            <w:tcBorders>
              <w:bottom w:val="single" w:sz="4" w:space="0" w:color="auto"/>
            </w:tcBorders>
          </w:tcPr>
          <w:p w14:paraId="57D5D42E" w14:textId="77777777" w:rsidR="008E7767" w:rsidRPr="0009354D" w:rsidRDefault="008E7767" w:rsidP="005C5FAB">
            <w:pPr>
              <w:tabs>
                <w:tab w:val="right" w:pos="9180"/>
              </w:tabs>
              <w:ind w:right="-18"/>
              <w:jc w:val="center"/>
            </w:pPr>
            <w:r w:rsidRPr="0009354D">
              <w:t>Change</w:t>
            </w:r>
          </w:p>
        </w:tc>
      </w:tr>
      <w:tr w:rsidR="008E7767" w:rsidRPr="0009354D" w14:paraId="06B6AB2B" w14:textId="77777777" w:rsidTr="005C5FAB">
        <w:tc>
          <w:tcPr>
            <w:tcW w:w="3438" w:type="dxa"/>
            <w:gridSpan w:val="4"/>
          </w:tcPr>
          <w:p w14:paraId="63A3C1F5" w14:textId="77777777" w:rsidR="008E7767" w:rsidRPr="0009354D" w:rsidRDefault="008E7767" w:rsidP="005C5FAB">
            <w:pPr>
              <w:tabs>
                <w:tab w:val="right" w:pos="9180"/>
              </w:tabs>
              <w:ind w:right="-360"/>
            </w:pPr>
            <w:r w:rsidRPr="0009354D">
              <w:t>Grant revenue</w:t>
            </w:r>
          </w:p>
        </w:tc>
        <w:tc>
          <w:tcPr>
            <w:tcW w:w="1440" w:type="dxa"/>
          </w:tcPr>
          <w:p w14:paraId="1C54BA49" w14:textId="77777777" w:rsidR="008E7767" w:rsidRPr="0009354D" w:rsidRDefault="008E7767" w:rsidP="005C5FAB">
            <w:pPr>
              <w:tabs>
                <w:tab w:val="decimal" w:pos="1062"/>
                <w:tab w:val="right" w:pos="9180"/>
              </w:tabs>
              <w:ind w:right="-46"/>
            </w:pPr>
          </w:p>
        </w:tc>
        <w:tc>
          <w:tcPr>
            <w:tcW w:w="1440" w:type="dxa"/>
            <w:tcBorders>
              <w:top w:val="single" w:sz="4" w:space="0" w:color="auto"/>
            </w:tcBorders>
          </w:tcPr>
          <w:p w14:paraId="797B33AB" w14:textId="2B9CB05E" w:rsidR="008E7767" w:rsidRPr="0009354D" w:rsidRDefault="008E7767" w:rsidP="005C5FAB">
            <w:pPr>
              <w:tabs>
                <w:tab w:val="decimal" w:pos="1062"/>
                <w:tab w:val="right" w:pos="9180"/>
              </w:tabs>
              <w:ind w:right="-46"/>
            </w:pPr>
            <w:r w:rsidRPr="0009354D">
              <w:t>$</w:t>
            </w:r>
            <w:r w:rsidRPr="0009354D">
              <w:tab/>
            </w:r>
            <w:r w:rsidR="0057490D">
              <w:t>-</w:t>
            </w:r>
          </w:p>
        </w:tc>
        <w:tc>
          <w:tcPr>
            <w:tcW w:w="1440" w:type="dxa"/>
          </w:tcPr>
          <w:p w14:paraId="067A2D52" w14:textId="3DC974CC" w:rsidR="008E7767" w:rsidRPr="0009354D" w:rsidRDefault="008E7767" w:rsidP="005C5FAB">
            <w:pPr>
              <w:tabs>
                <w:tab w:val="decimal" w:pos="1062"/>
                <w:tab w:val="right" w:pos="9180"/>
              </w:tabs>
              <w:ind w:right="-18"/>
            </w:pPr>
            <w:r w:rsidRPr="0009354D">
              <w:t>$</w:t>
            </w:r>
            <w:r w:rsidRPr="0009354D">
              <w:tab/>
            </w:r>
            <w:r>
              <w:t>81,526</w:t>
            </w:r>
          </w:p>
        </w:tc>
        <w:tc>
          <w:tcPr>
            <w:tcW w:w="1530" w:type="dxa"/>
          </w:tcPr>
          <w:p w14:paraId="1829628E" w14:textId="1F39FE39" w:rsidR="008E7767" w:rsidRPr="0009354D" w:rsidRDefault="008E7767" w:rsidP="005C5FAB">
            <w:pPr>
              <w:tabs>
                <w:tab w:val="decimal" w:pos="1152"/>
                <w:tab w:val="right" w:pos="9180"/>
              </w:tabs>
              <w:ind w:right="-18"/>
            </w:pPr>
            <w:r w:rsidRPr="0009354D">
              <w:t>$</w:t>
            </w:r>
            <w:r w:rsidRPr="0009354D">
              <w:tab/>
            </w:r>
            <w:r w:rsidR="0016519B">
              <w:t>(81,526)</w:t>
            </w:r>
          </w:p>
        </w:tc>
      </w:tr>
      <w:tr w:rsidR="008E7767" w:rsidRPr="0009354D" w14:paraId="34B7128E" w14:textId="77777777" w:rsidTr="005C5FAB">
        <w:tc>
          <w:tcPr>
            <w:tcW w:w="3438" w:type="dxa"/>
            <w:gridSpan w:val="4"/>
          </w:tcPr>
          <w:p w14:paraId="28D15256" w14:textId="77777777" w:rsidR="008E7767" w:rsidRPr="0009354D" w:rsidRDefault="008E7767" w:rsidP="005C5FAB">
            <w:pPr>
              <w:tabs>
                <w:tab w:val="right" w:pos="9180"/>
              </w:tabs>
              <w:ind w:right="-360"/>
            </w:pPr>
            <w:r w:rsidRPr="0009354D">
              <w:t>Operating expenses:</w:t>
            </w:r>
          </w:p>
        </w:tc>
        <w:tc>
          <w:tcPr>
            <w:tcW w:w="1440" w:type="dxa"/>
          </w:tcPr>
          <w:p w14:paraId="01506C30" w14:textId="77777777" w:rsidR="008E7767" w:rsidRPr="0009354D" w:rsidRDefault="008E7767" w:rsidP="005C5FAB">
            <w:pPr>
              <w:tabs>
                <w:tab w:val="right" w:pos="9180"/>
              </w:tabs>
              <w:ind w:right="-46"/>
            </w:pPr>
          </w:p>
        </w:tc>
        <w:tc>
          <w:tcPr>
            <w:tcW w:w="1440" w:type="dxa"/>
          </w:tcPr>
          <w:p w14:paraId="055310BC" w14:textId="77777777" w:rsidR="008E7767" w:rsidRPr="0009354D" w:rsidRDefault="008E7767" w:rsidP="005C5FAB">
            <w:pPr>
              <w:tabs>
                <w:tab w:val="right" w:pos="9180"/>
              </w:tabs>
              <w:ind w:right="-46"/>
            </w:pPr>
          </w:p>
        </w:tc>
        <w:tc>
          <w:tcPr>
            <w:tcW w:w="1440" w:type="dxa"/>
          </w:tcPr>
          <w:p w14:paraId="5EB59E9D" w14:textId="77777777" w:rsidR="008E7767" w:rsidRPr="0009354D" w:rsidRDefault="008E7767" w:rsidP="005C5FAB">
            <w:pPr>
              <w:tabs>
                <w:tab w:val="right" w:pos="9180"/>
              </w:tabs>
              <w:ind w:right="-18"/>
            </w:pPr>
          </w:p>
        </w:tc>
        <w:tc>
          <w:tcPr>
            <w:tcW w:w="1530" w:type="dxa"/>
          </w:tcPr>
          <w:p w14:paraId="7892D9B6" w14:textId="77777777" w:rsidR="008E7767" w:rsidRPr="0009354D" w:rsidRDefault="008E7767" w:rsidP="005C5FAB">
            <w:pPr>
              <w:tabs>
                <w:tab w:val="right" w:pos="9180"/>
              </w:tabs>
              <w:ind w:right="-18"/>
            </w:pPr>
          </w:p>
        </w:tc>
      </w:tr>
      <w:tr w:rsidR="008E7767" w:rsidRPr="0009354D" w14:paraId="31F13061" w14:textId="77777777" w:rsidTr="005C5FAB">
        <w:tc>
          <w:tcPr>
            <w:tcW w:w="378" w:type="dxa"/>
          </w:tcPr>
          <w:p w14:paraId="6E4F99BD" w14:textId="77777777" w:rsidR="008E7767" w:rsidRPr="0009354D" w:rsidRDefault="008E7767" w:rsidP="005C5FAB">
            <w:pPr>
              <w:ind w:right="-360"/>
            </w:pPr>
          </w:p>
        </w:tc>
        <w:tc>
          <w:tcPr>
            <w:tcW w:w="3060" w:type="dxa"/>
            <w:gridSpan w:val="3"/>
          </w:tcPr>
          <w:p w14:paraId="7EC9E4C9" w14:textId="77777777" w:rsidR="008E7767" w:rsidRPr="0009354D" w:rsidRDefault="008E7767" w:rsidP="005C5FAB">
            <w:pPr>
              <w:tabs>
                <w:tab w:val="right" w:pos="9180"/>
              </w:tabs>
              <w:ind w:right="-360"/>
            </w:pPr>
            <w:r w:rsidRPr="0009354D">
              <w:t>Research and development</w:t>
            </w:r>
          </w:p>
        </w:tc>
        <w:tc>
          <w:tcPr>
            <w:tcW w:w="1440" w:type="dxa"/>
          </w:tcPr>
          <w:p w14:paraId="225B0069" w14:textId="77777777" w:rsidR="008E7767" w:rsidRPr="0009354D" w:rsidRDefault="008E7767" w:rsidP="005C5FAB">
            <w:pPr>
              <w:tabs>
                <w:tab w:val="decimal" w:pos="1062"/>
                <w:tab w:val="right" w:pos="9180"/>
              </w:tabs>
              <w:ind w:right="-46"/>
            </w:pPr>
          </w:p>
        </w:tc>
        <w:tc>
          <w:tcPr>
            <w:tcW w:w="1440" w:type="dxa"/>
          </w:tcPr>
          <w:p w14:paraId="182B8CB2" w14:textId="238F7026" w:rsidR="008E7767" w:rsidRPr="0009354D" w:rsidRDefault="008E7767" w:rsidP="005C5FAB">
            <w:pPr>
              <w:tabs>
                <w:tab w:val="decimal" w:pos="1062"/>
                <w:tab w:val="right" w:pos="9180"/>
              </w:tabs>
              <w:ind w:right="-46"/>
            </w:pPr>
            <w:r w:rsidRPr="0009354D">
              <w:tab/>
            </w:r>
            <w:r w:rsidR="0057490D">
              <w:t>7,</w:t>
            </w:r>
            <w:r w:rsidR="00272BE3">
              <w:t>538,917</w:t>
            </w:r>
          </w:p>
        </w:tc>
        <w:tc>
          <w:tcPr>
            <w:tcW w:w="1440" w:type="dxa"/>
          </w:tcPr>
          <w:p w14:paraId="59C14641" w14:textId="6FC805AF" w:rsidR="008E7767" w:rsidRPr="0009354D" w:rsidRDefault="008E7767" w:rsidP="005C5FAB">
            <w:pPr>
              <w:tabs>
                <w:tab w:val="decimal" w:pos="1062"/>
                <w:tab w:val="right" w:pos="9180"/>
              </w:tabs>
              <w:ind w:right="-18"/>
            </w:pPr>
            <w:r w:rsidRPr="0009354D">
              <w:tab/>
            </w:r>
            <w:r>
              <w:t>2,637,721</w:t>
            </w:r>
          </w:p>
        </w:tc>
        <w:tc>
          <w:tcPr>
            <w:tcW w:w="1530" w:type="dxa"/>
          </w:tcPr>
          <w:p w14:paraId="66B1114A" w14:textId="0AC9224A" w:rsidR="008E7767" w:rsidRPr="0009354D" w:rsidRDefault="008E7767" w:rsidP="005C5FAB">
            <w:pPr>
              <w:tabs>
                <w:tab w:val="decimal" w:pos="1152"/>
                <w:tab w:val="right" w:pos="9180"/>
              </w:tabs>
              <w:ind w:right="-18"/>
            </w:pPr>
            <w:r w:rsidRPr="0009354D">
              <w:tab/>
            </w:r>
            <w:r w:rsidR="00272BE3">
              <w:t>4,901,196</w:t>
            </w:r>
          </w:p>
        </w:tc>
      </w:tr>
      <w:tr w:rsidR="008E7767" w:rsidRPr="0009354D" w14:paraId="5AA2E66F" w14:textId="77777777" w:rsidTr="005C5FAB">
        <w:tc>
          <w:tcPr>
            <w:tcW w:w="378" w:type="dxa"/>
          </w:tcPr>
          <w:p w14:paraId="0CD9D3AE" w14:textId="77777777" w:rsidR="008E7767" w:rsidRPr="0009354D" w:rsidRDefault="008E7767" w:rsidP="005C5FAB">
            <w:pPr>
              <w:ind w:right="-360"/>
            </w:pPr>
          </w:p>
        </w:tc>
        <w:tc>
          <w:tcPr>
            <w:tcW w:w="3060" w:type="dxa"/>
            <w:gridSpan w:val="3"/>
          </w:tcPr>
          <w:p w14:paraId="1B9A76E8" w14:textId="77777777" w:rsidR="008E7767" w:rsidRPr="0009354D" w:rsidRDefault="008E7767" w:rsidP="005C5FAB">
            <w:pPr>
              <w:tabs>
                <w:tab w:val="right" w:pos="9180"/>
              </w:tabs>
              <w:ind w:right="-360"/>
            </w:pPr>
            <w:r w:rsidRPr="0009354D">
              <w:t>General and administrative</w:t>
            </w:r>
          </w:p>
        </w:tc>
        <w:tc>
          <w:tcPr>
            <w:tcW w:w="1440" w:type="dxa"/>
          </w:tcPr>
          <w:p w14:paraId="0FD05AB5" w14:textId="77777777" w:rsidR="008E7767" w:rsidRPr="0009354D" w:rsidRDefault="008E7767" w:rsidP="005C5FAB">
            <w:pPr>
              <w:tabs>
                <w:tab w:val="decimal" w:pos="1062"/>
                <w:tab w:val="right" w:pos="9180"/>
              </w:tabs>
              <w:ind w:right="-46"/>
            </w:pPr>
          </w:p>
        </w:tc>
        <w:tc>
          <w:tcPr>
            <w:tcW w:w="1440" w:type="dxa"/>
          </w:tcPr>
          <w:p w14:paraId="47347C9D" w14:textId="4FA382CB" w:rsidR="008E7767" w:rsidRPr="0009354D" w:rsidRDefault="008E7767" w:rsidP="005C5FAB">
            <w:pPr>
              <w:tabs>
                <w:tab w:val="decimal" w:pos="1062"/>
                <w:tab w:val="right" w:pos="9180"/>
              </w:tabs>
              <w:ind w:right="-46"/>
            </w:pPr>
            <w:r w:rsidRPr="0009354D">
              <w:tab/>
            </w:r>
            <w:r w:rsidR="0057490D">
              <w:t>2,</w:t>
            </w:r>
            <w:r w:rsidR="00272BE3">
              <w:t>910,518</w:t>
            </w:r>
          </w:p>
        </w:tc>
        <w:tc>
          <w:tcPr>
            <w:tcW w:w="1440" w:type="dxa"/>
          </w:tcPr>
          <w:p w14:paraId="439D68FA" w14:textId="011D7E40" w:rsidR="008E7767" w:rsidRPr="0009354D" w:rsidRDefault="008E7767" w:rsidP="005C5FAB">
            <w:pPr>
              <w:tabs>
                <w:tab w:val="decimal" w:pos="1062"/>
                <w:tab w:val="right" w:pos="9180"/>
              </w:tabs>
              <w:ind w:right="-18"/>
            </w:pPr>
            <w:r w:rsidRPr="0009354D">
              <w:tab/>
            </w:r>
            <w:r>
              <w:t>2,114,335</w:t>
            </w:r>
          </w:p>
        </w:tc>
        <w:tc>
          <w:tcPr>
            <w:tcW w:w="1530" w:type="dxa"/>
          </w:tcPr>
          <w:p w14:paraId="08D125C7" w14:textId="3F4C0D9A" w:rsidR="008E7767" w:rsidRPr="0009354D" w:rsidRDefault="008E7767" w:rsidP="005C5FAB">
            <w:pPr>
              <w:tabs>
                <w:tab w:val="decimal" w:pos="1152"/>
                <w:tab w:val="right" w:pos="9180"/>
              </w:tabs>
              <w:ind w:right="-18"/>
            </w:pPr>
            <w:r w:rsidRPr="0009354D">
              <w:tab/>
            </w:r>
            <w:r w:rsidR="00272BE3">
              <w:t>796,183</w:t>
            </w:r>
          </w:p>
        </w:tc>
      </w:tr>
      <w:tr w:rsidR="008E7767" w:rsidRPr="0009354D" w14:paraId="4EEA8FD0" w14:textId="77777777" w:rsidTr="005C5FAB">
        <w:tc>
          <w:tcPr>
            <w:tcW w:w="3438" w:type="dxa"/>
            <w:gridSpan w:val="4"/>
          </w:tcPr>
          <w:p w14:paraId="366F116F" w14:textId="77777777" w:rsidR="008E7767" w:rsidRPr="0009354D" w:rsidRDefault="008E7767" w:rsidP="005C5FAB">
            <w:pPr>
              <w:tabs>
                <w:tab w:val="right" w:pos="9180"/>
              </w:tabs>
              <w:ind w:right="-360"/>
            </w:pPr>
            <w:r w:rsidRPr="0009354D">
              <w:t>Total operating expenses</w:t>
            </w:r>
          </w:p>
        </w:tc>
        <w:tc>
          <w:tcPr>
            <w:tcW w:w="1440" w:type="dxa"/>
          </w:tcPr>
          <w:p w14:paraId="5DFC9262" w14:textId="77777777" w:rsidR="008E7767" w:rsidRPr="0009354D" w:rsidRDefault="008E7767" w:rsidP="005C5FAB">
            <w:pPr>
              <w:tabs>
                <w:tab w:val="decimal" w:pos="1062"/>
                <w:tab w:val="right" w:pos="9180"/>
              </w:tabs>
              <w:ind w:right="-46"/>
            </w:pPr>
          </w:p>
        </w:tc>
        <w:tc>
          <w:tcPr>
            <w:tcW w:w="1440" w:type="dxa"/>
            <w:tcBorders>
              <w:top w:val="single" w:sz="4" w:space="0" w:color="auto"/>
              <w:bottom w:val="single" w:sz="4" w:space="0" w:color="auto"/>
            </w:tcBorders>
          </w:tcPr>
          <w:p w14:paraId="3D88A93F" w14:textId="74030777" w:rsidR="008E7767" w:rsidRPr="0009354D" w:rsidRDefault="008E7767" w:rsidP="005C5FAB">
            <w:pPr>
              <w:tabs>
                <w:tab w:val="decimal" w:pos="1062"/>
                <w:tab w:val="right" w:pos="9180"/>
              </w:tabs>
              <w:ind w:right="-46"/>
            </w:pPr>
            <w:r w:rsidRPr="0009354D">
              <w:tab/>
            </w:r>
            <w:r w:rsidR="0057490D">
              <w:t>10,</w:t>
            </w:r>
            <w:r w:rsidR="001115AD">
              <w:t>449,435</w:t>
            </w:r>
          </w:p>
        </w:tc>
        <w:tc>
          <w:tcPr>
            <w:tcW w:w="1440" w:type="dxa"/>
            <w:tcBorders>
              <w:top w:val="single" w:sz="4" w:space="0" w:color="auto"/>
              <w:bottom w:val="single" w:sz="4" w:space="0" w:color="auto"/>
            </w:tcBorders>
          </w:tcPr>
          <w:p w14:paraId="3ED1A217" w14:textId="752CFBFE" w:rsidR="008E7767" w:rsidRPr="0009354D" w:rsidRDefault="008E7767" w:rsidP="005C5FAB">
            <w:pPr>
              <w:tabs>
                <w:tab w:val="decimal" w:pos="1062"/>
                <w:tab w:val="right" w:pos="9180"/>
              </w:tabs>
              <w:ind w:right="-18"/>
            </w:pPr>
            <w:r w:rsidRPr="0009354D">
              <w:tab/>
            </w:r>
            <w:r>
              <w:t>4,752,056</w:t>
            </w:r>
          </w:p>
        </w:tc>
        <w:tc>
          <w:tcPr>
            <w:tcW w:w="1530" w:type="dxa"/>
            <w:tcBorders>
              <w:top w:val="single" w:sz="4" w:space="0" w:color="auto"/>
              <w:bottom w:val="single" w:sz="4" w:space="0" w:color="auto"/>
            </w:tcBorders>
          </w:tcPr>
          <w:p w14:paraId="0B441BC8" w14:textId="58EEDCA8" w:rsidR="008E7767" w:rsidRPr="0009354D" w:rsidRDefault="008E7767" w:rsidP="005C5FAB">
            <w:pPr>
              <w:tabs>
                <w:tab w:val="decimal" w:pos="1152"/>
                <w:tab w:val="right" w:pos="9180"/>
              </w:tabs>
              <w:ind w:right="-18"/>
            </w:pPr>
            <w:r w:rsidRPr="0009354D">
              <w:tab/>
            </w:r>
            <w:r w:rsidR="0016519B">
              <w:t>5,</w:t>
            </w:r>
            <w:r w:rsidR="001115AD">
              <w:t>697,379</w:t>
            </w:r>
          </w:p>
        </w:tc>
      </w:tr>
      <w:tr w:rsidR="008E7767" w:rsidRPr="0009354D" w14:paraId="27CDD933" w14:textId="77777777" w:rsidTr="005C5FAB">
        <w:tc>
          <w:tcPr>
            <w:tcW w:w="3438" w:type="dxa"/>
            <w:gridSpan w:val="4"/>
          </w:tcPr>
          <w:p w14:paraId="179BF555" w14:textId="77777777" w:rsidR="008E7767" w:rsidRPr="0009354D" w:rsidRDefault="008E7767" w:rsidP="005C5FAB">
            <w:pPr>
              <w:tabs>
                <w:tab w:val="right" w:pos="9180"/>
              </w:tabs>
              <w:ind w:right="-360"/>
            </w:pPr>
            <w:r w:rsidRPr="0009354D">
              <w:t>Loss from operations</w:t>
            </w:r>
          </w:p>
        </w:tc>
        <w:tc>
          <w:tcPr>
            <w:tcW w:w="1440" w:type="dxa"/>
          </w:tcPr>
          <w:p w14:paraId="551F7E64" w14:textId="77777777" w:rsidR="008E7767" w:rsidRPr="0009354D" w:rsidRDefault="008E7767" w:rsidP="005C5FAB">
            <w:pPr>
              <w:tabs>
                <w:tab w:val="decimal" w:pos="1062"/>
                <w:tab w:val="right" w:pos="9180"/>
              </w:tabs>
              <w:ind w:right="-46"/>
            </w:pPr>
          </w:p>
        </w:tc>
        <w:tc>
          <w:tcPr>
            <w:tcW w:w="1440" w:type="dxa"/>
          </w:tcPr>
          <w:p w14:paraId="3440AB3B" w14:textId="44F4B452" w:rsidR="008E7767" w:rsidRPr="0009354D" w:rsidRDefault="008E7767" w:rsidP="005C5FAB">
            <w:pPr>
              <w:tabs>
                <w:tab w:val="decimal" w:pos="1062"/>
                <w:tab w:val="right" w:pos="9180"/>
              </w:tabs>
              <w:ind w:right="-46"/>
            </w:pPr>
            <w:r w:rsidRPr="0009354D">
              <w:tab/>
            </w:r>
            <w:r w:rsidR="0057490D">
              <w:t>(10,</w:t>
            </w:r>
            <w:r w:rsidR="001115AD">
              <w:t>449,435</w:t>
            </w:r>
            <w:r w:rsidR="0057490D">
              <w:t>)</w:t>
            </w:r>
          </w:p>
        </w:tc>
        <w:tc>
          <w:tcPr>
            <w:tcW w:w="1440" w:type="dxa"/>
          </w:tcPr>
          <w:p w14:paraId="2FF5B54D" w14:textId="0195FF45" w:rsidR="008E7767" w:rsidRPr="0009354D" w:rsidRDefault="008E7767" w:rsidP="005C5FAB">
            <w:pPr>
              <w:tabs>
                <w:tab w:val="decimal" w:pos="1044"/>
                <w:tab w:val="right" w:pos="9180"/>
              </w:tabs>
              <w:ind w:right="-18"/>
            </w:pPr>
            <w:r w:rsidRPr="0009354D">
              <w:tab/>
              <w:t>(</w:t>
            </w:r>
            <w:r>
              <w:t>4,670,530)</w:t>
            </w:r>
          </w:p>
        </w:tc>
        <w:tc>
          <w:tcPr>
            <w:tcW w:w="1530" w:type="dxa"/>
          </w:tcPr>
          <w:p w14:paraId="00390DAA" w14:textId="1687EAC4" w:rsidR="008E7767" w:rsidRPr="0009354D" w:rsidRDefault="008E7767" w:rsidP="005C5FAB">
            <w:pPr>
              <w:tabs>
                <w:tab w:val="decimal" w:pos="1152"/>
                <w:tab w:val="right" w:pos="9180"/>
              </w:tabs>
              <w:ind w:right="-18"/>
            </w:pPr>
            <w:r w:rsidRPr="0009354D">
              <w:tab/>
            </w:r>
            <w:r w:rsidR="0016519B">
              <w:t>(5,</w:t>
            </w:r>
            <w:r w:rsidR="001115AD">
              <w:t>778,905</w:t>
            </w:r>
            <w:r w:rsidR="0016519B">
              <w:t>)</w:t>
            </w:r>
          </w:p>
        </w:tc>
      </w:tr>
      <w:tr w:rsidR="008E7767" w:rsidRPr="0009354D" w14:paraId="17B23014" w14:textId="77777777" w:rsidTr="005C5FAB">
        <w:tc>
          <w:tcPr>
            <w:tcW w:w="3438" w:type="dxa"/>
            <w:gridSpan w:val="4"/>
          </w:tcPr>
          <w:p w14:paraId="1F1233FA" w14:textId="0B16C48C" w:rsidR="008E7767" w:rsidRPr="0009354D" w:rsidRDefault="008E7767" w:rsidP="005C5FAB">
            <w:pPr>
              <w:tabs>
                <w:tab w:val="right" w:pos="9180"/>
              </w:tabs>
              <w:ind w:right="-360"/>
            </w:pPr>
            <w:r>
              <w:t>Interest income</w:t>
            </w:r>
          </w:p>
        </w:tc>
        <w:tc>
          <w:tcPr>
            <w:tcW w:w="1440" w:type="dxa"/>
          </w:tcPr>
          <w:p w14:paraId="1860B366" w14:textId="77777777" w:rsidR="008E7767" w:rsidRPr="0009354D" w:rsidRDefault="008E7767" w:rsidP="005C5FAB">
            <w:pPr>
              <w:tabs>
                <w:tab w:val="decimal" w:pos="1062"/>
                <w:tab w:val="right" w:pos="9180"/>
              </w:tabs>
              <w:ind w:right="-46"/>
            </w:pPr>
          </w:p>
        </w:tc>
        <w:tc>
          <w:tcPr>
            <w:tcW w:w="1440" w:type="dxa"/>
            <w:tcBorders>
              <w:bottom w:val="single" w:sz="4" w:space="0" w:color="auto"/>
            </w:tcBorders>
          </w:tcPr>
          <w:p w14:paraId="50CEFEA9" w14:textId="07C6706E" w:rsidR="008E7767" w:rsidRPr="0009354D" w:rsidRDefault="008E7767" w:rsidP="005C5FAB">
            <w:pPr>
              <w:tabs>
                <w:tab w:val="decimal" w:pos="1062"/>
                <w:tab w:val="right" w:pos="9180"/>
              </w:tabs>
              <w:ind w:right="-46"/>
            </w:pPr>
            <w:r w:rsidRPr="0009354D">
              <w:tab/>
            </w:r>
            <w:r w:rsidR="0057490D">
              <w:t>483,899</w:t>
            </w:r>
          </w:p>
        </w:tc>
        <w:tc>
          <w:tcPr>
            <w:tcW w:w="1440" w:type="dxa"/>
          </w:tcPr>
          <w:p w14:paraId="300C727C" w14:textId="74E09016" w:rsidR="008E7767" w:rsidRPr="0009354D" w:rsidRDefault="008E7767" w:rsidP="005C5FAB">
            <w:pPr>
              <w:tabs>
                <w:tab w:val="decimal" w:pos="1062"/>
                <w:tab w:val="right" w:pos="9180"/>
              </w:tabs>
              <w:ind w:right="-18"/>
            </w:pPr>
            <w:r w:rsidRPr="0009354D">
              <w:tab/>
            </w:r>
            <w:r>
              <w:t>1,316</w:t>
            </w:r>
          </w:p>
        </w:tc>
        <w:tc>
          <w:tcPr>
            <w:tcW w:w="1530" w:type="dxa"/>
          </w:tcPr>
          <w:p w14:paraId="6890D7C3" w14:textId="61BE0954" w:rsidR="008E7767" w:rsidRPr="0009354D" w:rsidRDefault="008E7767" w:rsidP="005C5FAB">
            <w:pPr>
              <w:tabs>
                <w:tab w:val="decimal" w:pos="1152"/>
                <w:tab w:val="right" w:pos="9180"/>
              </w:tabs>
              <w:ind w:right="-18"/>
            </w:pPr>
            <w:r w:rsidRPr="0009354D">
              <w:tab/>
            </w:r>
            <w:r w:rsidR="0016519B">
              <w:t>482,583</w:t>
            </w:r>
          </w:p>
        </w:tc>
      </w:tr>
      <w:tr w:rsidR="008E7767" w:rsidRPr="0009354D" w14:paraId="0754E32F" w14:textId="77777777" w:rsidTr="005C5FAB">
        <w:tc>
          <w:tcPr>
            <w:tcW w:w="3438" w:type="dxa"/>
            <w:gridSpan w:val="4"/>
          </w:tcPr>
          <w:p w14:paraId="29EB39BF" w14:textId="77777777" w:rsidR="008E7767" w:rsidRPr="0009354D" w:rsidRDefault="008E7767" w:rsidP="005C5FAB">
            <w:pPr>
              <w:tabs>
                <w:tab w:val="right" w:pos="9180"/>
              </w:tabs>
              <w:ind w:right="-360"/>
            </w:pPr>
            <w:bookmarkStart w:id="21" w:name="_Hlk77174018"/>
            <w:r w:rsidRPr="0009354D">
              <w:t>Net loss</w:t>
            </w:r>
          </w:p>
        </w:tc>
        <w:tc>
          <w:tcPr>
            <w:tcW w:w="1440" w:type="dxa"/>
          </w:tcPr>
          <w:p w14:paraId="40131CFE" w14:textId="77777777" w:rsidR="008E7767" w:rsidRPr="0009354D" w:rsidRDefault="008E7767" w:rsidP="005C5FAB">
            <w:pPr>
              <w:tabs>
                <w:tab w:val="decimal" w:pos="1062"/>
                <w:tab w:val="right" w:pos="9180"/>
              </w:tabs>
              <w:ind w:right="-46"/>
            </w:pPr>
          </w:p>
        </w:tc>
        <w:tc>
          <w:tcPr>
            <w:tcW w:w="1440" w:type="dxa"/>
            <w:tcBorders>
              <w:top w:val="single" w:sz="4" w:space="0" w:color="auto"/>
              <w:bottom w:val="double" w:sz="4" w:space="0" w:color="auto"/>
            </w:tcBorders>
          </w:tcPr>
          <w:p w14:paraId="384C167D" w14:textId="52D617B5" w:rsidR="008E7767" w:rsidRPr="0009354D" w:rsidRDefault="008E7767" w:rsidP="005C5FAB">
            <w:pPr>
              <w:tabs>
                <w:tab w:val="decimal" w:pos="1062"/>
                <w:tab w:val="right" w:pos="9180"/>
              </w:tabs>
              <w:ind w:right="-46"/>
            </w:pPr>
            <w:r w:rsidRPr="0009354D">
              <w:t>$</w:t>
            </w:r>
            <w:r w:rsidRPr="0009354D">
              <w:tab/>
            </w:r>
            <w:r w:rsidR="0057490D">
              <w:t>(9,</w:t>
            </w:r>
            <w:r w:rsidR="001115AD">
              <w:t>965,536</w:t>
            </w:r>
            <w:r w:rsidR="0057490D">
              <w:t>)</w:t>
            </w:r>
          </w:p>
        </w:tc>
        <w:tc>
          <w:tcPr>
            <w:tcW w:w="1440" w:type="dxa"/>
            <w:tcBorders>
              <w:top w:val="single" w:sz="4" w:space="0" w:color="auto"/>
              <w:bottom w:val="double" w:sz="4" w:space="0" w:color="auto"/>
            </w:tcBorders>
          </w:tcPr>
          <w:p w14:paraId="5A07878F" w14:textId="49FD6D55" w:rsidR="008E7767" w:rsidRPr="0009354D" w:rsidRDefault="008E7767" w:rsidP="005C5FAB">
            <w:pPr>
              <w:tabs>
                <w:tab w:val="decimal" w:pos="1044"/>
                <w:tab w:val="right" w:pos="9180"/>
              </w:tabs>
              <w:ind w:right="-18"/>
            </w:pPr>
            <w:r w:rsidRPr="0009354D">
              <w:t>$</w:t>
            </w:r>
            <w:r w:rsidRPr="0009354D">
              <w:tab/>
              <w:t>(</w:t>
            </w:r>
            <w:r>
              <w:t>4,669,214</w:t>
            </w:r>
            <w:r w:rsidRPr="0009354D">
              <w:t>)</w:t>
            </w:r>
          </w:p>
        </w:tc>
        <w:tc>
          <w:tcPr>
            <w:tcW w:w="1530" w:type="dxa"/>
            <w:tcBorders>
              <w:top w:val="single" w:sz="4" w:space="0" w:color="auto"/>
              <w:bottom w:val="double" w:sz="4" w:space="0" w:color="auto"/>
            </w:tcBorders>
          </w:tcPr>
          <w:p w14:paraId="6DE86418" w14:textId="7A6D8C50" w:rsidR="008E7767" w:rsidRPr="0009354D" w:rsidRDefault="008E7767" w:rsidP="005C5FAB">
            <w:pPr>
              <w:tabs>
                <w:tab w:val="decimal" w:pos="1152"/>
                <w:tab w:val="right" w:pos="9180"/>
              </w:tabs>
              <w:ind w:right="-18"/>
            </w:pPr>
            <w:r w:rsidRPr="0009354D">
              <w:t>$</w:t>
            </w:r>
            <w:r w:rsidRPr="0009354D">
              <w:tab/>
            </w:r>
            <w:r w:rsidR="0016519B">
              <w:t>(5,</w:t>
            </w:r>
            <w:r w:rsidR="001115AD">
              <w:t>296,322</w:t>
            </w:r>
            <w:r w:rsidR="0016519B">
              <w:t>)</w:t>
            </w:r>
          </w:p>
        </w:tc>
      </w:tr>
      <w:bookmarkEnd w:id="20"/>
      <w:bookmarkEnd w:id="21"/>
    </w:tbl>
    <w:p w14:paraId="0F82663B" w14:textId="77777777" w:rsidR="008E7767" w:rsidRDefault="008E7767" w:rsidP="00177E79">
      <w:pPr>
        <w:rPr>
          <w:i/>
          <w:iCs/>
        </w:rPr>
      </w:pPr>
    </w:p>
    <w:p w14:paraId="69545C6F" w14:textId="554403DC" w:rsidR="00177E79" w:rsidRPr="0009354D" w:rsidRDefault="00177E79" w:rsidP="00177E79">
      <w:r w:rsidRPr="0009354D">
        <w:rPr>
          <w:i/>
          <w:iCs/>
        </w:rPr>
        <w:t>Grant Revenue</w:t>
      </w:r>
    </w:p>
    <w:p w14:paraId="4196A7BA" w14:textId="7B289CE9" w:rsidR="00177E79" w:rsidRDefault="00177E79" w:rsidP="00177E79"/>
    <w:p w14:paraId="13FF2030" w14:textId="2E4D4EC6" w:rsidR="00177E79" w:rsidRDefault="00246876" w:rsidP="00177E79">
      <w:pPr>
        <w:rPr>
          <w:iCs/>
        </w:rPr>
      </w:pPr>
      <w:r>
        <w:t xml:space="preserve">There were no grant revenues during either of the three-month periods ended June 30, </w:t>
      </w:r>
      <w:proofErr w:type="gramStart"/>
      <w:r>
        <w:t>2023</w:t>
      </w:r>
      <w:proofErr w:type="gramEnd"/>
      <w:r>
        <w:t xml:space="preserve"> and 2022.  </w:t>
      </w:r>
      <w:r w:rsidR="00177E79">
        <w:t>Grant revenue de</w:t>
      </w:r>
      <w:r w:rsidR="00177E79" w:rsidRPr="0009354D">
        <w:t>creased by $</w:t>
      </w:r>
      <w:r w:rsidR="000733A2">
        <w:t>81,526</w:t>
      </w:r>
      <w:r w:rsidR="00177E79" w:rsidRPr="0009354D">
        <w:t xml:space="preserve"> (</w:t>
      </w:r>
      <w:r w:rsidR="000733A2">
        <w:t>100</w:t>
      </w:r>
      <w:r w:rsidR="00177E79" w:rsidRPr="0009354D">
        <w:t xml:space="preserve">%) </w:t>
      </w:r>
      <w:r w:rsidR="00177E79">
        <w:t>f</w:t>
      </w:r>
      <w:r w:rsidR="00177E79" w:rsidRPr="0009354D">
        <w:t xml:space="preserve">or the </w:t>
      </w:r>
      <w:r w:rsidR="008E7767">
        <w:t>six</w:t>
      </w:r>
      <w:r w:rsidR="00177E79" w:rsidRPr="0009354D">
        <w:t xml:space="preserve">-month </w:t>
      </w:r>
      <w:r w:rsidR="00177E79">
        <w:t>period ended</w:t>
      </w:r>
      <w:r w:rsidR="00177E79" w:rsidRPr="0009354D">
        <w:t xml:space="preserve"> </w:t>
      </w:r>
      <w:r w:rsidR="008E7767">
        <w:t>June</w:t>
      </w:r>
      <w:r w:rsidR="00177E79">
        <w:t xml:space="preserve"> 3</w:t>
      </w:r>
      <w:r w:rsidR="008E7767">
        <w:t>0</w:t>
      </w:r>
      <w:r w:rsidR="00177E79">
        <w:t xml:space="preserve">, </w:t>
      </w:r>
      <w:proofErr w:type="gramStart"/>
      <w:r w:rsidR="00177E79">
        <w:t>202</w:t>
      </w:r>
      <w:r w:rsidR="000733A2">
        <w:t>3</w:t>
      </w:r>
      <w:proofErr w:type="gramEnd"/>
      <w:r w:rsidR="00177E79">
        <w:t xml:space="preserve"> compared to the </w:t>
      </w:r>
      <w:r>
        <w:t>six</w:t>
      </w:r>
      <w:r w:rsidR="00177E79">
        <w:t xml:space="preserve">-month period ended </w:t>
      </w:r>
      <w:r>
        <w:t>June</w:t>
      </w:r>
      <w:r w:rsidR="00177E79">
        <w:t xml:space="preserve"> 3</w:t>
      </w:r>
      <w:r>
        <w:t>0</w:t>
      </w:r>
      <w:r w:rsidR="00177E79">
        <w:t>, 202</w:t>
      </w:r>
      <w:r w:rsidR="000733A2">
        <w:t>2</w:t>
      </w:r>
      <w:r w:rsidR="00177E79">
        <w:t xml:space="preserve">, </w:t>
      </w:r>
      <w:r w:rsidR="00CD1CCB">
        <w:t>reflective of the wind-down of the Company’s grant from the U.S. Department of Defense for our Lassa Fever vaccine program</w:t>
      </w:r>
      <w:r w:rsidR="00177E79">
        <w:t>.</w:t>
      </w:r>
      <w:r w:rsidR="00BD41FD" w:rsidRPr="00BD41FD">
        <w:t xml:space="preserve"> </w:t>
      </w:r>
      <w:r w:rsidR="00BD41FD">
        <w:t xml:space="preserve">As of </w:t>
      </w:r>
      <w:r>
        <w:t>June</w:t>
      </w:r>
      <w:r w:rsidR="00BD41FD">
        <w:t xml:space="preserve"> 3</w:t>
      </w:r>
      <w:r>
        <w:t>0</w:t>
      </w:r>
      <w:r w:rsidR="00BD41FD">
        <w:t>, 202</w:t>
      </w:r>
      <w:r w:rsidR="00CE568B">
        <w:t>3</w:t>
      </w:r>
      <w:r w:rsidR="00BD41FD">
        <w:t xml:space="preserve">, </w:t>
      </w:r>
      <w:r w:rsidR="005D2DE8">
        <w:t xml:space="preserve">all </w:t>
      </w:r>
      <w:r w:rsidR="00BD41FD">
        <w:t xml:space="preserve">approved grant funds </w:t>
      </w:r>
      <w:r w:rsidR="005D2DE8">
        <w:t>have been utilized</w:t>
      </w:r>
      <w:r w:rsidR="00BD41FD">
        <w:t>.</w:t>
      </w:r>
    </w:p>
    <w:p w14:paraId="228BE27D" w14:textId="77777777" w:rsidR="0061314E" w:rsidRPr="0061314E" w:rsidRDefault="0061314E" w:rsidP="00177E79">
      <w:pPr>
        <w:rPr>
          <w:iCs/>
        </w:rPr>
      </w:pPr>
    </w:p>
    <w:p w14:paraId="3D829912" w14:textId="77777777" w:rsidR="00177E79" w:rsidRPr="0009354D" w:rsidRDefault="00177E79" w:rsidP="00177E79">
      <w:pPr>
        <w:rPr>
          <w:i/>
          <w:iCs/>
        </w:rPr>
      </w:pPr>
      <w:r w:rsidRPr="008F13AC">
        <w:rPr>
          <w:i/>
          <w:iCs/>
        </w:rPr>
        <w:t>Research and Development Expenses</w:t>
      </w:r>
    </w:p>
    <w:p w14:paraId="3A551792" w14:textId="77777777" w:rsidR="00CE568B" w:rsidRDefault="00CE568B" w:rsidP="00177E79"/>
    <w:p w14:paraId="270AC716" w14:textId="4805CD62" w:rsidR="00246876" w:rsidRPr="00246876" w:rsidRDefault="00246876" w:rsidP="00246876">
      <w:r w:rsidRPr="00246876">
        <w:t>For the three-month and six-month periods ending June 30, 202</w:t>
      </w:r>
      <w:r>
        <w:t>3</w:t>
      </w:r>
      <w:r w:rsidRPr="00246876">
        <w:t>, research and development expenses increased by $</w:t>
      </w:r>
      <w:r w:rsidR="001115AD">
        <w:t>3,</w:t>
      </w:r>
      <w:r w:rsidR="00272BE3">
        <w:t>412,551</w:t>
      </w:r>
      <w:r w:rsidRPr="00246876">
        <w:t xml:space="preserve"> (</w:t>
      </w:r>
      <w:r w:rsidR="0016519B">
        <w:t>2</w:t>
      </w:r>
      <w:r w:rsidR="00272BE3">
        <w:t>61</w:t>
      </w:r>
      <w:r w:rsidRPr="00246876">
        <w:t>%) and $</w:t>
      </w:r>
      <w:r w:rsidR="00272BE3">
        <w:t>4,901,196</w:t>
      </w:r>
      <w:r w:rsidRPr="00246876">
        <w:t xml:space="preserve"> (</w:t>
      </w:r>
      <w:r w:rsidR="00272BE3">
        <w:t>186</w:t>
      </w:r>
      <w:r w:rsidRPr="00246876">
        <w:t>%), respectively, versus the comparable 202</w:t>
      </w:r>
      <w:r>
        <w:t>2</w:t>
      </w:r>
      <w:r w:rsidRPr="00246876">
        <w:t xml:space="preserve"> periods. The overall increase during the 202</w:t>
      </w:r>
      <w:r>
        <w:t>3</w:t>
      </w:r>
      <w:r w:rsidRPr="00246876">
        <w:t xml:space="preserve"> periods relates primarily to higher personnel costs, costs of conducting clinical trials for GEO-CM04S1 and </w:t>
      </w:r>
      <w:proofErr w:type="spellStart"/>
      <w:r w:rsidRPr="00246876">
        <w:t>Gedeptin</w:t>
      </w:r>
      <w:proofErr w:type="spellEnd"/>
      <w:r w:rsidRPr="00246876">
        <w:t xml:space="preserve">, costs of manufacturing materials for use in our clinical trials, </w:t>
      </w:r>
      <w:r w:rsidR="00703CA8">
        <w:t xml:space="preserve">technology license fees, costs of preclinical research activities </w:t>
      </w:r>
      <w:r w:rsidRPr="00246876">
        <w:t xml:space="preserve">and </w:t>
      </w:r>
      <w:r w:rsidR="00703CA8">
        <w:t>higher travel costs</w:t>
      </w:r>
      <w:r w:rsidRPr="00246876">
        <w:t xml:space="preserve">. Research and development </w:t>
      </w:r>
      <w:proofErr w:type="gramStart"/>
      <w:r w:rsidRPr="00246876">
        <w:t>expense</w:t>
      </w:r>
      <w:proofErr w:type="gramEnd"/>
      <w:r w:rsidRPr="00246876">
        <w:t xml:space="preserve"> for the three-month and six-month periods of 202</w:t>
      </w:r>
      <w:r>
        <w:t>3</w:t>
      </w:r>
      <w:r w:rsidRPr="00246876">
        <w:t xml:space="preserve"> included stock-based compensation expense of $</w:t>
      </w:r>
      <w:r w:rsidR="0016519B">
        <w:t>76,770</w:t>
      </w:r>
      <w:r w:rsidRPr="00246876">
        <w:t xml:space="preserve"> and $</w:t>
      </w:r>
      <w:r w:rsidR="0016519B">
        <w:t>154,643</w:t>
      </w:r>
      <w:r w:rsidRPr="00246876">
        <w:t>, respectively; as compared to $</w:t>
      </w:r>
      <w:r>
        <w:t>54,293</w:t>
      </w:r>
      <w:r w:rsidRPr="00246876">
        <w:t xml:space="preserve"> and $</w:t>
      </w:r>
      <w:r>
        <w:t>108,585</w:t>
      </w:r>
      <w:r w:rsidRPr="00246876">
        <w:t>, respectively, for the comparable 202</w:t>
      </w:r>
      <w:r>
        <w:t>2</w:t>
      </w:r>
      <w:r w:rsidRPr="00246876">
        <w:t xml:space="preserve"> periods. </w:t>
      </w:r>
    </w:p>
    <w:p w14:paraId="433017B8" w14:textId="77777777" w:rsidR="00246876" w:rsidRDefault="00246876" w:rsidP="00177E79"/>
    <w:p w14:paraId="13F00CA6" w14:textId="7D1EF249" w:rsidR="00177E79" w:rsidRPr="0009354D" w:rsidRDefault="00177E79" w:rsidP="00177E79">
      <w:pPr>
        <w:rPr>
          <w:i/>
          <w:iCs/>
        </w:rPr>
      </w:pPr>
      <w:r w:rsidRPr="0009354D">
        <w:rPr>
          <w:i/>
          <w:iCs/>
        </w:rPr>
        <w:t>General and Administrative Expenses</w:t>
      </w:r>
    </w:p>
    <w:p w14:paraId="3FD4DAC0" w14:textId="77777777" w:rsidR="00177E79" w:rsidRDefault="00177E79" w:rsidP="00177E79">
      <w:pPr>
        <w:rPr>
          <w:i/>
          <w:iCs/>
        </w:rPr>
      </w:pPr>
    </w:p>
    <w:p w14:paraId="2C991279" w14:textId="52203B10" w:rsidR="00246876" w:rsidRDefault="00246876" w:rsidP="00246876">
      <w:bookmarkStart w:id="22" w:name="_Hlk108707578"/>
      <w:r w:rsidRPr="0009354D">
        <w:t>For the three-month and six-month periods ending June 30, 202</w:t>
      </w:r>
      <w:bookmarkEnd w:id="22"/>
      <w:r>
        <w:t>3</w:t>
      </w:r>
      <w:r w:rsidRPr="0009354D">
        <w:t>, general and administrative expenses increased by $</w:t>
      </w:r>
      <w:r w:rsidR="00272BE3">
        <w:t>523,782</w:t>
      </w:r>
      <w:r w:rsidRPr="0009354D">
        <w:t xml:space="preserve"> (</w:t>
      </w:r>
      <w:r w:rsidR="00272BE3">
        <w:t>56</w:t>
      </w:r>
      <w:r w:rsidRPr="0009354D">
        <w:t>%) and $</w:t>
      </w:r>
      <w:r w:rsidR="00272BE3">
        <w:t>796,183</w:t>
      </w:r>
      <w:r w:rsidRPr="0009354D">
        <w:t xml:space="preserve"> (</w:t>
      </w:r>
      <w:r w:rsidR="00272BE3">
        <w:t>38</w:t>
      </w:r>
      <w:r w:rsidRPr="0009354D">
        <w:t>%), respectively</w:t>
      </w:r>
      <w:r>
        <w:t>, versus the comparable 2022 periods.</w:t>
      </w:r>
      <w:r w:rsidRPr="0009354D">
        <w:t xml:space="preserve"> </w:t>
      </w:r>
      <w:r>
        <w:t xml:space="preserve">The overall increase during the 2023 </w:t>
      </w:r>
      <w:proofErr w:type="gramStart"/>
      <w:r>
        <w:t>periods</w:t>
      </w:r>
      <w:proofErr w:type="gramEnd"/>
      <w:r>
        <w:t xml:space="preserve"> relates primarily to higher personnel costs, investor relations consulting costs, patent costs and travel expenses.</w:t>
      </w:r>
      <w:r w:rsidRPr="006B0127">
        <w:t xml:space="preserve"> </w:t>
      </w:r>
      <w:r w:rsidRPr="0009354D">
        <w:t xml:space="preserve">General and administrative </w:t>
      </w:r>
      <w:proofErr w:type="gramStart"/>
      <w:r w:rsidRPr="0009354D">
        <w:t>expense</w:t>
      </w:r>
      <w:proofErr w:type="gramEnd"/>
      <w:r w:rsidRPr="0009354D">
        <w:t xml:space="preserve"> for the three-month and six-month periods of 202</w:t>
      </w:r>
      <w:r>
        <w:t>3</w:t>
      </w:r>
      <w:r w:rsidRPr="0009354D">
        <w:t xml:space="preserve"> included stock-based compensation expense of $</w:t>
      </w:r>
      <w:r w:rsidR="00A2738E">
        <w:t>192,743</w:t>
      </w:r>
      <w:r w:rsidRPr="0009354D">
        <w:t xml:space="preserve"> and $</w:t>
      </w:r>
      <w:r w:rsidR="00A2738E">
        <w:t>360,90</w:t>
      </w:r>
      <w:r w:rsidR="007814FB">
        <w:t>9</w:t>
      </w:r>
      <w:r w:rsidRPr="0009354D">
        <w:t>, respectively; as compared to $</w:t>
      </w:r>
      <w:r>
        <w:t>152,885</w:t>
      </w:r>
      <w:r w:rsidRPr="0009354D">
        <w:t xml:space="preserve"> and $</w:t>
      </w:r>
      <w:r>
        <w:t>303,744</w:t>
      </w:r>
      <w:r w:rsidRPr="0009354D">
        <w:t>, respectively, for the comparable periods of 202</w:t>
      </w:r>
      <w:r>
        <w:t>2</w:t>
      </w:r>
      <w:r w:rsidRPr="0009354D">
        <w:t>.</w:t>
      </w:r>
    </w:p>
    <w:p w14:paraId="651228BA" w14:textId="77777777" w:rsidR="00945DB9" w:rsidRPr="0009354D" w:rsidRDefault="00945DB9" w:rsidP="00177E79">
      <w:pPr>
        <w:rPr>
          <w:color w:val="000000"/>
        </w:rPr>
      </w:pPr>
    </w:p>
    <w:p w14:paraId="00E3DE76" w14:textId="2B35FF59" w:rsidR="00177E79" w:rsidRPr="0009354D" w:rsidRDefault="00177E79" w:rsidP="00177E79">
      <w:pPr>
        <w:rPr>
          <w:i/>
          <w:iCs/>
        </w:rPr>
      </w:pPr>
      <w:r w:rsidRPr="0009354D">
        <w:rPr>
          <w:i/>
          <w:iCs/>
        </w:rPr>
        <w:t>Other Income</w:t>
      </w:r>
    </w:p>
    <w:p w14:paraId="40DA0665" w14:textId="04ED979B" w:rsidR="00177E79" w:rsidRDefault="00177E79" w:rsidP="00177E79"/>
    <w:p w14:paraId="12E55A47" w14:textId="0FC60723" w:rsidR="00177E79" w:rsidRDefault="00246876" w:rsidP="00246876">
      <w:pPr>
        <w:pStyle w:val="BodyText"/>
        <w:spacing w:after="0"/>
      </w:pPr>
      <w:r w:rsidRPr="00246876">
        <w:t xml:space="preserve">Interest income for the three-month and six-month periods ended June 30, </w:t>
      </w:r>
      <w:proofErr w:type="gramStart"/>
      <w:r w:rsidRPr="00246876">
        <w:t>202</w:t>
      </w:r>
      <w:r>
        <w:t>3</w:t>
      </w:r>
      <w:proofErr w:type="gramEnd"/>
      <w:r w:rsidRPr="00246876">
        <w:t xml:space="preserve"> was $</w:t>
      </w:r>
      <w:r w:rsidR="00A2738E">
        <w:t>251,201</w:t>
      </w:r>
      <w:r w:rsidRPr="00246876">
        <w:t xml:space="preserve"> and $</w:t>
      </w:r>
      <w:r w:rsidR="00A2738E">
        <w:t>483,899</w:t>
      </w:r>
      <w:r w:rsidRPr="00246876">
        <w:t>, respectively, as compared to $</w:t>
      </w:r>
      <w:r>
        <w:t>789</w:t>
      </w:r>
      <w:r w:rsidRPr="00246876">
        <w:t xml:space="preserve"> and $</w:t>
      </w:r>
      <w:r>
        <w:t>1,316</w:t>
      </w:r>
      <w:r w:rsidRPr="00246876">
        <w:t>, respectively, for comparable periods of 202</w:t>
      </w:r>
      <w:r>
        <w:t>2</w:t>
      </w:r>
      <w:r w:rsidRPr="00246876">
        <w:t xml:space="preserve">. The variances between periods are primarily attributable to cash available for investment and </w:t>
      </w:r>
      <w:r w:rsidR="007814FB">
        <w:t>higher i</w:t>
      </w:r>
      <w:r w:rsidRPr="00246876">
        <w:t>nterest rat</w:t>
      </w:r>
      <w:r w:rsidR="007814FB">
        <w:t>es</w:t>
      </w:r>
      <w:r w:rsidRPr="00246876">
        <w:t xml:space="preserve">. </w:t>
      </w:r>
    </w:p>
    <w:p w14:paraId="692D7E66" w14:textId="77777777" w:rsidR="00246876" w:rsidRPr="0009354D" w:rsidRDefault="00246876" w:rsidP="00246876">
      <w:pPr>
        <w:pStyle w:val="BodyText"/>
        <w:spacing w:after="0"/>
      </w:pPr>
    </w:p>
    <w:p w14:paraId="03C5151D" w14:textId="77777777" w:rsidR="00177E79" w:rsidRPr="0009354D" w:rsidRDefault="00177E79" w:rsidP="00177E79">
      <w:pPr>
        <w:rPr>
          <w:rFonts w:eastAsia="????"/>
          <w:b/>
        </w:rPr>
      </w:pPr>
      <w:r w:rsidRPr="00F442E3">
        <w:rPr>
          <w:rFonts w:eastAsia="????"/>
          <w:b/>
        </w:rPr>
        <w:lastRenderedPageBreak/>
        <w:t>Liquidity and Capital Resources</w:t>
      </w:r>
    </w:p>
    <w:p w14:paraId="413CD1FC" w14:textId="77777777" w:rsidR="00177E79" w:rsidRPr="0009354D" w:rsidRDefault="00177E79" w:rsidP="00177E79"/>
    <w:p w14:paraId="55508F55" w14:textId="18BBBB1B" w:rsidR="00177E79" w:rsidRPr="0009354D" w:rsidRDefault="00177E79" w:rsidP="00177E79">
      <w:r w:rsidRPr="0009354D">
        <w:t xml:space="preserve">The following tables summarize our liquidity and capital resources as of </w:t>
      </w:r>
      <w:r w:rsidR="00246876">
        <w:t>June</w:t>
      </w:r>
      <w:r w:rsidRPr="0009354D">
        <w:t xml:space="preserve"> 3</w:t>
      </w:r>
      <w:r w:rsidR="00246876">
        <w:t>0</w:t>
      </w:r>
      <w:r w:rsidR="00224660">
        <w:t>,</w:t>
      </w:r>
      <w:r w:rsidRPr="0009354D">
        <w:t xml:space="preserve"> </w:t>
      </w:r>
      <w:proofErr w:type="gramStart"/>
      <w:r w:rsidRPr="0009354D">
        <w:t>202</w:t>
      </w:r>
      <w:r w:rsidR="00F442E3">
        <w:t>3</w:t>
      </w:r>
      <w:proofErr w:type="gramEnd"/>
      <w:r w:rsidRPr="0009354D">
        <w:t xml:space="preserve"> and December 31, 202</w:t>
      </w:r>
      <w:r w:rsidR="00F442E3">
        <w:t>2</w:t>
      </w:r>
      <w:r w:rsidRPr="0009354D">
        <w:t xml:space="preserve">, and our cash flows for the </w:t>
      </w:r>
      <w:r w:rsidR="00246876">
        <w:t>six</w:t>
      </w:r>
      <w:r w:rsidRPr="0009354D">
        <w:t xml:space="preserve">-month periods ended </w:t>
      </w:r>
      <w:r w:rsidR="00246876">
        <w:t>June</w:t>
      </w:r>
      <w:r w:rsidRPr="0009354D">
        <w:t xml:space="preserve"> 3</w:t>
      </w:r>
      <w:r w:rsidR="00246876">
        <w:t>0</w:t>
      </w:r>
      <w:r w:rsidRPr="0009354D">
        <w:t>, 202</w:t>
      </w:r>
      <w:r w:rsidR="00F442E3">
        <w:t>3</w:t>
      </w:r>
      <w:r w:rsidRPr="0009354D">
        <w:t xml:space="preserve"> and 202</w:t>
      </w:r>
      <w:r w:rsidR="00F442E3">
        <w:t>2</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281B8B59" w:rsidR="00177E79" w:rsidRPr="0009354D" w:rsidRDefault="00246876" w:rsidP="002741E2">
            <w:pPr>
              <w:tabs>
                <w:tab w:val="right" w:pos="9180"/>
              </w:tabs>
              <w:ind w:right="-18"/>
              <w:jc w:val="center"/>
            </w:pPr>
            <w:r>
              <w:t>June</w:t>
            </w:r>
            <w:r w:rsidR="00177E79" w:rsidRPr="0009354D">
              <w:t xml:space="preserve"> 3</w:t>
            </w:r>
            <w:r>
              <w:t>0</w:t>
            </w:r>
            <w:r w:rsidR="00177E79" w:rsidRPr="0009354D">
              <w:t>, 202</w:t>
            </w:r>
            <w:r w:rsidR="00F442E3">
              <w:t>3</w:t>
            </w:r>
          </w:p>
        </w:tc>
        <w:tc>
          <w:tcPr>
            <w:tcW w:w="1836" w:type="dxa"/>
            <w:tcBorders>
              <w:bottom w:val="single" w:sz="4" w:space="0" w:color="auto"/>
            </w:tcBorders>
          </w:tcPr>
          <w:p w14:paraId="5B34068E" w14:textId="435E9690" w:rsidR="00177E79" w:rsidRPr="0009354D" w:rsidRDefault="00177E79" w:rsidP="002741E2">
            <w:pPr>
              <w:tabs>
                <w:tab w:val="right" w:pos="9180"/>
              </w:tabs>
              <w:ind w:right="-18"/>
              <w:jc w:val="center"/>
            </w:pPr>
            <w:r w:rsidRPr="0009354D">
              <w:t>December 31, 202</w:t>
            </w:r>
            <w:r w:rsidR="00F442E3">
              <w:t>2</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23F6DFF8" w:rsidR="00177E79" w:rsidRPr="0009354D" w:rsidRDefault="00177E79" w:rsidP="002741E2">
            <w:pPr>
              <w:tabs>
                <w:tab w:val="decimal" w:pos="1317"/>
                <w:tab w:val="right" w:pos="9180"/>
              </w:tabs>
              <w:ind w:right="-18"/>
            </w:pPr>
            <w:r w:rsidRPr="0009354D">
              <w:t>$</w:t>
            </w:r>
            <w:r w:rsidRPr="0009354D">
              <w:tab/>
            </w:r>
            <w:r w:rsidR="00A2738E">
              <w:t>17,788,911</w:t>
            </w:r>
          </w:p>
        </w:tc>
        <w:tc>
          <w:tcPr>
            <w:tcW w:w="1836" w:type="dxa"/>
            <w:tcBorders>
              <w:top w:val="single" w:sz="4" w:space="0" w:color="auto"/>
            </w:tcBorders>
          </w:tcPr>
          <w:p w14:paraId="0FB9A5CC" w14:textId="7227C32C" w:rsidR="00177E79" w:rsidRPr="0009354D" w:rsidRDefault="00177E79" w:rsidP="002741E2">
            <w:pPr>
              <w:tabs>
                <w:tab w:val="decimal" w:pos="1545"/>
                <w:tab w:val="right" w:pos="9180"/>
              </w:tabs>
              <w:ind w:right="-18"/>
            </w:pPr>
            <w:r w:rsidRPr="0009354D">
              <w:t>$</w:t>
            </w:r>
            <w:r w:rsidRPr="0009354D">
              <w:tab/>
            </w:r>
            <w:r w:rsidR="00F442E3">
              <w:t>27,612,732</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2942E402" w:rsidR="00177E79" w:rsidRPr="0009354D" w:rsidRDefault="00177E79" w:rsidP="002741E2">
            <w:pPr>
              <w:tabs>
                <w:tab w:val="decimal" w:pos="1317"/>
                <w:tab w:val="right" w:pos="9180"/>
              </w:tabs>
              <w:ind w:right="-18"/>
            </w:pPr>
            <w:r w:rsidRPr="0009354D">
              <w:tab/>
            </w:r>
            <w:r w:rsidR="00A2738E">
              <w:t>15,7</w:t>
            </w:r>
            <w:r w:rsidR="001115AD">
              <w:t>41,682</w:t>
            </w:r>
          </w:p>
        </w:tc>
        <w:tc>
          <w:tcPr>
            <w:tcW w:w="1836" w:type="dxa"/>
          </w:tcPr>
          <w:p w14:paraId="576472BB" w14:textId="30054738" w:rsidR="00177E79" w:rsidRPr="0009354D" w:rsidRDefault="00177E79" w:rsidP="002741E2">
            <w:pPr>
              <w:tabs>
                <w:tab w:val="decimal" w:pos="1545"/>
                <w:tab w:val="right" w:pos="9180"/>
              </w:tabs>
              <w:ind w:right="-18"/>
            </w:pPr>
            <w:r w:rsidRPr="0009354D">
              <w:tab/>
            </w:r>
            <w:r w:rsidR="00F442E3">
              <w:t>24,190,836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575DBF43" w:rsidR="00177E79" w:rsidRPr="0009354D" w:rsidRDefault="00246876" w:rsidP="002741E2">
            <w:pPr>
              <w:tabs>
                <w:tab w:val="right" w:pos="9180"/>
              </w:tabs>
              <w:ind w:right="-18"/>
              <w:jc w:val="center"/>
            </w:pPr>
            <w:r>
              <w:t>Six</w:t>
            </w:r>
            <w:r w:rsidR="00177E79" w:rsidRPr="0009354D">
              <w:t xml:space="preserve"> Months Ended </w:t>
            </w:r>
            <w:r>
              <w:t>June</w:t>
            </w:r>
            <w:r w:rsidR="00177E79" w:rsidRPr="0009354D">
              <w:t xml:space="preserve"> 3</w:t>
            </w:r>
            <w:r>
              <w:t>0</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415496FD" w:rsidR="00177E79" w:rsidRPr="0009354D" w:rsidRDefault="00177E79" w:rsidP="002741E2">
            <w:pPr>
              <w:tabs>
                <w:tab w:val="right" w:pos="9180"/>
              </w:tabs>
              <w:ind w:right="-18"/>
              <w:jc w:val="center"/>
            </w:pPr>
            <w:r w:rsidRPr="0009354D">
              <w:t>202</w:t>
            </w:r>
            <w:r w:rsidR="00F442E3">
              <w:t>3</w:t>
            </w:r>
          </w:p>
        </w:tc>
        <w:tc>
          <w:tcPr>
            <w:tcW w:w="1836" w:type="dxa"/>
            <w:tcBorders>
              <w:bottom w:val="single" w:sz="4" w:space="0" w:color="auto"/>
            </w:tcBorders>
          </w:tcPr>
          <w:p w14:paraId="2601B8AD" w14:textId="2BE27DFF" w:rsidR="00177E79" w:rsidRPr="0009354D" w:rsidRDefault="00177E79" w:rsidP="002741E2">
            <w:pPr>
              <w:tabs>
                <w:tab w:val="right" w:pos="9180"/>
              </w:tabs>
              <w:ind w:right="-18"/>
              <w:jc w:val="center"/>
            </w:pPr>
            <w:r w:rsidRPr="0009354D">
              <w:t>202</w:t>
            </w:r>
            <w:r w:rsidR="00F442E3">
              <w:t>2</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1F41665A" w:rsidR="00177E79" w:rsidRPr="0009354D" w:rsidRDefault="00177E79" w:rsidP="002741E2">
            <w:pPr>
              <w:tabs>
                <w:tab w:val="decimal" w:pos="1317"/>
                <w:tab w:val="right" w:pos="9180"/>
              </w:tabs>
              <w:ind w:right="-18"/>
            </w:pPr>
            <w:r w:rsidRPr="0009354D">
              <w:t>$</w:t>
            </w:r>
            <w:r w:rsidRPr="0009354D">
              <w:tab/>
            </w:r>
            <w:r w:rsidR="00222DA3">
              <w:t>(9,800,016)</w:t>
            </w:r>
          </w:p>
        </w:tc>
        <w:tc>
          <w:tcPr>
            <w:tcW w:w="1836" w:type="dxa"/>
          </w:tcPr>
          <w:p w14:paraId="76A4A0E2" w14:textId="1345EE7F" w:rsidR="00177E79" w:rsidRPr="0009354D" w:rsidRDefault="00177E79" w:rsidP="002741E2">
            <w:pPr>
              <w:tabs>
                <w:tab w:val="decimal" w:pos="1545"/>
                <w:tab w:val="right" w:pos="9180"/>
              </w:tabs>
              <w:ind w:right="-18"/>
            </w:pPr>
            <w:r w:rsidRPr="0009354D">
              <w:t>$</w:t>
            </w:r>
            <w:r w:rsidRPr="0009354D">
              <w:tab/>
            </w:r>
            <w:r w:rsidR="00E13787">
              <w:t>(</w:t>
            </w:r>
            <w:r w:rsidR="00246876">
              <w:t>8,166,818</w:t>
            </w:r>
            <w:r w:rsidR="00E13787">
              <w:t>)</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702B5042" w:rsidR="00177E79" w:rsidRPr="0009354D" w:rsidRDefault="00177E79" w:rsidP="002741E2">
            <w:pPr>
              <w:tabs>
                <w:tab w:val="decimal" w:pos="1317"/>
                <w:tab w:val="right" w:pos="9180"/>
              </w:tabs>
              <w:ind w:right="-18"/>
            </w:pPr>
            <w:r w:rsidRPr="0009354D">
              <w:tab/>
            </w:r>
            <w:r w:rsidR="00222DA3">
              <w:t>(23,805)</w:t>
            </w:r>
          </w:p>
        </w:tc>
        <w:tc>
          <w:tcPr>
            <w:tcW w:w="1836" w:type="dxa"/>
          </w:tcPr>
          <w:p w14:paraId="437564D6" w14:textId="246A43EB" w:rsidR="00177E79" w:rsidRPr="0009354D" w:rsidRDefault="00177E79" w:rsidP="002741E2">
            <w:pPr>
              <w:tabs>
                <w:tab w:val="decimal" w:pos="1545"/>
                <w:tab w:val="right" w:pos="9180"/>
              </w:tabs>
              <w:ind w:right="-18"/>
            </w:pPr>
            <w:r w:rsidRPr="0009354D">
              <w:tab/>
            </w:r>
            <w:r w:rsidR="00F442E3">
              <w:t>(</w:t>
            </w:r>
            <w:r w:rsidR="00246876">
              <w:t>82,383</w:t>
            </w:r>
            <w:r w:rsidR="00F442E3">
              <w:t>)</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48B2D5C2" w:rsidR="00177E79" w:rsidRPr="0009354D" w:rsidRDefault="00177E79" w:rsidP="002741E2">
            <w:pPr>
              <w:tabs>
                <w:tab w:val="decimal" w:pos="1317"/>
                <w:tab w:val="right" w:pos="9180"/>
              </w:tabs>
              <w:ind w:right="-18"/>
            </w:pPr>
            <w:r w:rsidRPr="0009354D">
              <w:tab/>
            </w:r>
            <w:r w:rsidR="00222DA3">
              <w:t>-</w:t>
            </w:r>
          </w:p>
        </w:tc>
        <w:tc>
          <w:tcPr>
            <w:tcW w:w="1836" w:type="dxa"/>
            <w:tcBorders>
              <w:bottom w:val="single" w:sz="4" w:space="0" w:color="auto"/>
            </w:tcBorders>
          </w:tcPr>
          <w:p w14:paraId="65A9E051" w14:textId="5304CACF" w:rsidR="00177E79" w:rsidRPr="0009354D" w:rsidRDefault="00177E79" w:rsidP="002741E2">
            <w:pPr>
              <w:tabs>
                <w:tab w:val="decimal" w:pos="1545"/>
                <w:tab w:val="right" w:pos="9180"/>
              </w:tabs>
              <w:ind w:right="-18"/>
            </w:pPr>
            <w:r w:rsidRPr="0009354D">
              <w:tab/>
            </w:r>
            <w:r w:rsidR="00246876">
              <w:t>27,727,785</w:t>
            </w:r>
          </w:p>
        </w:tc>
      </w:tr>
      <w:tr w:rsidR="00222DA3" w:rsidRPr="0009354D" w14:paraId="3D289392" w14:textId="77777777" w:rsidTr="00DA4B45">
        <w:tc>
          <w:tcPr>
            <w:tcW w:w="4878" w:type="dxa"/>
            <w:gridSpan w:val="2"/>
          </w:tcPr>
          <w:p w14:paraId="5D3F63EE" w14:textId="41332E78" w:rsidR="00222DA3" w:rsidRPr="0009354D" w:rsidRDefault="00222DA3" w:rsidP="002741E2">
            <w:pPr>
              <w:tabs>
                <w:tab w:val="decimal" w:pos="1044"/>
                <w:tab w:val="right" w:pos="9180"/>
              </w:tabs>
              <w:ind w:right="-18"/>
            </w:pPr>
            <w:r w:rsidRPr="0009354D">
              <w:t>Net increase</w:t>
            </w:r>
            <w:r>
              <w:t xml:space="preserve"> (decrease)</w:t>
            </w:r>
            <w:r w:rsidRPr="0009354D">
              <w:t xml:space="preserve"> in cash and cash equivalents</w:t>
            </w:r>
          </w:p>
        </w:tc>
        <w:tc>
          <w:tcPr>
            <w:tcW w:w="1836" w:type="dxa"/>
            <w:tcBorders>
              <w:top w:val="single" w:sz="4" w:space="0" w:color="auto"/>
              <w:bottom w:val="double" w:sz="4" w:space="0" w:color="auto"/>
            </w:tcBorders>
          </w:tcPr>
          <w:p w14:paraId="63E9809E" w14:textId="728C5DF9" w:rsidR="00222DA3" w:rsidRPr="0009354D" w:rsidRDefault="00222DA3" w:rsidP="002741E2">
            <w:pPr>
              <w:tabs>
                <w:tab w:val="decimal" w:pos="1317"/>
                <w:tab w:val="right" w:pos="9180"/>
              </w:tabs>
              <w:ind w:right="-18"/>
            </w:pPr>
            <w:r w:rsidRPr="0009354D">
              <w:t>$</w:t>
            </w:r>
            <w:r w:rsidRPr="0009354D">
              <w:tab/>
            </w:r>
            <w:r>
              <w:t>(9,823,821)</w:t>
            </w:r>
          </w:p>
        </w:tc>
        <w:tc>
          <w:tcPr>
            <w:tcW w:w="1836" w:type="dxa"/>
            <w:tcBorders>
              <w:top w:val="single" w:sz="4" w:space="0" w:color="auto"/>
              <w:bottom w:val="double" w:sz="4" w:space="0" w:color="auto"/>
            </w:tcBorders>
          </w:tcPr>
          <w:p w14:paraId="0FF82177" w14:textId="3EF5B83F" w:rsidR="00222DA3" w:rsidRPr="0009354D" w:rsidRDefault="00222DA3" w:rsidP="002741E2">
            <w:pPr>
              <w:tabs>
                <w:tab w:val="decimal" w:pos="1545"/>
                <w:tab w:val="right" w:pos="9180"/>
              </w:tabs>
              <w:ind w:right="-18"/>
            </w:pPr>
            <w:r w:rsidRPr="0009354D">
              <w:t>$</w:t>
            </w:r>
            <w:r w:rsidRPr="0009354D">
              <w:tab/>
            </w:r>
            <w:r>
              <w:t>19,478,584</w:t>
            </w:r>
          </w:p>
        </w:tc>
      </w:tr>
    </w:tbl>
    <w:p w14:paraId="58B20A80" w14:textId="77777777" w:rsidR="00177E79" w:rsidRPr="0009354D" w:rsidRDefault="00177E79" w:rsidP="00177E79"/>
    <w:p w14:paraId="5F6AE604" w14:textId="7FF260CE" w:rsidR="002F42A3" w:rsidRDefault="00177E79" w:rsidP="00177E79">
      <w:r w:rsidRPr="0009354D">
        <w:rPr>
          <w:i/>
          <w:iCs/>
        </w:rPr>
        <w:t>Operating Activities</w:t>
      </w:r>
      <w:r w:rsidRPr="0009354D">
        <w:t xml:space="preserve"> – </w:t>
      </w:r>
      <w:r w:rsidR="002F42A3" w:rsidRPr="002F42A3">
        <w:t>Net cash used in operating activities of $</w:t>
      </w:r>
      <w:r w:rsidR="00222DA3">
        <w:t>9,800,016</w:t>
      </w:r>
      <w:r w:rsidR="002F42A3" w:rsidRPr="002F42A3">
        <w:t xml:space="preserve"> for the six months ended June 30, 202</w:t>
      </w:r>
      <w:r w:rsidR="002F42A3">
        <w:t>3</w:t>
      </w:r>
      <w:r w:rsidR="002F42A3" w:rsidRPr="002F42A3">
        <w:t>, was primarily due to our net loss of $</w:t>
      </w:r>
      <w:r w:rsidR="00222DA3">
        <w:t>9,9</w:t>
      </w:r>
      <w:r w:rsidR="001115AD">
        <w:t>65,536</w:t>
      </w:r>
      <w:r w:rsidR="002F42A3" w:rsidRPr="002F42A3">
        <w:t xml:space="preserve">, </w:t>
      </w:r>
      <w:r w:rsidR="009B0697">
        <w:t>offset</w:t>
      </w:r>
      <w:r w:rsidR="002F42A3" w:rsidRPr="002F42A3">
        <w:t xml:space="preserve"> by non-cash items such as depreciation expense and stock-based compensation expense, and by changes in our working capital accounts. Net cash used in operating activities of $</w:t>
      </w:r>
      <w:r w:rsidR="002F42A3">
        <w:t>8,166,818</w:t>
      </w:r>
      <w:r w:rsidR="002F42A3" w:rsidRPr="002F42A3">
        <w:t xml:space="preserve"> for the six months ended June 30, 202</w:t>
      </w:r>
      <w:r w:rsidR="002F42A3">
        <w:t>2</w:t>
      </w:r>
      <w:r w:rsidR="002F42A3" w:rsidRPr="002F42A3">
        <w:t>, was primarily due to our net loss of $</w:t>
      </w:r>
      <w:r w:rsidR="002F42A3">
        <w:t>4,669,214</w:t>
      </w:r>
      <w:r w:rsidR="002F42A3" w:rsidRPr="002F42A3">
        <w:t xml:space="preserve">, also </w:t>
      </w:r>
      <w:r w:rsidR="009B0697">
        <w:t>offset</w:t>
      </w:r>
      <w:r w:rsidR="002F42A3" w:rsidRPr="002F42A3">
        <w:t xml:space="preserve"> by non-cash charges such as depreciation and stock-based compensation expense, and by changes in our working capital accounts</w:t>
      </w:r>
      <w:r w:rsidR="009B0697">
        <w:t>.</w:t>
      </w:r>
    </w:p>
    <w:p w14:paraId="2E257523" w14:textId="77777777" w:rsidR="002F42A3" w:rsidRPr="0009354D" w:rsidRDefault="002F42A3" w:rsidP="00177E79"/>
    <w:p w14:paraId="3B77C8D2" w14:textId="525E2DCF" w:rsidR="009B0697" w:rsidRDefault="00177E79" w:rsidP="00177E79">
      <w:r w:rsidRPr="0009354D">
        <w:rPr>
          <w:i/>
          <w:iCs/>
        </w:rPr>
        <w:t>Investing Activities</w:t>
      </w:r>
      <w:r w:rsidRPr="0009354D">
        <w:t xml:space="preserve"> –</w:t>
      </w:r>
      <w:r w:rsidR="009B0697">
        <w:t xml:space="preserve"> </w:t>
      </w:r>
      <w:r w:rsidR="009B0697" w:rsidRPr="009B0697">
        <w:t>Net cash used in investing activities was $</w:t>
      </w:r>
      <w:r w:rsidR="00222DA3">
        <w:t>23,805</w:t>
      </w:r>
      <w:r w:rsidR="009B0697" w:rsidRPr="009B0697">
        <w:t xml:space="preserve"> and $</w:t>
      </w:r>
      <w:r w:rsidR="009B0697">
        <w:t>82,383</w:t>
      </w:r>
      <w:r w:rsidR="009B0697" w:rsidRPr="009B0697">
        <w:t xml:space="preserve"> for the six-month periods ended June 30, </w:t>
      </w:r>
      <w:proofErr w:type="gramStart"/>
      <w:r w:rsidR="009B0697" w:rsidRPr="009B0697">
        <w:t>202</w:t>
      </w:r>
      <w:r w:rsidR="009B0697">
        <w:t>3</w:t>
      </w:r>
      <w:proofErr w:type="gramEnd"/>
      <w:r w:rsidR="009B0697" w:rsidRPr="009B0697">
        <w:t xml:space="preserve"> and 202</w:t>
      </w:r>
      <w:r w:rsidR="009B0697">
        <w:t>2</w:t>
      </w:r>
      <w:r w:rsidR="009B0697" w:rsidRPr="009B0697">
        <w:t>, respectively, and relates primarily to purchases of laboratory equipment</w:t>
      </w:r>
    </w:p>
    <w:p w14:paraId="63E0CE9E" w14:textId="77777777" w:rsidR="009B0697" w:rsidRPr="0009354D" w:rsidRDefault="009B0697" w:rsidP="00177E79"/>
    <w:p w14:paraId="57A8DA01" w14:textId="02103A37" w:rsidR="00177E79" w:rsidRPr="00A57C79" w:rsidRDefault="00177E79" w:rsidP="00177E79">
      <w:r w:rsidRPr="0009354D">
        <w:rPr>
          <w:i/>
          <w:iCs/>
        </w:rPr>
        <w:t>Financing Activities</w:t>
      </w:r>
      <w:r w:rsidRPr="0009354D">
        <w:t xml:space="preserve"> – </w:t>
      </w:r>
      <w:bookmarkStart w:id="23" w:name="_Hlk98343180"/>
      <w:r w:rsidR="00A8079E" w:rsidRPr="0009354D">
        <w:t xml:space="preserve">Net cash </w:t>
      </w:r>
      <w:r w:rsidR="00A8079E">
        <w:t>provided by financing</w:t>
      </w:r>
      <w:r w:rsidR="00A8079E" w:rsidRPr="0009354D">
        <w:t xml:space="preserve"> activities was</w:t>
      </w:r>
      <w:r w:rsidR="00A8079E">
        <w:t xml:space="preserve"> $-0- and</w:t>
      </w:r>
      <w:r w:rsidR="00A8079E" w:rsidRPr="0009354D">
        <w:t xml:space="preserve"> $</w:t>
      </w:r>
      <w:r w:rsidR="009B0697">
        <w:t>27,727,785</w:t>
      </w:r>
      <w:r w:rsidR="00A8079E">
        <w:t xml:space="preserve"> </w:t>
      </w:r>
      <w:r w:rsidR="00A8079E" w:rsidRPr="0009354D">
        <w:t xml:space="preserve">for the </w:t>
      </w:r>
      <w:r w:rsidR="001162A8">
        <w:t>six</w:t>
      </w:r>
      <w:r w:rsidR="00A8079E" w:rsidRPr="0009354D">
        <w:t>-month period</w:t>
      </w:r>
      <w:r w:rsidR="00A8079E">
        <w:t>s</w:t>
      </w:r>
      <w:r w:rsidR="00A8079E" w:rsidRPr="0009354D">
        <w:t xml:space="preserve"> ended </w:t>
      </w:r>
      <w:r w:rsidR="001162A8">
        <w:t>June</w:t>
      </w:r>
      <w:r w:rsidR="00A8079E" w:rsidRPr="0009354D">
        <w:t> 3</w:t>
      </w:r>
      <w:r w:rsidR="001162A8">
        <w:t>0</w:t>
      </w:r>
      <w:r w:rsidR="00A8079E" w:rsidRPr="0009354D">
        <w:t xml:space="preserve">, </w:t>
      </w:r>
      <w:proofErr w:type="gramStart"/>
      <w:r w:rsidR="00A8079E" w:rsidRPr="0009354D">
        <w:t>202</w:t>
      </w:r>
      <w:r w:rsidR="00A8079E">
        <w:t>3</w:t>
      </w:r>
      <w:proofErr w:type="gramEnd"/>
      <w:r w:rsidR="00A8079E">
        <w:t xml:space="preserve"> and 2022, respectively. </w:t>
      </w:r>
      <w:r w:rsidR="00A8079E" w:rsidRPr="0009354D">
        <w:t xml:space="preserve"> </w:t>
      </w:r>
      <w:bookmarkStart w:id="24" w:name="_Hlk132362816"/>
      <w:r w:rsidRPr="0009354D">
        <w:t xml:space="preserve">Net cash provided by financing activities for the </w:t>
      </w:r>
      <w:r w:rsidR="00A8079E">
        <w:t>2022</w:t>
      </w:r>
      <w:r w:rsidRPr="0009354D">
        <w:t xml:space="preserve"> period </w:t>
      </w:r>
      <w:bookmarkEnd w:id="24"/>
      <w:r w:rsidR="00A8079E">
        <w:t xml:space="preserve">relates primarily to </w:t>
      </w:r>
      <w:r w:rsidRPr="0009354D">
        <w:t xml:space="preserve">net proceeds from </w:t>
      </w:r>
      <w:r w:rsidR="00A8079E">
        <w:t>offering</w:t>
      </w:r>
      <w:r w:rsidR="001162A8">
        <w:t>s</w:t>
      </w:r>
      <w:r w:rsidR="00A8079E">
        <w:t xml:space="preserve"> </w:t>
      </w:r>
      <w:r w:rsidRPr="0009354D">
        <w:t>of our common stock</w:t>
      </w:r>
      <w:r w:rsidR="00E022F7">
        <w:t xml:space="preserve"> and </w:t>
      </w:r>
      <w:proofErr w:type="gramStart"/>
      <w:r w:rsidR="00E022F7">
        <w:t>warrants</w:t>
      </w:r>
      <w:proofErr w:type="gramEnd"/>
      <w:r w:rsidR="001162A8">
        <w:t xml:space="preserve"> </w:t>
      </w:r>
      <w:bookmarkEnd w:id="23"/>
    </w:p>
    <w:p w14:paraId="04FEFA4A" w14:textId="77777777" w:rsidR="009B0697" w:rsidRPr="0009354D" w:rsidRDefault="009B0697" w:rsidP="00177E79"/>
    <w:p w14:paraId="03C04337" w14:textId="2DC5CCAC" w:rsidR="00177E79" w:rsidRPr="00491EB6" w:rsidRDefault="00177E79" w:rsidP="00177E79">
      <w:pPr>
        <w:rPr>
          <w:b/>
          <w:bCs/>
        </w:rPr>
      </w:pPr>
      <w:r w:rsidRPr="00530123">
        <w:rPr>
          <w:b/>
          <w:bCs/>
        </w:rPr>
        <w:t>Funding Requirements and Sources of Capital</w:t>
      </w:r>
    </w:p>
    <w:p w14:paraId="01DF4936" w14:textId="77777777" w:rsidR="00177E79" w:rsidRPr="0009354D" w:rsidRDefault="00177E79" w:rsidP="00177E79"/>
    <w:p w14:paraId="21F6B3BD" w14:textId="7A6E70E4" w:rsidR="00ED1E26" w:rsidRPr="00ED1E26" w:rsidRDefault="00ED1E26" w:rsidP="00ED1E26">
      <w:r w:rsidRPr="00ED1E26">
        <w:t xml:space="preserve">To date, we have not generated any product revenue. We do not know when, or if, we will generate any product revenue and we do not expect to generate significant product revenue unless and until we obtain regulatory approval and commercialize one of our current or future product candidates. We anticipate that we will continue to generate losses for the foreseeable future, and we expect the losses to increase as we continue the development of, and seek regulatory approvals for, our product candidates, and begin to commercialize any approved products. We are subject to all of the </w:t>
      </w:r>
      <w:proofErr w:type="gramStart"/>
      <w:r w:rsidRPr="00ED1E26">
        <w:t>risks</w:t>
      </w:r>
      <w:proofErr w:type="gramEnd"/>
      <w:r w:rsidRPr="00ED1E26">
        <w:t xml:space="preserve"> incident to the development of new products, and may encounter unforeseen expenses, difficulties, complications, delays and other unknown factors that may harm our business. We anticipate that we will need substantial additional funding in connection with our continuing operations. We have funded our operations to date primarily from sales of our equity securities and from government grants and clinical trial assistance.</w:t>
      </w:r>
    </w:p>
    <w:p w14:paraId="105A23D8" w14:textId="77777777" w:rsidR="00ED1E26" w:rsidRPr="00ED1E26" w:rsidRDefault="00ED1E26" w:rsidP="00ED1E26"/>
    <w:p w14:paraId="6D1DC233" w14:textId="341D0D9D" w:rsidR="00ED1E26" w:rsidRPr="00ED1E26" w:rsidRDefault="00ED1E26" w:rsidP="00ED1E26">
      <w:r w:rsidRPr="00ED1E26">
        <w:t xml:space="preserve">As of the date </w:t>
      </w:r>
      <w:r w:rsidRPr="00C10B3D">
        <w:t xml:space="preserve">of this Quarterly Report, we expect our existing cash and cash equivalents will be sufficient to fund our </w:t>
      </w:r>
      <w:r w:rsidRPr="007814FB">
        <w:t xml:space="preserve">operations into the </w:t>
      </w:r>
      <w:r w:rsidR="0060614F">
        <w:t>first</w:t>
      </w:r>
      <w:r w:rsidR="0060614F" w:rsidRPr="00272BE3">
        <w:t xml:space="preserve"> </w:t>
      </w:r>
      <w:r w:rsidRPr="00272BE3">
        <w:t>quarter of 202</w:t>
      </w:r>
      <w:r w:rsidR="0060614F">
        <w:t>4</w:t>
      </w:r>
      <w:r w:rsidRPr="00272BE3">
        <w:t>. This projection takes into consideration contractual commitments we have made, and expect to make, in the normal</w:t>
      </w:r>
      <w:r w:rsidRPr="00C10B3D">
        <w:t xml:space="preserve"> course</w:t>
      </w:r>
      <w:r w:rsidRPr="00ED1E26">
        <w:t xml:space="preserve"> of operating our business, which include (</w:t>
      </w:r>
      <w:proofErr w:type="spellStart"/>
      <w:r w:rsidRPr="00ED1E26">
        <w:t>i</w:t>
      </w:r>
      <w:proofErr w:type="spellEnd"/>
      <w:r w:rsidRPr="00ED1E26">
        <w:t xml:space="preserve">) obligations to our employees, (ii) our lease obligations, (iii) payments due under license agreements for various technologies and patent rights associated with our product development activities, (iv) arrangements with contract research organizations (“CROs”), </w:t>
      </w:r>
      <w:r w:rsidRPr="00ED1E26">
        <w:rPr>
          <w:bCs/>
        </w:rPr>
        <w:t xml:space="preserve">contract manufacturing organizations (“CMOs”), </w:t>
      </w:r>
      <w:r w:rsidRPr="00ED1E26">
        <w:t>and other third-party vendors for clinical trials services and production of</w:t>
      </w:r>
      <w:r w:rsidRPr="00ED1E26">
        <w:rPr>
          <w:bCs/>
        </w:rPr>
        <w:t xml:space="preserve"> materials for use in our clinical trials</w:t>
      </w:r>
      <w:r w:rsidRPr="00ED1E26">
        <w:t xml:space="preserve">, </w:t>
      </w:r>
      <w:r w:rsidRPr="00ED1E26">
        <w:rPr>
          <w:bCs/>
        </w:rPr>
        <w:t xml:space="preserve">and (v) other </w:t>
      </w:r>
      <w:r w:rsidRPr="00ED1E26">
        <w:t>various firm purchase commitments and contractual obligations related to production and testing of our product candidates and the general operation of our business.</w:t>
      </w:r>
    </w:p>
    <w:p w14:paraId="29B0093A" w14:textId="77777777" w:rsidR="00ED1E26" w:rsidRPr="00ED1E26" w:rsidRDefault="00ED1E26" w:rsidP="00ED1E26"/>
    <w:p w14:paraId="615EC2B8" w14:textId="77777777" w:rsidR="00ED1E26" w:rsidRPr="00ED1E26" w:rsidRDefault="00ED1E26" w:rsidP="00ED1E26">
      <w:r w:rsidRPr="00ED1E26">
        <w:t>Our forecast of the period of time through which our financial resources will be adequate to support our operations is a forward-looking statement that involves risks and uncertainties and is based on assumptions that may prove to be wrong; actual results could vary materially.</w:t>
      </w:r>
    </w:p>
    <w:p w14:paraId="0B610615" w14:textId="77777777" w:rsidR="00ED1E26" w:rsidRPr="00ED1E26" w:rsidRDefault="00ED1E26" w:rsidP="00ED1E26"/>
    <w:p w14:paraId="5C51B632" w14:textId="77777777" w:rsidR="00A069DA" w:rsidRDefault="00A069DA">
      <w:r>
        <w:br w:type="page"/>
      </w:r>
    </w:p>
    <w:p w14:paraId="2433030F" w14:textId="5EE04206" w:rsidR="00ED1E26" w:rsidRPr="00ED1E26" w:rsidRDefault="00ED1E26" w:rsidP="00ED1E26">
      <w:r w:rsidRPr="00ED1E26">
        <w:lastRenderedPageBreak/>
        <w:t>We have based our projections of operating capital requirements on assumptions that may prove to be incorrect, and we may use our available capital resources sooner than we expect. Our future capital requirements will depend on many factors, which include but are not limited to:</w:t>
      </w:r>
    </w:p>
    <w:p w14:paraId="54092F77" w14:textId="77777777" w:rsidR="00ED1E26" w:rsidRPr="00ED1E26" w:rsidRDefault="00ED1E26" w:rsidP="00ED1E26">
      <w:pPr>
        <w:numPr>
          <w:ilvl w:val="0"/>
          <w:numId w:val="13"/>
        </w:numPr>
      </w:pPr>
      <w:r w:rsidRPr="00ED1E26">
        <w:t xml:space="preserve">the timing and costs of our ongoing and planned clinical </w:t>
      </w:r>
      <w:proofErr w:type="gramStart"/>
      <w:r w:rsidRPr="00ED1E26">
        <w:t>trials;</w:t>
      </w:r>
      <w:proofErr w:type="gramEnd"/>
    </w:p>
    <w:p w14:paraId="7F6EB9F9" w14:textId="77777777" w:rsidR="00ED1E26" w:rsidRPr="00ED1E26" w:rsidRDefault="00ED1E26" w:rsidP="00ED1E26">
      <w:pPr>
        <w:numPr>
          <w:ilvl w:val="0"/>
          <w:numId w:val="13"/>
        </w:numPr>
      </w:pPr>
      <w:r w:rsidRPr="00ED1E26">
        <w:t xml:space="preserve">the timing and costs of manufacturing material for use in clinical </w:t>
      </w:r>
      <w:proofErr w:type="gramStart"/>
      <w:r w:rsidRPr="00ED1E26">
        <w:t>trials;</w:t>
      </w:r>
      <w:proofErr w:type="gramEnd"/>
    </w:p>
    <w:p w14:paraId="55E18C2D" w14:textId="77777777" w:rsidR="00ED1E26" w:rsidRPr="00ED1E26" w:rsidRDefault="00ED1E26" w:rsidP="00ED1E26">
      <w:pPr>
        <w:numPr>
          <w:ilvl w:val="0"/>
          <w:numId w:val="13"/>
        </w:numPr>
      </w:pPr>
      <w:r w:rsidRPr="00ED1E26">
        <w:t xml:space="preserve">the number and scope of our research programs and the speed at which they are </w:t>
      </w:r>
      <w:proofErr w:type="gramStart"/>
      <w:r w:rsidRPr="00ED1E26">
        <w:t>advanced;</w:t>
      </w:r>
      <w:proofErr w:type="gramEnd"/>
      <w:r w:rsidRPr="00ED1E26">
        <w:t xml:space="preserve"> </w:t>
      </w:r>
    </w:p>
    <w:p w14:paraId="48CB8AF7" w14:textId="77777777" w:rsidR="00ED1E26" w:rsidRPr="00ED1E26" w:rsidRDefault="00ED1E26" w:rsidP="00ED1E26">
      <w:pPr>
        <w:numPr>
          <w:ilvl w:val="0"/>
          <w:numId w:val="13"/>
        </w:numPr>
      </w:pPr>
      <w:r w:rsidRPr="00ED1E26">
        <w:t xml:space="preserve">the progress and success of our preclinical and clinical development </w:t>
      </w:r>
      <w:proofErr w:type="gramStart"/>
      <w:r w:rsidRPr="00ED1E26">
        <w:t>activities;</w:t>
      </w:r>
      <w:proofErr w:type="gramEnd"/>
      <w:r w:rsidRPr="00ED1E26">
        <w:t xml:space="preserve"> </w:t>
      </w:r>
    </w:p>
    <w:p w14:paraId="439EFFCB" w14:textId="77777777" w:rsidR="00ED1E26" w:rsidRPr="00ED1E26" w:rsidRDefault="00ED1E26" w:rsidP="00ED1E26">
      <w:pPr>
        <w:numPr>
          <w:ilvl w:val="0"/>
          <w:numId w:val="13"/>
        </w:numPr>
      </w:pPr>
      <w:r w:rsidRPr="00ED1E26">
        <w:t xml:space="preserve">the costs involved in prosecuting and enforcing patent claims and other intellectual property </w:t>
      </w:r>
      <w:proofErr w:type="gramStart"/>
      <w:r w:rsidRPr="00ED1E26">
        <w:t>rights;</w:t>
      </w:r>
      <w:proofErr w:type="gramEnd"/>
      <w:r w:rsidRPr="00ED1E26">
        <w:t xml:space="preserve"> </w:t>
      </w:r>
    </w:p>
    <w:p w14:paraId="45C7F553" w14:textId="77777777" w:rsidR="00ED1E26" w:rsidRPr="00ED1E26" w:rsidRDefault="00ED1E26" w:rsidP="00ED1E26">
      <w:pPr>
        <w:numPr>
          <w:ilvl w:val="0"/>
          <w:numId w:val="13"/>
        </w:numPr>
      </w:pPr>
      <w:r w:rsidRPr="00ED1E26">
        <w:t xml:space="preserve">the costs to attract and retain skilled </w:t>
      </w:r>
      <w:proofErr w:type="gramStart"/>
      <w:r w:rsidRPr="00ED1E26">
        <w:t>personnel;</w:t>
      </w:r>
      <w:proofErr w:type="gramEnd"/>
    </w:p>
    <w:p w14:paraId="231B3E2E" w14:textId="77777777" w:rsidR="00ED1E26" w:rsidRPr="00ED1E26" w:rsidRDefault="00ED1E26" w:rsidP="00ED1E26">
      <w:pPr>
        <w:numPr>
          <w:ilvl w:val="0"/>
          <w:numId w:val="13"/>
        </w:numPr>
      </w:pPr>
      <w:r w:rsidRPr="00ED1E26">
        <w:t xml:space="preserve">the costs to maintain and expand our infrastructure to support our operations, our product development, and planned future commercialization </w:t>
      </w:r>
      <w:proofErr w:type="gramStart"/>
      <w:r w:rsidRPr="00ED1E26">
        <w:t>efforts;</w:t>
      </w:r>
      <w:proofErr w:type="gramEnd"/>
    </w:p>
    <w:p w14:paraId="672D3A0F" w14:textId="77777777" w:rsidR="00ED1E26" w:rsidRPr="00ED1E26" w:rsidRDefault="00ED1E26" w:rsidP="00ED1E26">
      <w:pPr>
        <w:numPr>
          <w:ilvl w:val="0"/>
          <w:numId w:val="13"/>
        </w:numPr>
      </w:pPr>
      <w:r w:rsidRPr="00ED1E26">
        <w:t xml:space="preserve">the terms and timing of establishing and maintaining collaborations, licenses and other similar </w:t>
      </w:r>
      <w:proofErr w:type="gramStart"/>
      <w:r w:rsidRPr="00ED1E26">
        <w:t>arrangements;</w:t>
      </w:r>
      <w:proofErr w:type="gramEnd"/>
      <w:r w:rsidRPr="00ED1E26">
        <w:t xml:space="preserve"> </w:t>
      </w:r>
    </w:p>
    <w:p w14:paraId="4D193900" w14:textId="77777777" w:rsidR="00ED1E26" w:rsidRPr="00ED1E26" w:rsidRDefault="00ED1E26" w:rsidP="00ED1E26">
      <w:pPr>
        <w:numPr>
          <w:ilvl w:val="0"/>
          <w:numId w:val="13"/>
        </w:numPr>
      </w:pPr>
      <w:r w:rsidRPr="00ED1E26">
        <w:t xml:space="preserve">the costs associated with any products or technologies that we may in-license or acquire; and </w:t>
      </w:r>
    </w:p>
    <w:p w14:paraId="5BAC8FE3" w14:textId="77777777" w:rsidR="00ED1E26" w:rsidRPr="00ED1E26" w:rsidRDefault="00ED1E26" w:rsidP="00ED1E26">
      <w:pPr>
        <w:numPr>
          <w:ilvl w:val="0"/>
          <w:numId w:val="13"/>
        </w:numPr>
      </w:pPr>
      <w:r w:rsidRPr="00ED1E26">
        <w:t>the costs and timing of regulatory approvals.</w:t>
      </w:r>
    </w:p>
    <w:p w14:paraId="0618DDF8" w14:textId="77777777" w:rsidR="00ED1E26" w:rsidRPr="00ED1E26" w:rsidRDefault="00ED1E26" w:rsidP="00ED1E26"/>
    <w:p w14:paraId="03083928" w14:textId="77777777" w:rsidR="00ED1E26" w:rsidRPr="00ED1E26" w:rsidRDefault="00ED1E26" w:rsidP="00ED1E26">
      <w:r w:rsidRPr="00ED1E26">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78F806C7" w14:textId="77777777" w:rsidR="001C37F3" w:rsidRDefault="001C37F3" w:rsidP="00A57C79">
      <w:pPr>
        <w:rPr>
          <w:i/>
        </w:rPr>
      </w:pPr>
    </w:p>
    <w:p w14:paraId="7020D5CF" w14:textId="692FA572" w:rsidR="00385703" w:rsidRDefault="00385703" w:rsidP="00ED1E26">
      <w:pPr>
        <w:rPr>
          <w:color w:val="000000"/>
          <w:sz w:val="2"/>
          <w:szCs w:val="2"/>
        </w:rPr>
      </w:pPr>
    </w:p>
    <w:p w14:paraId="4067366E" w14:textId="62067C5A" w:rsidR="00182CF3" w:rsidRPr="001C6303" w:rsidRDefault="0054260E" w:rsidP="000A55AE">
      <w:pPr>
        <w:pStyle w:val="Heading2"/>
        <w:numPr>
          <w:ilvl w:val="0"/>
          <w:numId w:val="0"/>
        </w:numPr>
        <w:tabs>
          <w:tab w:val="left" w:pos="1080"/>
        </w:tabs>
        <w:spacing w:after="0"/>
      </w:pPr>
      <w:bookmarkStart w:id="25" w:name="_Toc197922411"/>
      <w:r w:rsidRPr="001C6303">
        <w:rPr>
          <w:u w:val="none"/>
        </w:rPr>
        <w:t>Item 3</w:t>
      </w:r>
      <w:r w:rsidRPr="001C6303">
        <w:rPr>
          <w:u w:val="none"/>
        </w:rPr>
        <w:tab/>
      </w:r>
      <w:r w:rsidR="0035003D" w:rsidRPr="001C6303">
        <w:t>Quantitative and Qualitative Disclosures About Market Risk</w:t>
      </w:r>
      <w:bookmarkEnd w:id="25"/>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6" w:name="_Toc197922412"/>
      <w:r w:rsidRPr="001C6303">
        <w:rPr>
          <w:u w:val="none"/>
        </w:rPr>
        <w:t>Item 4</w:t>
      </w:r>
      <w:r w:rsidRPr="001C6303">
        <w:rPr>
          <w:u w:val="none"/>
        </w:rPr>
        <w:tab/>
      </w:r>
      <w:r w:rsidR="00BD6BBE" w:rsidRPr="001C6303">
        <w:t>Controls and Procedures</w:t>
      </w:r>
      <w:bookmarkEnd w:id="26"/>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27EE65" w:rsidR="00A920D8"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52F17A3F" w14:textId="77777777" w:rsidR="00C33214" w:rsidRPr="001C6303" w:rsidRDefault="00C33214" w:rsidP="000A55AE">
      <w:pPr>
        <w:pStyle w:val="BodyText"/>
        <w:spacing w:after="0"/>
      </w:pPr>
    </w:p>
    <w:p w14:paraId="067FB94C" w14:textId="77777777" w:rsidR="00C33214" w:rsidRPr="001C6303" w:rsidRDefault="00C33214" w:rsidP="00C33214">
      <w:pPr>
        <w:pStyle w:val="BodySubtitle"/>
      </w:pPr>
      <w:bookmarkStart w:id="27" w:name="_Toc197922413"/>
      <w:r w:rsidRPr="001C6303">
        <w:t>Changes in internal control over financial reporting</w:t>
      </w:r>
    </w:p>
    <w:p w14:paraId="6CF4403E" w14:textId="77777777" w:rsidR="00C33214" w:rsidRDefault="00C33214" w:rsidP="00C33214">
      <w:pPr>
        <w:pStyle w:val="BodyText"/>
        <w:spacing w:after="0"/>
      </w:pPr>
    </w:p>
    <w:p w14:paraId="71518E18" w14:textId="55242126" w:rsidR="00C33214" w:rsidRPr="00665E82" w:rsidRDefault="00C33214" w:rsidP="00C33214">
      <w:pPr>
        <w:pStyle w:val="BodyText"/>
        <w:spacing w:after="0"/>
        <w:rPr>
          <w:bCs/>
        </w:rPr>
      </w:pPr>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rsidR="0043702E">
        <w:t>June</w:t>
      </w:r>
      <w:r>
        <w:t xml:space="preserve"> 3</w:t>
      </w:r>
      <w:r w:rsidR="0043702E">
        <w:t>0</w:t>
      </w:r>
      <w:r>
        <w:t xml:space="preserve">, </w:t>
      </w:r>
      <w:proofErr w:type="gramStart"/>
      <w:r>
        <w:t>2023</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60C52D6C" w14:textId="77777777" w:rsidR="00C33214" w:rsidRDefault="00C33214" w:rsidP="00C33214"/>
    <w:p w14:paraId="076C6812" w14:textId="547E4F41" w:rsidR="00C33214" w:rsidRPr="00374DEE" w:rsidRDefault="00C33214" w:rsidP="00C33214">
      <w:pPr>
        <w:rPr>
          <w:i/>
        </w:rPr>
      </w:pPr>
      <w:r w:rsidRPr="00374DEE">
        <w:rPr>
          <w:i/>
        </w:rPr>
        <w:t>Limitations on Controls</w:t>
      </w:r>
    </w:p>
    <w:p w14:paraId="64E13A3A" w14:textId="77777777" w:rsidR="00C33214" w:rsidRDefault="00C33214" w:rsidP="00C33214"/>
    <w:p w14:paraId="2F83AC0C" w14:textId="77777777" w:rsidR="00C33214" w:rsidRPr="00024863" w:rsidRDefault="00C33214" w:rsidP="00C33214">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60FCE0CF" w14:textId="77777777" w:rsidR="00B74BA5" w:rsidRPr="00D9086D" w:rsidRDefault="00B74BA5"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27"/>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28" w:name="_Toc197922414"/>
      <w:r w:rsidRPr="001C6303">
        <w:t>Legal Proceedings</w:t>
      </w:r>
      <w:bookmarkEnd w:id="28"/>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29" w:name="_Toc197922415"/>
      <w:r w:rsidRPr="001C6303">
        <w:t>Risk Factors</w:t>
      </w:r>
      <w:bookmarkEnd w:id="29"/>
    </w:p>
    <w:p w14:paraId="2421EF43" w14:textId="77777777" w:rsidR="000A55AE" w:rsidRDefault="000A55AE" w:rsidP="000A55AE">
      <w:pPr>
        <w:pStyle w:val="BodyText"/>
        <w:spacing w:after="0"/>
      </w:pPr>
    </w:p>
    <w:p w14:paraId="36DCD36A" w14:textId="0BC44C6A" w:rsidR="00C33214" w:rsidRDefault="00C33214" w:rsidP="00C33214">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w:t>
      </w:r>
      <w:r w:rsidR="00DF1678">
        <w:noBreakHyphen/>
      </w:r>
      <w:r>
        <w:t>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30" w:name="_Toc197922416"/>
      <w:r w:rsidRPr="001C6303">
        <w:t>Unregistered Sale</w:t>
      </w:r>
      <w:r w:rsidR="00A63414" w:rsidRPr="001C6303">
        <w:t>s</w:t>
      </w:r>
      <w:r w:rsidRPr="001C6303">
        <w:t xml:space="preserve"> of Equity Securities and Use of Proceeds</w:t>
      </w:r>
      <w:bookmarkEnd w:id="30"/>
    </w:p>
    <w:p w14:paraId="3CCD0E14" w14:textId="77777777" w:rsidR="00C6018F" w:rsidRDefault="00C6018F" w:rsidP="000A55AE">
      <w:pPr>
        <w:pStyle w:val="BodyText"/>
        <w:spacing w:after="0"/>
      </w:pPr>
      <w:bookmarkStart w:id="31" w:name="_Toc197922417"/>
    </w:p>
    <w:p w14:paraId="5A111FD7" w14:textId="73656821" w:rsidR="00052C14" w:rsidRDefault="00052C14" w:rsidP="00052C14">
      <w:r w:rsidRPr="00C16143">
        <w:t>There were no</w:t>
      </w:r>
      <w:r w:rsidR="00C6018F">
        <w:t xml:space="preserve"> other</w:t>
      </w:r>
      <w:r w:rsidRPr="00C16143">
        <w:t xml:space="preserve"> sales of unregistered securities during the period covered by this report that have not previously been reported on Form 8-K.</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31"/>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1C17AB8C" w:rsidR="00025C72" w:rsidRPr="001C6303" w:rsidRDefault="00C07C60" w:rsidP="000A55AE">
      <w:pPr>
        <w:pStyle w:val="Heading2"/>
        <w:spacing w:after="0"/>
      </w:pPr>
      <w:bookmarkStart w:id="32" w:name="_Toc197922419"/>
      <w:r>
        <w:t>Other Information</w:t>
      </w:r>
    </w:p>
    <w:p w14:paraId="72A27140" w14:textId="77777777" w:rsidR="000A55AE" w:rsidRDefault="000A55AE" w:rsidP="000A55AE"/>
    <w:p w14:paraId="115A6BFF" w14:textId="787406CE" w:rsidR="00CB03AD" w:rsidRDefault="00CB03AD">
      <w:pPr>
        <w:rPr>
          <w:color w:val="000000"/>
        </w:rPr>
      </w:pPr>
      <w:r>
        <w:rPr>
          <w:color w:val="000000"/>
        </w:rPr>
        <w:t xml:space="preserve">During the </w:t>
      </w:r>
      <w:r w:rsidR="00A73268">
        <w:rPr>
          <w:color w:val="000000"/>
        </w:rPr>
        <w:t>period covered by this report</w:t>
      </w:r>
      <w:r>
        <w:rPr>
          <w:color w:val="000000"/>
        </w:rPr>
        <w:t>, none of our directors or executive officers</w:t>
      </w:r>
      <w:r w:rsidR="00A73268">
        <w:rPr>
          <w:color w:val="000000"/>
        </w:rPr>
        <w:t xml:space="preserve"> </w:t>
      </w:r>
      <w:r>
        <w:t>adopted</w:t>
      </w:r>
      <w:r w:rsidR="00A73268">
        <w:rPr>
          <w:color w:val="000000"/>
        </w:rPr>
        <w:t xml:space="preserve"> </w:t>
      </w:r>
      <w:r>
        <w:rPr>
          <w:color w:val="000000"/>
        </w:rPr>
        <w:t>or</w:t>
      </w:r>
      <w:r w:rsidR="00A73268">
        <w:rPr>
          <w:color w:val="000000"/>
        </w:rPr>
        <w:t xml:space="preserve"> </w:t>
      </w:r>
      <w:r>
        <w:t>terminated</w:t>
      </w:r>
      <w:r>
        <w:rPr>
          <w:color w:val="000000"/>
        </w:rPr>
        <w:t> any “Rule 10b5-1 trading arrangement” or “non-Rule 10b5-1 trading arrangement” (as each term is defined in Item 408(a) of Regulation S-K).</w:t>
      </w:r>
    </w:p>
    <w:p w14:paraId="794764D3" w14:textId="77777777" w:rsidR="00CB03AD" w:rsidRDefault="00CB03AD"/>
    <w:p w14:paraId="3BA80948" w14:textId="79962D72" w:rsidR="00CB03A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2"/>
    </w:p>
    <w:p w14:paraId="2379F571" w14:textId="77777777" w:rsidR="00CB03AD" w:rsidRDefault="00CB03AD"/>
    <w:p w14:paraId="427B8C1F" w14:textId="3BB41535" w:rsidR="00001C8D" w:rsidRDefault="00001C8D">
      <w:r>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33" w:name="_Toc197922420"/>
      <w:r w:rsidRPr="001C6303">
        <w:rPr>
          <w:u w:val="none"/>
        </w:rPr>
        <w:t>Item 6</w:t>
      </w:r>
      <w:r w:rsidRPr="001C6303">
        <w:rPr>
          <w:u w:val="none"/>
        </w:rPr>
        <w:tab/>
      </w:r>
      <w:r w:rsidR="00BD6BBE" w:rsidRPr="001C6303">
        <w:t>Exhibits</w:t>
      </w:r>
      <w:bookmarkEnd w:id="33"/>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D07464">
      <w:pPr>
        <w:keepNext/>
        <w:tabs>
          <w:tab w:val="left" w:pos="900"/>
        </w:tabs>
        <w:spacing w:after="60"/>
        <w:rPr>
          <w:u w:val="single"/>
        </w:rPr>
      </w:pPr>
      <w:r w:rsidRPr="001C6303">
        <w:rPr>
          <w:u w:val="single"/>
        </w:rPr>
        <w:t>Number</w:t>
      </w:r>
      <w:r w:rsidRPr="001C6303">
        <w:tab/>
      </w:r>
      <w:r w:rsidRPr="001C6303">
        <w:rPr>
          <w:u w:val="single"/>
        </w:rPr>
        <w:t>Description</w:t>
      </w:r>
    </w:p>
    <w:p w14:paraId="7BCAE1AA" w14:textId="15EBD695" w:rsidR="00D07464" w:rsidRDefault="00D07464" w:rsidP="00D07464">
      <w:pPr>
        <w:ind w:left="900" w:hanging="900"/>
      </w:pPr>
      <w:r>
        <w:t>10.</w:t>
      </w:r>
      <w:r w:rsidR="0060614F">
        <w:t>1</w:t>
      </w:r>
      <w:r>
        <w:tab/>
      </w:r>
      <w:hyperlink r:id="rId22" w:history="1">
        <w:r w:rsidRPr="00CC6E70">
          <w:rPr>
            <w:rStyle w:val="Hyperlink"/>
          </w:rPr>
          <w:t>Amendment to Exclusive License Agreement, dated April 11, 2023, between GeoVax, Inc. and City of Hope</w:t>
        </w:r>
        <w:r w:rsidR="00CC6E70" w:rsidRPr="00CC6E70">
          <w:rPr>
            <w:rStyle w:val="Hyperlink"/>
          </w:rPr>
          <w:t xml:space="preserve"> (</w:t>
        </w:r>
        <w:r w:rsidR="0060614F">
          <w:rPr>
            <w:rStyle w:val="Hyperlink"/>
          </w:rPr>
          <w:t>1</w:t>
        </w:r>
        <w:r w:rsidR="00CC6E70" w:rsidRPr="00CC6E70">
          <w:rPr>
            <w:rStyle w:val="Hyperlink"/>
          </w:rPr>
          <w:t>)</w:t>
        </w:r>
      </w:hyperlink>
    </w:p>
    <w:p w14:paraId="17A04CA4" w14:textId="77777777" w:rsidR="00D27C90" w:rsidRDefault="00D27C90" w:rsidP="00D07464">
      <w:pPr>
        <w:ind w:left="900" w:hanging="900"/>
      </w:pPr>
      <w:r w:rsidRPr="00D27C90">
        <w:t>10.2</w:t>
      </w:r>
      <w:r w:rsidRPr="00D27C90">
        <w:tab/>
      </w:r>
      <w:hyperlink r:id="rId23" w:history="1">
        <w:r w:rsidRPr="00D27C90">
          <w:rPr>
            <w:rStyle w:val="Hyperlink"/>
          </w:rPr>
          <w:t>At The Market Offering Agreement, by and between GeoVax Labs, Inc. and H.C. Wainwright &amp; Co., LLC, dated July 18, 2023 (2)</w:t>
        </w:r>
      </w:hyperlink>
    </w:p>
    <w:p w14:paraId="769D58A4" w14:textId="2E3A8F82" w:rsidR="00717940" w:rsidRPr="001C6303" w:rsidRDefault="00717940" w:rsidP="00D07464">
      <w:pPr>
        <w:ind w:left="900" w:hanging="900"/>
      </w:pPr>
      <w:r w:rsidRPr="001C6303">
        <w:t>31.1*</w:t>
      </w:r>
      <w:r w:rsidRPr="001C6303">
        <w:tab/>
        <w:t xml:space="preserve">Certification pursuant to Rule 13a-14(a) or 15d-14(a) of the Securities Exchange Act of 1934 </w:t>
      </w:r>
    </w:p>
    <w:p w14:paraId="0D5E8471" w14:textId="77777777" w:rsidR="00717940" w:rsidRPr="001C6303" w:rsidRDefault="00717940" w:rsidP="00D07464">
      <w:pPr>
        <w:ind w:left="900" w:hanging="900"/>
      </w:pPr>
      <w:r w:rsidRPr="001C6303">
        <w:t>31.2*</w:t>
      </w:r>
      <w:r w:rsidRPr="001C6303">
        <w:tab/>
        <w:t xml:space="preserve">Certification pursuant to Rule 13a-14(a) or 15d-14(a) of the Securities Exchange Act of 1934 </w:t>
      </w:r>
    </w:p>
    <w:p w14:paraId="7E0B9613" w14:textId="77777777" w:rsidR="00717940" w:rsidRPr="001C6303" w:rsidRDefault="00717940" w:rsidP="00D07464">
      <w:pPr>
        <w:ind w:left="900" w:hanging="90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D07464">
      <w:pPr>
        <w:tabs>
          <w:tab w:val="left" w:pos="2340"/>
          <w:tab w:val="left" w:pos="3600"/>
          <w:tab w:val="left" w:pos="7920"/>
        </w:tabs>
        <w:ind w:left="900" w:hanging="90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D07464">
      <w:pPr>
        <w:ind w:left="900" w:hanging="900"/>
      </w:pPr>
      <w:r>
        <w:t>101.INS</w:t>
      </w:r>
      <w:r>
        <w:tab/>
      </w:r>
      <w:r w:rsidR="001427A0">
        <w:t xml:space="preserve">Inline </w:t>
      </w:r>
      <w:r>
        <w:t>XBRL Instance Document</w:t>
      </w:r>
      <w:r w:rsidR="001427A0">
        <w:t xml:space="preserve"> (1)</w:t>
      </w:r>
    </w:p>
    <w:p w14:paraId="0DFF493E" w14:textId="681380A4" w:rsidR="00277C53" w:rsidRDefault="00277C53" w:rsidP="00D07464">
      <w:pPr>
        <w:ind w:left="900" w:hanging="900"/>
      </w:pPr>
      <w:r>
        <w:t>101.SCH</w:t>
      </w:r>
      <w:r>
        <w:tab/>
      </w:r>
      <w:r w:rsidR="001427A0">
        <w:t xml:space="preserve">Inline </w:t>
      </w:r>
      <w:r>
        <w:t>XBRL Taxonomy Extension Schema Document</w:t>
      </w:r>
      <w:r w:rsidR="001427A0">
        <w:t xml:space="preserve"> (1)</w:t>
      </w:r>
    </w:p>
    <w:p w14:paraId="15A985B3" w14:textId="24A71D0B" w:rsidR="00277C53" w:rsidRDefault="00277C53" w:rsidP="00D07464">
      <w:pPr>
        <w:ind w:left="900" w:hanging="90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D07464">
      <w:pPr>
        <w:ind w:left="900" w:hanging="90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D07464">
      <w:pPr>
        <w:ind w:left="900" w:hanging="90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D07464">
      <w:pPr>
        <w:ind w:left="900" w:hanging="90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D07464">
      <w:pPr>
        <w:ind w:left="900" w:hanging="90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1B8FC822" w14:textId="0BD5FA09" w:rsidR="00CC6E70" w:rsidRDefault="00CC6E70" w:rsidP="00CC6E70">
      <w:r>
        <w:t>(</w:t>
      </w:r>
      <w:r w:rsidR="0060614F">
        <w:t>1</w:t>
      </w:r>
      <w:r>
        <w:t>)</w:t>
      </w:r>
      <w:r>
        <w:tab/>
      </w:r>
      <w:r w:rsidRPr="00A92006">
        <w:t xml:space="preserve">Incorporated by reference from the registrant’s </w:t>
      </w:r>
      <w:r>
        <w:t>Quarterly</w:t>
      </w:r>
      <w:r w:rsidRPr="00A92006">
        <w:t xml:space="preserve"> Report on Form </w:t>
      </w:r>
      <w:r>
        <w:t>10</w:t>
      </w:r>
      <w:r w:rsidRPr="00A92006">
        <w:t>-</w:t>
      </w:r>
      <w:r>
        <w:t>Q</w:t>
      </w:r>
      <w:r w:rsidRPr="00A92006">
        <w:t xml:space="preserve"> filed </w:t>
      </w:r>
      <w:r>
        <w:t>May</w:t>
      </w:r>
      <w:r w:rsidRPr="00A92006">
        <w:t xml:space="preserve"> </w:t>
      </w:r>
      <w:r>
        <w:t>4</w:t>
      </w:r>
      <w:r w:rsidRPr="00A92006">
        <w:t>, 20</w:t>
      </w:r>
      <w:r>
        <w:t>23.</w:t>
      </w:r>
    </w:p>
    <w:p w14:paraId="28C89CC9" w14:textId="77777777" w:rsidR="00D27C90" w:rsidRPr="00D27C90" w:rsidRDefault="00D27C90" w:rsidP="00D27C90">
      <w:r w:rsidRPr="00D27C90">
        <w:t>(2)</w:t>
      </w:r>
      <w:r w:rsidRPr="00D27C90">
        <w:tab/>
        <w:t>Incorporated by reference from the registrant’s Current Report on Form 8-K filed July 19, 2023.</w:t>
      </w:r>
    </w:p>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22A0C1CD" w:rsidR="00BD6BBE" w:rsidRPr="001C6303" w:rsidRDefault="005277CB">
      <w:pPr>
        <w:tabs>
          <w:tab w:val="left" w:pos="720"/>
          <w:tab w:val="left" w:pos="5400"/>
          <w:tab w:val="center" w:pos="7380"/>
        </w:tabs>
      </w:pPr>
      <w:r w:rsidRPr="001C6303">
        <w:t>Date:</w:t>
      </w:r>
      <w:r w:rsidRPr="001C6303">
        <w:tab/>
      </w:r>
      <w:r w:rsidR="00CC6E70">
        <w:t>August 9</w:t>
      </w:r>
      <w:r w:rsidR="006B43ED" w:rsidRPr="00CD5558">
        <w:t xml:space="preserve">, </w:t>
      </w:r>
      <w:proofErr w:type="gramStart"/>
      <w:r w:rsidR="006B43ED" w:rsidRPr="00CD5558">
        <w:t>20</w:t>
      </w:r>
      <w:r w:rsidR="00717940">
        <w:t>2</w:t>
      </w:r>
      <w:r w:rsidR="00E619F8">
        <w:t>3</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4"/>
      <w:headerReference w:type="default" r:id="rId25"/>
      <w:footerReference w:type="even" r:id="rId26"/>
      <w:footerReference w:type="default" r:id="rId27"/>
      <w:headerReference w:type="first" r:id="rId28"/>
      <w:footerReference w:type="first" r:id="rId2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717C" w14:textId="77777777" w:rsidR="008F0CD4" w:rsidRDefault="008F0CD4">
      <w:r>
        <w:separator/>
      </w:r>
    </w:p>
  </w:endnote>
  <w:endnote w:type="continuationSeparator" w:id="0">
    <w:p w14:paraId="2EB82905" w14:textId="77777777" w:rsidR="008F0CD4" w:rsidRDefault="008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080093F4" w:rsidR="005F4662" w:rsidRDefault="00A73268" w:rsidP="003A5897">
    <w:pPr>
      <w:pStyle w:val="Footer"/>
    </w:pPr>
    <w:fldSimple w:instr=" DOCPROPERTY &quot;SWDocID&quot;  \* MERGEFORMAT ">
      <w:r w:rsidR="00291008" w:rsidRPr="00291008">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3028B721" w:rsidR="005F4662" w:rsidRDefault="00A73268" w:rsidP="003A5897">
    <w:pPr>
      <w:pStyle w:val="Footer"/>
    </w:pPr>
    <w:fldSimple w:instr=" DOCPROPERTY &quot;SWDocID&quot;  \* MERGEFORMAT ">
      <w:r w:rsidR="00291008" w:rsidRPr="00291008">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42F4" w14:textId="77777777" w:rsidR="008F0CD4" w:rsidRDefault="008F0CD4">
      <w:r>
        <w:separator/>
      </w:r>
    </w:p>
  </w:footnote>
  <w:footnote w:type="continuationSeparator" w:id="0">
    <w:p w14:paraId="5155FB02" w14:textId="77777777" w:rsidR="008F0CD4" w:rsidRDefault="008F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du="http://schemas.microsoft.com/office/word/2023/wordml/word16du">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6"/>
  </w:num>
  <w:num w:numId="4" w16cid:durableId="31922999">
    <w:abstractNumId w:val="4"/>
  </w:num>
  <w:num w:numId="5" w16cid:durableId="583146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5"/>
  </w:num>
  <w:num w:numId="10" w16cid:durableId="1547378558">
    <w:abstractNumId w:val="10"/>
  </w:num>
  <w:num w:numId="11" w16cid:durableId="623535316">
    <w:abstractNumId w:val="8"/>
  </w:num>
  <w:num w:numId="12" w16cid:durableId="163017238">
    <w:abstractNumId w:val="9"/>
  </w:num>
  <w:num w:numId="13" w16cid:durableId="5083003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3127"/>
    <w:rsid w:val="000031AA"/>
    <w:rsid w:val="000034E0"/>
    <w:rsid w:val="00003985"/>
    <w:rsid w:val="00003B72"/>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3723"/>
    <w:rsid w:val="00034E07"/>
    <w:rsid w:val="00036C2E"/>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33A2"/>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B30"/>
    <w:rsid w:val="000A3522"/>
    <w:rsid w:val="000A437C"/>
    <w:rsid w:val="000A49BE"/>
    <w:rsid w:val="000A4CB0"/>
    <w:rsid w:val="000A4DF8"/>
    <w:rsid w:val="000A5148"/>
    <w:rsid w:val="000A55AE"/>
    <w:rsid w:val="000A58BB"/>
    <w:rsid w:val="000A6576"/>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6FA0"/>
    <w:rsid w:val="000C70FD"/>
    <w:rsid w:val="000D0077"/>
    <w:rsid w:val="000D1244"/>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5AD"/>
    <w:rsid w:val="0011183F"/>
    <w:rsid w:val="0011396A"/>
    <w:rsid w:val="00114043"/>
    <w:rsid w:val="001142B0"/>
    <w:rsid w:val="001157CC"/>
    <w:rsid w:val="00115A56"/>
    <w:rsid w:val="001162A8"/>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343B"/>
    <w:rsid w:val="0013596C"/>
    <w:rsid w:val="00135F87"/>
    <w:rsid w:val="00136153"/>
    <w:rsid w:val="001362F2"/>
    <w:rsid w:val="00137307"/>
    <w:rsid w:val="001373A9"/>
    <w:rsid w:val="001376F5"/>
    <w:rsid w:val="00137D87"/>
    <w:rsid w:val="00140C57"/>
    <w:rsid w:val="0014178D"/>
    <w:rsid w:val="00141A8D"/>
    <w:rsid w:val="001426C2"/>
    <w:rsid w:val="001427A0"/>
    <w:rsid w:val="001435F4"/>
    <w:rsid w:val="001436ED"/>
    <w:rsid w:val="00143709"/>
    <w:rsid w:val="00143716"/>
    <w:rsid w:val="001451E8"/>
    <w:rsid w:val="00146008"/>
    <w:rsid w:val="00147AF4"/>
    <w:rsid w:val="00150DA7"/>
    <w:rsid w:val="00152824"/>
    <w:rsid w:val="00154A23"/>
    <w:rsid w:val="00154F2C"/>
    <w:rsid w:val="00155130"/>
    <w:rsid w:val="001568E0"/>
    <w:rsid w:val="0016039E"/>
    <w:rsid w:val="001608A4"/>
    <w:rsid w:val="00161492"/>
    <w:rsid w:val="001615D5"/>
    <w:rsid w:val="00161A28"/>
    <w:rsid w:val="0016206A"/>
    <w:rsid w:val="00162B50"/>
    <w:rsid w:val="001630D7"/>
    <w:rsid w:val="0016377E"/>
    <w:rsid w:val="00163782"/>
    <w:rsid w:val="0016519B"/>
    <w:rsid w:val="001653A6"/>
    <w:rsid w:val="0016579D"/>
    <w:rsid w:val="00165DE5"/>
    <w:rsid w:val="001664F3"/>
    <w:rsid w:val="00166A4A"/>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41C"/>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0A16"/>
    <w:rsid w:val="001F2008"/>
    <w:rsid w:val="001F251F"/>
    <w:rsid w:val="001F2E8C"/>
    <w:rsid w:val="001F62EC"/>
    <w:rsid w:val="001F6F90"/>
    <w:rsid w:val="001F7F86"/>
    <w:rsid w:val="002024CE"/>
    <w:rsid w:val="002025C3"/>
    <w:rsid w:val="00202BAB"/>
    <w:rsid w:val="0020331B"/>
    <w:rsid w:val="002048CA"/>
    <w:rsid w:val="00205913"/>
    <w:rsid w:val="002059C0"/>
    <w:rsid w:val="00205B29"/>
    <w:rsid w:val="002072C5"/>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2DA3"/>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A54"/>
    <w:rsid w:val="00244F17"/>
    <w:rsid w:val="00245CAF"/>
    <w:rsid w:val="00245E4D"/>
    <w:rsid w:val="00246876"/>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1A9E"/>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BE3"/>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08"/>
    <w:rsid w:val="00291018"/>
    <w:rsid w:val="002916DB"/>
    <w:rsid w:val="002924FD"/>
    <w:rsid w:val="00292DA5"/>
    <w:rsid w:val="002940C2"/>
    <w:rsid w:val="00294C62"/>
    <w:rsid w:val="002953C2"/>
    <w:rsid w:val="00296B9C"/>
    <w:rsid w:val="00297C39"/>
    <w:rsid w:val="002A0849"/>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0F29"/>
    <w:rsid w:val="002C15DA"/>
    <w:rsid w:val="002C1FD0"/>
    <w:rsid w:val="002C26C7"/>
    <w:rsid w:val="002C446F"/>
    <w:rsid w:val="002C4612"/>
    <w:rsid w:val="002C47DA"/>
    <w:rsid w:val="002C503A"/>
    <w:rsid w:val="002C59EC"/>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10BA"/>
    <w:rsid w:val="002E31EA"/>
    <w:rsid w:val="002E3235"/>
    <w:rsid w:val="002E3CAF"/>
    <w:rsid w:val="002E449A"/>
    <w:rsid w:val="002E4A22"/>
    <w:rsid w:val="002E4FAF"/>
    <w:rsid w:val="002E5D06"/>
    <w:rsid w:val="002E74EF"/>
    <w:rsid w:val="002E7E14"/>
    <w:rsid w:val="002F05B7"/>
    <w:rsid w:val="002F0916"/>
    <w:rsid w:val="002F1439"/>
    <w:rsid w:val="002F1B97"/>
    <w:rsid w:val="002F3AA2"/>
    <w:rsid w:val="002F3BEB"/>
    <w:rsid w:val="002F42A3"/>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21A"/>
    <w:rsid w:val="00314494"/>
    <w:rsid w:val="00315051"/>
    <w:rsid w:val="003161F3"/>
    <w:rsid w:val="00316911"/>
    <w:rsid w:val="00316ABB"/>
    <w:rsid w:val="003179B8"/>
    <w:rsid w:val="00317F50"/>
    <w:rsid w:val="00320832"/>
    <w:rsid w:val="00320C55"/>
    <w:rsid w:val="0032202F"/>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105B"/>
    <w:rsid w:val="0034148D"/>
    <w:rsid w:val="00342196"/>
    <w:rsid w:val="00343765"/>
    <w:rsid w:val="003441A0"/>
    <w:rsid w:val="00344350"/>
    <w:rsid w:val="00344595"/>
    <w:rsid w:val="00344EA6"/>
    <w:rsid w:val="003467A5"/>
    <w:rsid w:val="00346823"/>
    <w:rsid w:val="0034697D"/>
    <w:rsid w:val="0034732B"/>
    <w:rsid w:val="0034752F"/>
    <w:rsid w:val="0035003D"/>
    <w:rsid w:val="00350671"/>
    <w:rsid w:val="0035085F"/>
    <w:rsid w:val="00350D62"/>
    <w:rsid w:val="003513DB"/>
    <w:rsid w:val="00352743"/>
    <w:rsid w:val="003535E6"/>
    <w:rsid w:val="003542D2"/>
    <w:rsid w:val="00354595"/>
    <w:rsid w:val="00356734"/>
    <w:rsid w:val="003567C7"/>
    <w:rsid w:val="00356AD1"/>
    <w:rsid w:val="003576A1"/>
    <w:rsid w:val="0035777C"/>
    <w:rsid w:val="00357DC8"/>
    <w:rsid w:val="00357E0B"/>
    <w:rsid w:val="00361012"/>
    <w:rsid w:val="003615B2"/>
    <w:rsid w:val="00361F10"/>
    <w:rsid w:val="0036368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6CCA"/>
    <w:rsid w:val="00387105"/>
    <w:rsid w:val="00387333"/>
    <w:rsid w:val="00391F19"/>
    <w:rsid w:val="0039222C"/>
    <w:rsid w:val="0039241A"/>
    <w:rsid w:val="003927C1"/>
    <w:rsid w:val="0039294F"/>
    <w:rsid w:val="00394451"/>
    <w:rsid w:val="003944F2"/>
    <w:rsid w:val="0039467E"/>
    <w:rsid w:val="00395F83"/>
    <w:rsid w:val="00396286"/>
    <w:rsid w:val="003963E0"/>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D719E"/>
    <w:rsid w:val="003E2267"/>
    <w:rsid w:val="003E2B17"/>
    <w:rsid w:val="003E425C"/>
    <w:rsid w:val="003E4563"/>
    <w:rsid w:val="003E4B17"/>
    <w:rsid w:val="003E4BC5"/>
    <w:rsid w:val="003E5086"/>
    <w:rsid w:val="003E6788"/>
    <w:rsid w:val="003E67B3"/>
    <w:rsid w:val="003E7124"/>
    <w:rsid w:val="003E7450"/>
    <w:rsid w:val="003F3C5A"/>
    <w:rsid w:val="003F3F98"/>
    <w:rsid w:val="003F4F6C"/>
    <w:rsid w:val="003F5257"/>
    <w:rsid w:val="003F664C"/>
    <w:rsid w:val="003F6C32"/>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23D8"/>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02E"/>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4D03"/>
    <w:rsid w:val="00456E9A"/>
    <w:rsid w:val="00457098"/>
    <w:rsid w:val="00457C00"/>
    <w:rsid w:val="00460775"/>
    <w:rsid w:val="004612F7"/>
    <w:rsid w:val="00462439"/>
    <w:rsid w:val="0046257C"/>
    <w:rsid w:val="0046273F"/>
    <w:rsid w:val="0046286C"/>
    <w:rsid w:val="00462D62"/>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4FDD"/>
    <w:rsid w:val="00495FB2"/>
    <w:rsid w:val="0049614B"/>
    <w:rsid w:val="00496902"/>
    <w:rsid w:val="004A028C"/>
    <w:rsid w:val="004A0507"/>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060"/>
    <w:rsid w:val="004C570D"/>
    <w:rsid w:val="004C6488"/>
    <w:rsid w:val="004C77EE"/>
    <w:rsid w:val="004D1CDF"/>
    <w:rsid w:val="004D2502"/>
    <w:rsid w:val="004D27B4"/>
    <w:rsid w:val="004D285A"/>
    <w:rsid w:val="004D2A78"/>
    <w:rsid w:val="004D2E2F"/>
    <w:rsid w:val="004D40D8"/>
    <w:rsid w:val="004D5228"/>
    <w:rsid w:val="004D5835"/>
    <w:rsid w:val="004D58F1"/>
    <w:rsid w:val="004D5F4F"/>
    <w:rsid w:val="004D61A5"/>
    <w:rsid w:val="004D6825"/>
    <w:rsid w:val="004D6F0F"/>
    <w:rsid w:val="004D6F55"/>
    <w:rsid w:val="004D78A3"/>
    <w:rsid w:val="004E07F6"/>
    <w:rsid w:val="004E11CB"/>
    <w:rsid w:val="004E21C8"/>
    <w:rsid w:val="004E3374"/>
    <w:rsid w:val="004E3B36"/>
    <w:rsid w:val="004E564C"/>
    <w:rsid w:val="004E5BEA"/>
    <w:rsid w:val="004E5E4C"/>
    <w:rsid w:val="004F2FF4"/>
    <w:rsid w:val="004F479E"/>
    <w:rsid w:val="004F529E"/>
    <w:rsid w:val="004F596C"/>
    <w:rsid w:val="004F6699"/>
    <w:rsid w:val="004F6B5D"/>
    <w:rsid w:val="004F7572"/>
    <w:rsid w:val="005003DA"/>
    <w:rsid w:val="0050175E"/>
    <w:rsid w:val="00501EEA"/>
    <w:rsid w:val="005024A5"/>
    <w:rsid w:val="005024F5"/>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3AC"/>
    <w:rsid w:val="00521F32"/>
    <w:rsid w:val="005220EF"/>
    <w:rsid w:val="00522582"/>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1CC"/>
    <w:rsid w:val="005737C3"/>
    <w:rsid w:val="0057490D"/>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0DBA"/>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DB8"/>
    <w:rsid w:val="005D2DE8"/>
    <w:rsid w:val="005D347D"/>
    <w:rsid w:val="005D4939"/>
    <w:rsid w:val="005D52D0"/>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4F"/>
    <w:rsid w:val="006061C7"/>
    <w:rsid w:val="0060682C"/>
    <w:rsid w:val="00607593"/>
    <w:rsid w:val="006079E6"/>
    <w:rsid w:val="00610322"/>
    <w:rsid w:val="00611672"/>
    <w:rsid w:val="006118A2"/>
    <w:rsid w:val="00611AB1"/>
    <w:rsid w:val="00611DD6"/>
    <w:rsid w:val="006125DE"/>
    <w:rsid w:val="00612B10"/>
    <w:rsid w:val="00612DF9"/>
    <w:rsid w:val="0061314E"/>
    <w:rsid w:val="006156EA"/>
    <w:rsid w:val="00616ABC"/>
    <w:rsid w:val="00616C12"/>
    <w:rsid w:val="00617734"/>
    <w:rsid w:val="006201DA"/>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36763"/>
    <w:rsid w:val="00637BD4"/>
    <w:rsid w:val="00640348"/>
    <w:rsid w:val="00643C50"/>
    <w:rsid w:val="00643C84"/>
    <w:rsid w:val="00644067"/>
    <w:rsid w:val="00644156"/>
    <w:rsid w:val="006446F0"/>
    <w:rsid w:val="006449CF"/>
    <w:rsid w:val="00644AFF"/>
    <w:rsid w:val="00645F0E"/>
    <w:rsid w:val="00646219"/>
    <w:rsid w:val="00646565"/>
    <w:rsid w:val="00646E48"/>
    <w:rsid w:val="00647403"/>
    <w:rsid w:val="00647548"/>
    <w:rsid w:val="00647C06"/>
    <w:rsid w:val="00647C66"/>
    <w:rsid w:val="00650E77"/>
    <w:rsid w:val="006537DA"/>
    <w:rsid w:val="00653E5F"/>
    <w:rsid w:val="006546CE"/>
    <w:rsid w:val="006567BB"/>
    <w:rsid w:val="0065681E"/>
    <w:rsid w:val="00657F33"/>
    <w:rsid w:val="00661976"/>
    <w:rsid w:val="00662C05"/>
    <w:rsid w:val="00663CBB"/>
    <w:rsid w:val="00664EEA"/>
    <w:rsid w:val="00665232"/>
    <w:rsid w:val="00665612"/>
    <w:rsid w:val="0066567A"/>
    <w:rsid w:val="00665E82"/>
    <w:rsid w:val="006660DA"/>
    <w:rsid w:val="00666C4F"/>
    <w:rsid w:val="00670736"/>
    <w:rsid w:val="006728D8"/>
    <w:rsid w:val="00672EE4"/>
    <w:rsid w:val="006734BC"/>
    <w:rsid w:val="00673ADB"/>
    <w:rsid w:val="006749F1"/>
    <w:rsid w:val="00674BF3"/>
    <w:rsid w:val="00675187"/>
    <w:rsid w:val="006753E2"/>
    <w:rsid w:val="00675961"/>
    <w:rsid w:val="00675C69"/>
    <w:rsid w:val="00676336"/>
    <w:rsid w:val="00676E8C"/>
    <w:rsid w:val="00677308"/>
    <w:rsid w:val="00677311"/>
    <w:rsid w:val="006777B4"/>
    <w:rsid w:val="00680BC1"/>
    <w:rsid w:val="00680EF7"/>
    <w:rsid w:val="006813FC"/>
    <w:rsid w:val="006816F3"/>
    <w:rsid w:val="00681E0D"/>
    <w:rsid w:val="0068236C"/>
    <w:rsid w:val="0068375E"/>
    <w:rsid w:val="00683FD1"/>
    <w:rsid w:val="00684452"/>
    <w:rsid w:val="00684966"/>
    <w:rsid w:val="00685606"/>
    <w:rsid w:val="00686BC1"/>
    <w:rsid w:val="006874E2"/>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266A"/>
    <w:rsid w:val="006A37A4"/>
    <w:rsid w:val="006A3A92"/>
    <w:rsid w:val="006A3D3F"/>
    <w:rsid w:val="006A3ECD"/>
    <w:rsid w:val="006A4280"/>
    <w:rsid w:val="006A4689"/>
    <w:rsid w:val="006A4A4B"/>
    <w:rsid w:val="006A4E88"/>
    <w:rsid w:val="006A6B3F"/>
    <w:rsid w:val="006A70C4"/>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B40"/>
    <w:rsid w:val="006C6143"/>
    <w:rsid w:val="006C6D19"/>
    <w:rsid w:val="006D0991"/>
    <w:rsid w:val="006D156D"/>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3CA8"/>
    <w:rsid w:val="00705F16"/>
    <w:rsid w:val="00707130"/>
    <w:rsid w:val="00707A22"/>
    <w:rsid w:val="00710777"/>
    <w:rsid w:val="00712CE1"/>
    <w:rsid w:val="0071419A"/>
    <w:rsid w:val="00715260"/>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27CF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5E1"/>
    <w:rsid w:val="00743CB7"/>
    <w:rsid w:val="0074461A"/>
    <w:rsid w:val="00745277"/>
    <w:rsid w:val="0074681A"/>
    <w:rsid w:val="00747B76"/>
    <w:rsid w:val="00747E9C"/>
    <w:rsid w:val="00747F31"/>
    <w:rsid w:val="007536E4"/>
    <w:rsid w:val="0075396C"/>
    <w:rsid w:val="00753C4E"/>
    <w:rsid w:val="007544BA"/>
    <w:rsid w:val="00754655"/>
    <w:rsid w:val="007558A2"/>
    <w:rsid w:val="00755A34"/>
    <w:rsid w:val="00756B6F"/>
    <w:rsid w:val="00757775"/>
    <w:rsid w:val="00761288"/>
    <w:rsid w:val="00761C9F"/>
    <w:rsid w:val="00761DCE"/>
    <w:rsid w:val="00762AA1"/>
    <w:rsid w:val="00763BFE"/>
    <w:rsid w:val="007640CB"/>
    <w:rsid w:val="007649AE"/>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2C"/>
    <w:rsid w:val="00775DD0"/>
    <w:rsid w:val="00775E8C"/>
    <w:rsid w:val="0077636A"/>
    <w:rsid w:val="007764D3"/>
    <w:rsid w:val="007814FB"/>
    <w:rsid w:val="007824B8"/>
    <w:rsid w:val="00782840"/>
    <w:rsid w:val="00782D41"/>
    <w:rsid w:val="0078469E"/>
    <w:rsid w:val="00785361"/>
    <w:rsid w:val="007875CC"/>
    <w:rsid w:val="0079064B"/>
    <w:rsid w:val="00791546"/>
    <w:rsid w:val="00791C84"/>
    <w:rsid w:val="00792866"/>
    <w:rsid w:val="007933DC"/>
    <w:rsid w:val="00793844"/>
    <w:rsid w:val="00793CD5"/>
    <w:rsid w:val="007947EE"/>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57D"/>
    <w:rsid w:val="00812E86"/>
    <w:rsid w:val="0081350C"/>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1886"/>
    <w:rsid w:val="008C266F"/>
    <w:rsid w:val="008C287F"/>
    <w:rsid w:val="008C2AC9"/>
    <w:rsid w:val="008C2FE1"/>
    <w:rsid w:val="008C326E"/>
    <w:rsid w:val="008C3877"/>
    <w:rsid w:val="008C5B79"/>
    <w:rsid w:val="008C5C30"/>
    <w:rsid w:val="008C6230"/>
    <w:rsid w:val="008D0625"/>
    <w:rsid w:val="008D0D87"/>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1FE0"/>
    <w:rsid w:val="008E2AD3"/>
    <w:rsid w:val="008E4766"/>
    <w:rsid w:val="008E4BA9"/>
    <w:rsid w:val="008E55C8"/>
    <w:rsid w:val="008E660A"/>
    <w:rsid w:val="008E6CE7"/>
    <w:rsid w:val="008E7552"/>
    <w:rsid w:val="008E7767"/>
    <w:rsid w:val="008E7DBC"/>
    <w:rsid w:val="008F088E"/>
    <w:rsid w:val="008F0CD4"/>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4DFD"/>
    <w:rsid w:val="00915293"/>
    <w:rsid w:val="009157AA"/>
    <w:rsid w:val="009173EB"/>
    <w:rsid w:val="0092033C"/>
    <w:rsid w:val="00920B30"/>
    <w:rsid w:val="0092101B"/>
    <w:rsid w:val="00921A55"/>
    <w:rsid w:val="00925C68"/>
    <w:rsid w:val="00925E4B"/>
    <w:rsid w:val="00925FE3"/>
    <w:rsid w:val="009262BD"/>
    <w:rsid w:val="00931027"/>
    <w:rsid w:val="009312E9"/>
    <w:rsid w:val="009318C1"/>
    <w:rsid w:val="00931D38"/>
    <w:rsid w:val="00932F75"/>
    <w:rsid w:val="0093359E"/>
    <w:rsid w:val="009336A9"/>
    <w:rsid w:val="00933A2B"/>
    <w:rsid w:val="00933EC4"/>
    <w:rsid w:val="00934AC2"/>
    <w:rsid w:val="00934F25"/>
    <w:rsid w:val="0093581E"/>
    <w:rsid w:val="00936289"/>
    <w:rsid w:val="009369A2"/>
    <w:rsid w:val="00936A7F"/>
    <w:rsid w:val="009372F2"/>
    <w:rsid w:val="00937376"/>
    <w:rsid w:val="00937A3A"/>
    <w:rsid w:val="00937B1B"/>
    <w:rsid w:val="00937D81"/>
    <w:rsid w:val="00940623"/>
    <w:rsid w:val="00945742"/>
    <w:rsid w:val="009457C2"/>
    <w:rsid w:val="00945D31"/>
    <w:rsid w:val="00945DB9"/>
    <w:rsid w:val="0094630A"/>
    <w:rsid w:val="009465AC"/>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181C"/>
    <w:rsid w:val="00972E8F"/>
    <w:rsid w:val="009736ED"/>
    <w:rsid w:val="00974832"/>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74B5"/>
    <w:rsid w:val="009877E6"/>
    <w:rsid w:val="00987E07"/>
    <w:rsid w:val="00987EF3"/>
    <w:rsid w:val="009935BC"/>
    <w:rsid w:val="009941FA"/>
    <w:rsid w:val="009946C2"/>
    <w:rsid w:val="009948FF"/>
    <w:rsid w:val="00995C4E"/>
    <w:rsid w:val="00995F7A"/>
    <w:rsid w:val="009961D7"/>
    <w:rsid w:val="009973AE"/>
    <w:rsid w:val="00997848"/>
    <w:rsid w:val="00997F61"/>
    <w:rsid w:val="009A0761"/>
    <w:rsid w:val="009A09A6"/>
    <w:rsid w:val="009A443F"/>
    <w:rsid w:val="009A53FB"/>
    <w:rsid w:val="009A5B53"/>
    <w:rsid w:val="009A6954"/>
    <w:rsid w:val="009B0697"/>
    <w:rsid w:val="009B0828"/>
    <w:rsid w:val="009B0A52"/>
    <w:rsid w:val="009B114A"/>
    <w:rsid w:val="009B1468"/>
    <w:rsid w:val="009B1B60"/>
    <w:rsid w:val="009B20E1"/>
    <w:rsid w:val="009B2404"/>
    <w:rsid w:val="009B355C"/>
    <w:rsid w:val="009B3EA3"/>
    <w:rsid w:val="009B5445"/>
    <w:rsid w:val="009B589E"/>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5872"/>
    <w:rsid w:val="009C6192"/>
    <w:rsid w:val="009C65DF"/>
    <w:rsid w:val="009C6CB0"/>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2CD3"/>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069DA"/>
    <w:rsid w:val="00A07A94"/>
    <w:rsid w:val="00A111FB"/>
    <w:rsid w:val="00A12752"/>
    <w:rsid w:val="00A12E9E"/>
    <w:rsid w:val="00A13B10"/>
    <w:rsid w:val="00A13B22"/>
    <w:rsid w:val="00A14727"/>
    <w:rsid w:val="00A15BDB"/>
    <w:rsid w:val="00A16074"/>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2738E"/>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DC2"/>
    <w:rsid w:val="00A65F5F"/>
    <w:rsid w:val="00A66596"/>
    <w:rsid w:val="00A67F10"/>
    <w:rsid w:val="00A707C8"/>
    <w:rsid w:val="00A71A83"/>
    <w:rsid w:val="00A73268"/>
    <w:rsid w:val="00A7437C"/>
    <w:rsid w:val="00A8053D"/>
    <w:rsid w:val="00A8079E"/>
    <w:rsid w:val="00A80E0D"/>
    <w:rsid w:val="00A81221"/>
    <w:rsid w:val="00A82443"/>
    <w:rsid w:val="00A82773"/>
    <w:rsid w:val="00A8340F"/>
    <w:rsid w:val="00A83961"/>
    <w:rsid w:val="00A83EDC"/>
    <w:rsid w:val="00A840E6"/>
    <w:rsid w:val="00A85885"/>
    <w:rsid w:val="00A85DA0"/>
    <w:rsid w:val="00A871D2"/>
    <w:rsid w:val="00A87BFE"/>
    <w:rsid w:val="00A90048"/>
    <w:rsid w:val="00A902E0"/>
    <w:rsid w:val="00A905B6"/>
    <w:rsid w:val="00A920D8"/>
    <w:rsid w:val="00A95C7B"/>
    <w:rsid w:val="00A964EA"/>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3433"/>
    <w:rsid w:val="00AD3F5E"/>
    <w:rsid w:val="00AD60D7"/>
    <w:rsid w:val="00AD6B28"/>
    <w:rsid w:val="00AD71BE"/>
    <w:rsid w:val="00AD73C8"/>
    <w:rsid w:val="00AD77CD"/>
    <w:rsid w:val="00AE007C"/>
    <w:rsid w:val="00AE0CFF"/>
    <w:rsid w:val="00AE10E1"/>
    <w:rsid w:val="00AE1136"/>
    <w:rsid w:val="00AE1FDC"/>
    <w:rsid w:val="00AE31DB"/>
    <w:rsid w:val="00AE3FA6"/>
    <w:rsid w:val="00AE46A3"/>
    <w:rsid w:val="00AE4867"/>
    <w:rsid w:val="00AE52C3"/>
    <w:rsid w:val="00AE619A"/>
    <w:rsid w:val="00AF0BDD"/>
    <w:rsid w:val="00AF17E1"/>
    <w:rsid w:val="00AF238A"/>
    <w:rsid w:val="00AF341B"/>
    <w:rsid w:val="00AF3639"/>
    <w:rsid w:val="00AF7B97"/>
    <w:rsid w:val="00AF7C6C"/>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2774"/>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306"/>
    <w:rsid w:val="00B26669"/>
    <w:rsid w:val="00B26F93"/>
    <w:rsid w:val="00B275EC"/>
    <w:rsid w:val="00B27B9D"/>
    <w:rsid w:val="00B307CB"/>
    <w:rsid w:val="00B30CEA"/>
    <w:rsid w:val="00B3108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5FA4"/>
    <w:rsid w:val="00B47783"/>
    <w:rsid w:val="00B50B1D"/>
    <w:rsid w:val="00B53172"/>
    <w:rsid w:val="00B53199"/>
    <w:rsid w:val="00B54D7E"/>
    <w:rsid w:val="00B54E09"/>
    <w:rsid w:val="00B55E44"/>
    <w:rsid w:val="00B562DA"/>
    <w:rsid w:val="00B571FD"/>
    <w:rsid w:val="00B605EA"/>
    <w:rsid w:val="00B60D36"/>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30A8"/>
    <w:rsid w:val="00B83382"/>
    <w:rsid w:val="00B83C21"/>
    <w:rsid w:val="00B85BC7"/>
    <w:rsid w:val="00B903CF"/>
    <w:rsid w:val="00B90557"/>
    <w:rsid w:val="00B91E17"/>
    <w:rsid w:val="00B932CD"/>
    <w:rsid w:val="00B9332C"/>
    <w:rsid w:val="00B935E6"/>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D3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259"/>
    <w:rsid w:val="00BD3C1C"/>
    <w:rsid w:val="00BD3C5A"/>
    <w:rsid w:val="00BD3EA9"/>
    <w:rsid w:val="00BD41FD"/>
    <w:rsid w:val="00BD4290"/>
    <w:rsid w:val="00BD554F"/>
    <w:rsid w:val="00BD6562"/>
    <w:rsid w:val="00BD6B81"/>
    <w:rsid w:val="00BD6BBE"/>
    <w:rsid w:val="00BD6C62"/>
    <w:rsid w:val="00BE1BAD"/>
    <w:rsid w:val="00BE2405"/>
    <w:rsid w:val="00BE2CA7"/>
    <w:rsid w:val="00BE2D3F"/>
    <w:rsid w:val="00BE4D94"/>
    <w:rsid w:val="00BE61F2"/>
    <w:rsid w:val="00BF0850"/>
    <w:rsid w:val="00BF311F"/>
    <w:rsid w:val="00BF4340"/>
    <w:rsid w:val="00BF664E"/>
    <w:rsid w:val="00BF72B7"/>
    <w:rsid w:val="00BF75A2"/>
    <w:rsid w:val="00BF79B1"/>
    <w:rsid w:val="00BF7DB7"/>
    <w:rsid w:val="00C01522"/>
    <w:rsid w:val="00C02C9D"/>
    <w:rsid w:val="00C0394C"/>
    <w:rsid w:val="00C03E0C"/>
    <w:rsid w:val="00C04945"/>
    <w:rsid w:val="00C05683"/>
    <w:rsid w:val="00C063E5"/>
    <w:rsid w:val="00C068B5"/>
    <w:rsid w:val="00C06DE2"/>
    <w:rsid w:val="00C07024"/>
    <w:rsid w:val="00C07381"/>
    <w:rsid w:val="00C07C60"/>
    <w:rsid w:val="00C10B3D"/>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3214"/>
    <w:rsid w:val="00C34257"/>
    <w:rsid w:val="00C35021"/>
    <w:rsid w:val="00C360D2"/>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018F"/>
    <w:rsid w:val="00C608E2"/>
    <w:rsid w:val="00C615CA"/>
    <w:rsid w:val="00C64BCB"/>
    <w:rsid w:val="00C64F44"/>
    <w:rsid w:val="00C65F0F"/>
    <w:rsid w:val="00C662C0"/>
    <w:rsid w:val="00C66573"/>
    <w:rsid w:val="00C6672A"/>
    <w:rsid w:val="00C67C3F"/>
    <w:rsid w:val="00C67F29"/>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97366"/>
    <w:rsid w:val="00CA27AE"/>
    <w:rsid w:val="00CA3018"/>
    <w:rsid w:val="00CA3F6F"/>
    <w:rsid w:val="00CA4B17"/>
    <w:rsid w:val="00CA560B"/>
    <w:rsid w:val="00CA5B5F"/>
    <w:rsid w:val="00CA6DDA"/>
    <w:rsid w:val="00CA7549"/>
    <w:rsid w:val="00CA7960"/>
    <w:rsid w:val="00CB03AD"/>
    <w:rsid w:val="00CB2C32"/>
    <w:rsid w:val="00CB2EA8"/>
    <w:rsid w:val="00CB564D"/>
    <w:rsid w:val="00CB57BB"/>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6E70"/>
    <w:rsid w:val="00CC770F"/>
    <w:rsid w:val="00CC77C2"/>
    <w:rsid w:val="00CC7B89"/>
    <w:rsid w:val="00CC7DFB"/>
    <w:rsid w:val="00CD0BFA"/>
    <w:rsid w:val="00CD1CCB"/>
    <w:rsid w:val="00CD23A1"/>
    <w:rsid w:val="00CD2A74"/>
    <w:rsid w:val="00CD2DA9"/>
    <w:rsid w:val="00CD2F4C"/>
    <w:rsid w:val="00CD3897"/>
    <w:rsid w:val="00CD427F"/>
    <w:rsid w:val="00CD43E7"/>
    <w:rsid w:val="00CD4698"/>
    <w:rsid w:val="00CD48EF"/>
    <w:rsid w:val="00CD5073"/>
    <w:rsid w:val="00CD5558"/>
    <w:rsid w:val="00CD56F2"/>
    <w:rsid w:val="00CD5F26"/>
    <w:rsid w:val="00CD6319"/>
    <w:rsid w:val="00CD6D88"/>
    <w:rsid w:val="00CD71DB"/>
    <w:rsid w:val="00CE04AB"/>
    <w:rsid w:val="00CE0C17"/>
    <w:rsid w:val="00CE1FF4"/>
    <w:rsid w:val="00CE4269"/>
    <w:rsid w:val="00CE53FC"/>
    <w:rsid w:val="00CE5648"/>
    <w:rsid w:val="00CE568B"/>
    <w:rsid w:val="00CE5C5E"/>
    <w:rsid w:val="00CE76CE"/>
    <w:rsid w:val="00CE7D72"/>
    <w:rsid w:val="00CF03B6"/>
    <w:rsid w:val="00CF1375"/>
    <w:rsid w:val="00CF3A57"/>
    <w:rsid w:val="00CF4185"/>
    <w:rsid w:val="00CF4280"/>
    <w:rsid w:val="00CF5635"/>
    <w:rsid w:val="00CF588B"/>
    <w:rsid w:val="00CF5DFF"/>
    <w:rsid w:val="00CF6943"/>
    <w:rsid w:val="00CF71E6"/>
    <w:rsid w:val="00CF7B2B"/>
    <w:rsid w:val="00CF7D03"/>
    <w:rsid w:val="00D027C9"/>
    <w:rsid w:val="00D02D19"/>
    <w:rsid w:val="00D035BA"/>
    <w:rsid w:val="00D04597"/>
    <w:rsid w:val="00D060E5"/>
    <w:rsid w:val="00D06843"/>
    <w:rsid w:val="00D068B8"/>
    <w:rsid w:val="00D06A5F"/>
    <w:rsid w:val="00D07464"/>
    <w:rsid w:val="00D07D2C"/>
    <w:rsid w:val="00D104D4"/>
    <w:rsid w:val="00D11C3E"/>
    <w:rsid w:val="00D11F86"/>
    <w:rsid w:val="00D127E4"/>
    <w:rsid w:val="00D12976"/>
    <w:rsid w:val="00D1369D"/>
    <w:rsid w:val="00D13ECA"/>
    <w:rsid w:val="00D1539D"/>
    <w:rsid w:val="00D157A7"/>
    <w:rsid w:val="00D15D89"/>
    <w:rsid w:val="00D16FDE"/>
    <w:rsid w:val="00D174BC"/>
    <w:rsid w:val="00D1774F"/>
    <w:rsid w:val="00D2028D"/>
    <w:rsid w:val="00D21257"/>
    <w:rsid w:val="00D21F02"/>
    <w:rsid w:val="00D21F04"/>
    <w:rsid w:val="00D2206A"/>
    <w:rsid w:val="00D2319B"/>
    <w:rsid w:val="00D24902"/>
    <w:rsid w:val="00D24DC9"/>
    <w:rsid w:val="00D258C7"/>
    <w:rsid w:val="00D274AB"/>
    <w:rsid w:val="00D27ADC"/>
    <w:rsid w:val="00D27C90"/>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4FF"/>
    <w:rsid w:val="00D5277C"/>
    <w:rsid w:val="00D537FB"/>
    <w:rsid w:val="00D54A29"/>
    <w:rsid w:val="00D5505F"/>
    <w:rsid w:val="00D5595F"/>
    <w:rsid w:val="00D56227"/>
    <w:rsid w:val="00D56397"/>
    <w:rsid w:val="00D571BB"/>
    <w:rsid w:val="00D574E2"/>
    <w:rsid w:val="00D61660"/>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2CF1"/>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A9C"/>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A89"/>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3A5"/>
    <w:rsid w:val="00DD77D5"/>
    <w:rsid w:val="00DD78E3"/>
    <w:rsid w:val="00DE0E14"/>
    <w:rsid w:val="00DE14C8"/>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678"/>
    <w:rsid w:val="00DF1980"/>
    <w:rsid w:val="00DF1F1D"/>
    <w:rsid w:val="00DF250A"/>
    <w:rsid w:val="00DF27AB"/>
    <w:rsid w:val="00DF27BD"/>
    <w:rsid w:val="00DF2BA6"/>
    <w:rsid w:val="00DF2CC7"/>
    <w:rsid w:val="00DF2E24"/>
    <w:rsid w:val="00DF2F2F"/>
    <w:rsid w:val="00DF3673"/>
    <w:rsid w:val="00DF4200"/>
    <w:rsid w:val="00DF54F5"/>
    <w:rsid w:val="00DF61B0"/>
    <w:rsid w:val="00DF72F8"/>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4893"/>
    <w:rsid w:val="00E3643B"/>
    <w:rsid w:val="00E377E4"/>
    <w:rsid w:val="00E37E28"/>
    <w:rsid w:val="00E415D4"/>
    <w:rsid w:val="00E41903"/>
    <w:rsid w:val="00E42517"/>
    <w:rsid w:val="00E42747"/>
    <w:rsid w:val="00E427BD"/>
    <w:rsid w:val="00E42AFF"/>
    <w:rsid w:val="00E42B46"/>
    <w:rsid w:val="00E43273"/>
    <w:rsid w:val="00E4353B"/>
    <w:rsid w:val="00E440EE"/>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E5D"/>
    <w:rsid w:val="00E617AF"/>
    <w:rsid w:val="00E619F8"/>
    <w:rsid w:val="00E61C81"/>
    <w:rsid w:val="00E62B24"/>
    <w:rsid w:val="00E63149"/>
    <w:rsid w:val="00E63B6A"/>
    <w:rsid w:val="00E63E95"/>
    <w:rsid w:val="00E663A3"/>
    <w:rsid w:val="00E668EB"/>
    <w:rsid w:val="00E67399"/>
    <w:rsid w:val="00E706C3"/>
    <w:rsid w:val="00E71A3A"/>
    <w:rsid w:val="00E727AE"/>
    <w:rsid w:val="00E72AC0"/>
    <w:rsid w:val="00E7341C"/>
    <w:rsid w:val="00E73A1D"/>
    <w:rsid w:val="00E74795"/>
    <w:rsid w:val="00E75734"/>
    <w:rsid w:val="00E75C56"/>
    <w:rsid w:val="00E76167"/>
    <w:rsid w:val="00E76AB0"/>
    <w:rsid w:val="00E7744B"/>
    <w:rsid w:val="00E774DA"/>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D09BF"/>
    <w:rsid w:val="00ED15BB"/>
    <w:rsid w:val="00ED1975"/>
    <w:rsid w:val="00ED1AE4"/>
    <w:rsid w:val="00ED1E26"/>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E26"/>
    <w:rsid w:val="00EF7C00"/>
    <w:rsid w:val="00F01C2D"/>
    <w:rsid w:val="00F0247F"/>
    <w:rsid w:val="00F038AE"/>
    <w:rsid w:val="00F04CF5"/>
    <w:rsid w:val="00F06223"/>
    <w:rsid w:val="00F06F27"/>
    <w:rsid w:val="00F06FE4"/>
    <w:rsid w:val="00F0785E"/>
    <w:rsid w:val="00F10299"/>
    <w:rsid w:val="00F11277"/>
    <w:rsid w:val="00F11696"/>
    <w:rsid w:val="00F11B56"/>
    <w:rsid w:val="00F131A5"/>
    <w:rsid w:val="00F13DE0"/>
    <w:rsid w:val="00F1433A"/>
    <w:rsid w:val="00F150F3"/>
    <w:rsid w:val="00F16886"/>
    <w:rsid w:val="00F17632"/>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37C5"/>
    <w:rsid w:val="00F442E3"/>
    <w:rsid w:val="00F44C3F"/>
    <w:rsid w:val="00F44FD3"/>
    <w:rsid w:val="00F461F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5B8A"/>
    <w:rsid w:val="00F869FA"/>
    <w:rsid w:val="00F8707F"/>
    <w:rsid w:val="00F872A9"/>
    <w:rsid w:val="00F87A5B"/>
    <w:rsid w:val="00F87A83"/>
    <w:rsid w:val="00F910D1"/>
    <w:rsid w:val="00F92A7B"/>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451C"/>
    <w:rsid w:val="00FB587B"/>
    <w:rsid w:val="00FB6A85"/>
    <w:rsid w:val="00FB6E04"/>
    <w:rsid w:val="00FB6E40"/>
    <w:rsid w:val="00FB7645"/>
    <w:rsid w:val="00FC0E85"/>
    <w:rsid w:val="00FC1630"/>
    <w:rsid w:val="00FC1C96"/>
    <w:rsid w:val="00FC2429"/>
    <w:rsid w:val="00FC34B4"/>
    <w:rsid w:val="00FC4FFA"/>
    <w:rsid w:val="00FC74C3"/>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5DE0"/>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3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C6C"/>
    <w:rPr>
      <w:rFonts w:ascii="Times New Roman" w:hAnsi="Times New Roman"/>
    </w:rPr>
  </w:style>
  <w:style w:type="paragraph" w:styleId="FootnoteText">
    <w:name w:val="footnote text"/>
    <w:basedOn w:val="Normal"/>
    <w:link w:val="FootnoteTextChar"/>
    <w:semiHidden/>
    <w:unhideWhenUsed/>
    <w:rsid w:val="007814FB"/>
  </w:style>
  <w:style w:type="character" w:customStyle="1" w:styleId="FootnoteTextChar">
    <w:name w:val="Footnote Text Char"/>
    <w:basedOn w:val="DefaultParagraphFont"/>
    <w:link w:val="FootnoteText"/>
    <w:semiHidden/>
    <w:rsid w:val="007814FB"/>
    <w:rPr>
      <w:rFonts w:ascii="Times New Roman" w:hAnsi="Times New Roman"/>
    </w:rPr>
  </w:style>
  <w:style w:type="character" w:styleId="FootnoteReference">
    <w:name w:val="footnote reference"/>
    <w:basedOn w:val="DefaultParagraphFont"/>
    <w:semiHidden/>
    <w:unhideWhenUsed/>
    <w:rsid w:val="0078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199785389">
      <w:bodyDiv w:val="1"/>
      <w:marLeft w:val="0"/>
      <w:marRight w:val="0"/>
      <w:marTop w:val="0"/>
      <w:marBottom w:val="0"/>
      <w:divBdr>
        <w:top w:val="none" w:sz="0" w:space="0" w:color="auto"/>
        <w:left w:val="none" w:sz="0" w:space="0" w:color="auto"/>
        <w:bottom w:val="none" w:sz="0" w:space="0" w:color="auto"/>
        <w:right w:val="none" w:sz="0" w:space="0" w:color="auto"/>
      </w:divBdr>
    </w:div>
    <w:div w:id="229122679">
      <w:bodyDiv w:val="1"/>
      <w:marLeft w:val="0"/>
      <w:marRight w:val="0"/>
      <w:marTop w:val="0"/>
      <w:marBottom w:val="0"/>
      <w:divBdr>
        <w:top w:val="none" w:sz="0" w:space="0" w:color="auto"/>
        <w:left w:val="none" w:sz="0" w:space="0" w:color="auto"/>
        <w:bottom w:val="none" w:sz="0" w:space="0" w:color="auto"/>
        <w:right w:val="none" w:sz="0" w:space="0" w:color="auto"/>
      </w:divBdr>
      <w:divsChild>
        <w:div w:id="1101880848">
          <w:marLeft w:val="0"/>
          <w:marRight w:val="0"/>
          <w:marTop w:val="0"/>
          <w:marBottom w:val="0"/>
          <w:divBdr>
            <w:top w:val="none" w:sz="0" w:space="0" w:color="auto"/>
            <w:left w:val="none" w:sz="0" w:space="0" w:color="auto"/>
            <w:bottom w:val="none" w:sz="0" w:space="0" w:color="auto"/>
            <w:right w:val="none" w:sz="0" w:space="0" w:color="auto"/>
          </w:divBdr>
        </w:div>
        <w:div w:id="1050806186">
          <w:marLeft w:val="0"/>
          <w:marRight w:val="0"/>
          <w:marTop w:val="0"/>
          <w:marBottom w:val="0"/>
          <w:divBdr>
            <w:top w:val="none" w:sz="0" w:space="0" w:color="auto"/>
            <w:left w:val="none" w:sz="0" w:space="0" w:color="auto"/>
            <w:bottom w:val="none" w:sz="0" w:space="0" w:color="auto"/>
            <w:right w:val="none" w:sz="0" w:space="0" w:color="auto"/>
          </w:divBdr>
        </w:div>
        <w:div w:id="293871822">
          <w:marLeft w:val="0"/>
          <w:marRight w:val="0"/>
          <w:marTop w:val="0"/>
          <w:marBottom w:val="0"/>
          <w:divBdr>
            <w:top w:val="none" w:sz="0" w:space="0" w:color="auto"/>
            <w:left w:val="none" w:sz="0" w:space="0" w:color="auto"/>
            <w:bottom w:val="none" w:sz="0" w:space="0" w:color="auto"/>
            <w:right w:val="none" w:sz="0" w:space="0" w:color="auto"/>
          </w:divBdr>
        </w:div>
        <w:div w:id="530073058">
          <w:marLeft w:val="0"/>
          <w:marRight w:val="0"/>
          <w:marTop w:val="0"/>
          <w:marBottom w:val="0"/>
          <w:divBdr>
            <w:top w:val="none" w:sz="0" w:space="0" w:color="auto"/>
            <w:left w:val="none" w:sz="0" w:space="0" w:color="auto"/>
            <w:bottom w:val="none" w:sz="0" w:space="0" w:color="auto"/>
            <w:right w:val="none" w:sz="0" w:space="0" w:color="auto"/>
          </w:divBdr>
        </w:div>
      </w:divsChild>
    </w:div>
    <w:div w:id="255600873">
      <w:bodyDiv w:val="1"/>
      <w:marLeft w:val="0"/>
      <w:marRight w:val="0"/>
      <w:marTop w:val="0"/>
      <w:marBottom w:val="0"/>
      <w:divBdr>
        <w:top w:val="none" w:sz="0" w:space="0" w:color="auto"/>
        <w:left w:val="none" w:sz="0" w:space="0" w:color="auto"/>
        <w:bottom w:val="none" w:sz="0" w:space="0" w:color="auto"/>
        <w:right w:val="none" w:sz="0" w:space="0" w:color="auto"/>
      </w:divBdr>
    </w:div>
    <w:div w:id="277027623">
      <w:bodyDiv w:val="1"/>
      <w:marLeft w:val="0"/>
      <w:marRight w:val="0"/>
      <w:marTop w:val="0"/>
      <w:marBottom w:val="0"/>
      <w:divBdr>
        <w:top w:val="none" w:sz="0" w:space="0" w:color="auto"/>
        <w:left w:val="none" w:sz="0" w:space="0" w:color="auto"/>
        <w:bottom w:val="none" w:sz="0" w:space="0" w:color="auto"/>
        <w:right w:val="none" w:sz="0" w:space="0" w:color="auto"/>
      </w:divBdr>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683702957">
      <w:bodyDiv w:val="1"/>
      <w:marLeft w:val="0"/>
      <w:marRight w:val="0"/>
      <w:marTop w:val="0"/>
      <w:marBottom w:val="0"/>
      <w:divBdr>
        <w:top w:val="none" w:sz="0" w:space="0" w:color="auto"/>
        <w:left w:val="none" w:sz="0" w:space="0" w:color="auto"/>
        <w:bottom w:val="none" w:sz="0" w:space="0" w:color="auto"/>
        <w:right w:val="none" w:sz="0" w:space="0" w:color="auto"/>
      </w:divBdr>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1258433">
      <w:bodyDiv w:val="1"/>
      <w:marLeft w:val="0"/>
      <w:marRight w:val="0"/>
      <w:marTop w:val="0"/>
      <w:marBottom w:val="0"/>
      <w:divBdr>
        <w:top w:val="none" w:sz="0" w:space="0" w:color="auto"/>
        <w:left w:val="none" w:sz="0" w:space="0" w:color="auto"/>
        <w:bottom w:val="none" w:sz="0" w:space="0" w:color="auto"/>
        <w:right w:val="none" w:sz="0" w:space="0" w:color="auto"/>
      </w:divBdr>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3020163/ex_545120.htm" TargetMode="Externa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3012551/ex_510145.htm"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7255</Words>
  <Characters>43546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GeoVax Labs Inc.</cp:lastModifiedBy>
  <cp:revision>4</cp:revision>
  <cp:lastPrinted>2023-05-01T21:36:00Z</cp:lastPrinted>
  <dcterms:created xsi:type="dcterms:W3CDTF">2023-08-03T12:00:00Z</dcterms:created>
  <dcterms:modified xsi:type="dcterms:W3CDTF">2023-08-03T12:19:00Z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