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000000"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4A76856E" w:rsidR="008D7E3A" w:rsidRDefault="008D7E3A" w:rsidP="008D7E3A">
      <w:pPr>
        <w:ind w:left="144" w:right="144"/>
        <w:jc w:val="center"/>
        <w:rPr>
          <w:sz w:val="20"/>
          <w:szCs w:val="20"/>
        </w:rPr>
      </w:pPr>
      <w:r>
        <w:rPr>
          <w:b/>
          <w:bCs/>
          <w:sz w:val="20"/>
          <w:szCs w:val="20"/>
        </w:rPr>
        <w:t>Date of report (Date of earliest event reported):  </w:t>
      </w:r>
      <w:r w:rsidR="00914FA8">
        <w:rPr>
          <w:b/>
          <w:bCs/>
          <w:sz w:val="20"/>
          <w:szCs w:val="20"/>
        </w:rPr>
        <w:t>June</w:t>
      </w:r>
      <w:r w:rsidR="000850CC">
        <w:rPr>
          <w:b/>
          <w:bCs/>
          <w:sz w:val="20"/>
          <w:szCs w:val="20"/>
        </w:rPr>
        <w:t xml:space="preserve"> </w:t>
      </w:r>
      <w:r w:rsidR="00EB7A8A">
        <w:rPr>
          <w:b/>
          <w:bCs/>
          <w:sz w:val="20"/>
          <w:szCs w:val="20"/>
        </w:rPr>
        <w:t>8</w:t>
      </w:r>
      <w:r>
        <w:rPr>
          <w:b/>
          <w:bCs/>
          <w:sz w:val="20"/>
          <w:szCs w:val="20"/>
        </w:rPr>
        <w:t>, 202</w:t>
      </w:r>
      <w:r w:rsidR="00914FA8">
        <w:rPr>
          <w:b/>
          <w:bCs/>
          <w:sz w:val="20"/>
          <w:szCs w:val="20"/>
        </w:rPr>
        <w:t>3</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000000"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2B28EAC3" w14:textId="025EC905" w:rsidR="00CB3D5C" w:rsidRDefault="008D7E3A" w:rsidP="00C36B57">
      <w:pPr>
        <w:ind w:left="144" w:right="144"/>
        <w:rPr>
          <w:sz w:val="20"/>
          <w:szCs w:val="20"/>
        </w:rPr>
      </w:pPr>
      <w:r>
        <w:rPr>
          <w:sz w:val="20"/>
          <w:szCs w:val="20"/>
        </w:rPr>
        <w:t> </w:t>
      </w:r>
    </w:p>
    <w:p w14:paraId="68BAEFFD" w14:textId="2AC59DCA" w:rsidR="00F9508E" w:rsidRDefault="00F9508E" w:rsidP="00F9508E">
      <w:pPr>
        <w:ind w:left="144" w:right="144"/>
        <w:jc w:val="both"/>
        <w:rPr>
          <w:sz w:val="20"/>
          <w:szCs w:val="20"/>
        </w:rPr>
      </w:pPr>
      <w:r>
        <w:rPr>
          <w:sz w:val="20"/>
          <w:szCs w:val="20"/>
        </w:rPr>
        <w:t>This Current Report on Form 8-K and other reports filed by GeoVax Labs, Inc. (the “Company</w:t>
      </w:r>
      <w:r w:rsidR="00EC14ED">
        <w:rPr>
          <w:sz w:val="20"/>
          <w:szCs w:val="20"/>
        </w:rPr>
        <w:t>,</w:t>
      </w:r>
      <w:r>
        <w:rPr>
          <w:sz w:val="20"/>
          <w:szCs w:val="20"/>
        </w:rPr>
        <w:t>”</w:t>
      </w:r>
      <w:r w:rsidR="00EC14ED">
        <w:rPr>
          <w:sz w:val="20"/>
          <w:szCs w:val="20"/>
        </w:rPr>
        <w:t xml:space="preserve"> “us” or “we”</w:t>
      </w:r>
      <w:r>
        <w:rPr>
          <w:sz w:val="20"/>
          <w:szCs w:val="20"/>
        </w:rPr>
        <w:t>)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w:t>
      </w:r>
      <w:r w:rsidRPr="00314FC4">
        <w:rPr>
          <w:sz w:val="20"/>
          <w:szCs w:val="20"/>
        </w:rPr>
        <w:t xml:space="preserve">believe,” “look forward to,” “may,” “estimate,” “continue,” “anticipate,” “intend,” “should,” “plan,” “could,” </w:t>
      </w:r>
      <w:r>
        <w:rPr>
          <w:sz w:val="20"/>
          <w:szCs w:val="20"/>
        </w:rPr>
        <w:t xml:space="preserve">“desire,” </w:t>
      </w:r>
      <w:r w:rsidRPr="00314FC4">
        <w:rPr>
          <w:sz w:val="20"/>
          <w:szCs w:val="20"/>
        </w:rPr>
        <w:t>“target,” “potential,” “is likely,” “will,” “expect”</w:t>
      </w:r>
      <w:r>
        <w:rPr>
          <w:sz w:val="20"/>
          <w:szCs w:val="20"/>
        </w:rPr>
        <w:t xml:space="preserve"> or the negative of these terms and similar expressions as they relate to the Company or the Company’s management identify forward looking statements.  Such statements reflect the current view of the Company with respect to future events and are subject to risks, uncertainties, </w:t>
      </w:r>
      <w:proofErr w:type="gramStart"/>
      <w:r>
        <w:rPr>
          <w:sz w:val="20"/>
          <w:szCs w:val="20"/>
        </w:rPr>
        <w:t>assumptions</w:t>
      </w:r>
      <w:proofErr w:type="gramEnd"/>
      <w:r>
        <w:rPr>
          <w:sz w:val="20"/>
          <w:szCs w:val="20"/>
        </w:rPr>
        <w:t xml:space="preserve">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Company does not undertake to update its forward-looking statements.</w:t>
      </w:r>
    </w:p>
    <w:p w14:paraId="66959998" w14:textId="04C853BC" w:rsidR="00F9508E" w:rsidRDefault="00F9508E" w:rsidP="00F9508E">
      <w:pPr>
        <w:ind w:left="144" w:right="144"/>
        <w:jc w:val="both"/>
        <w:rPr>
          <w:sz w:val="20"/>
          <w:szCs w:val="20"/>
        </w:rPr>
      </w:pPr>
    </w:p>
    <w:p w14:paraId="27539B9F" w14:textId="293A07DD" w:rsidR="00C524E3" w:rsidRPr="00C524E3" w:rsidRDefault="00C524E3" w:rsidP="00C524E3">
      <w:pPr>
        <w:ind w:left="144" w:right="144"/>
        <w:jc w:val="both"/>
        <w:rPr>
          <w:sz w:val="20"/>
          <w:szCs w:val="20"/>
        </w:rPr>
      </w:pPr>
      <w:r w:rsidRPr="00C524E3">
        <w:rPr>
          <w:b/>
          <w:bCs/>
          <w:sz w:val="20"/>
          <w:szCs w:val="20"/>
        </w:rPr>
        <w:t xml:space="preserve">Item </w:t>
      </w:r>
      <w:r w:rsidR="00BD31FD">
        <w:rPr>
          <w:b/>
          <w:bCs/>
          <w:sz w:val="20"/>
          <w:szCs w:val="20"/>
        </w:rPr>
        <w:t>3.01</w:t>
      </w:r>
      <w:r w:rsidR="00B55645">
        <w:rPr>
          <w:b/>
          <w:bCs/>
          <w:sz w:val="20"/>
          <w:szCs w:val="20"/>
        </w:rPr>
        <w:tab/>
      </w:r>
      <w:r w:rsidR="00BD31FD" w:rsidRPr="00BD31FD">
        <w:rPr>
          <w:b/>
          <w:bCs/>
          <w:sz w:val="20"/>
          <w:szCs w:val="20"/>
        </w:rPr>
        <w:t xml:space="preserve">Notice of Delisting or Failure to Satisfy a Continued Listing Rule or </w:t>
      </w:r>
      <w:proofErr w:type="gramStart"/>
      <w:r w:rsidR="00BD31FD" w:rsidRPr="00BD31FD">
        <w:rPr>
          <w:b/>
          <w:bCs/>
          <w:sz w:val="20"/>
          <w:szCs w:val="20"/>
        </w:rPr>
        <w:t>Standard;</w:t>
      </w:r>
      <w:proofErr w:type="gramEnd"/>
      <w:r w:rsidR="00BD31FD" w:rsidRPr="00BD31FD">
        <w:rPr>
          <w:b/>
          <w:bCs/>
          <w:sz w:val="20"/>
          <w:szCs w:val="20"/>
        </w:rPr>
        <w:t xml:space="preserve"> Transfer of Listing</w:t>
      </w:r>
      <w:r w:rsidRPr="00C524E3">
        <w:rPr>
          <w:b/>
          <w:bCs/>
          <w:sz w:val="20"/>
          <w:szCs w:val="20"/>
        </w:rPr>
        <w:t>.</w:t>
      </w:r>
    </w:p>
    <w:p w14:paraId="193E3A71" w14:textId="324C6DFF" w:rsidR="00DF2B44" w:rsidRDefault="00DF2B44" w:rsidP="00C524E3">
      <w:pPr>
        <w:ind w:left="144" w:right="144"/>
        <w:jc w:val="both"/>
        <w:rPr>
          <w:sz w:val="20"/>
          <w:szCs w:val="20"/>
        </w:rPr>
      </w:pPr>
    </w:p>
    <w:p w14:paraId="2CC72537" w14:textId="3F898464" w:rsidR="00BD31FD" w:rsidRDefault="00BD31FD" w:rsidP="00914FA8">
      <w:pPr>
        <w:ind w:left="180" w:right="144"/>
        <w:jc w:val="both"/>
        <w:rPr>
          <w:sz w:val="20"/>
          <w:szCs w:val="20"/>
        </w:rPr>
      </w:pPr>
      <w:r w:rsidRPr="00BD31FD">
        <w:rPr>
          <w:sz w:val="20"/>
          <w:szCs w:val="20"/>
        </w:rPr>
        <w:t xml:space="preserve">On </w:t>
      </w:r>
      <w:r>
        <w:rPr>
          <w:sz w:val="20"/>
          <w:szCs w:val="20"/>
        </w:rPr>
        <w:t>December</w:t>
      </w:r>
      <w:r w:rsidRPr="00BD31FD">
        <w:rPr>
          <w:sz w:val="20"/>
          <w:szCs w:val="20"/>
        </w:rPr>
        <w:t xml:space="preserve"> </w:t>
      </w:r>
      <w:r w:rsidR="00AB6B8D">
        <w:rPr>
          <w:sz w:val="20"/>
          <w:szCs w:val="20"/>
        </w:rPr>
        <w:t>9</w:t>
      </w:r>
      <w:r w:rsidRPr="00BD31FD">
        <w:rPr>
          <w:sz w:val="20"/>
          <w:szCs w:val="20"/>
        </w:rPr>
        <w:t xml:space="preserve">, 2022, the Company received a deficiency letter from the Listing Qualifications Department of the Nasdaq Stock Market (“Nasdaq”) notifying the Company that, for the preceding 30 consecutive business days, the closing bid price for the Company’s common stock was below the minimum $1.00 per share requirement for continued inclusion on The Nasdaq Capital Market pursuant to Nasdaq Listing Rule 5550(a)(2) (the “Bid Price Requirement”). In accordance with Nasdaq rules, the Company </w:t>
      </w:r>
      <w:r w:rsidR="00914FA8">
        <w:rPr>
          <w:sz w:val="20"/>
          <w:szCs w:val="20"/>
        </w:rPr>
        <w:t>was</w:t>
      </w:r>
      <w:r w:rsidRPr="00BD31FD">
        <w:rPr>
          <w:sz w:val="20"/>
          <w:szCs w:val="20"/>
        </w:rPr>
        <w:t xml:space="preserve"> provided an initial period of 180 calendar days, or until </w:t>
      </w:r>
      <w:r w:rsidR="00617423">
        <w:rPr>
          <w:sz w:val="20"/>
          <w:szCs w:val="20"/>
        </w:rPr>
        <w:t>June 7</w:t>
      </w:r>
      <w:r>
        <w:rPr>
          <w:sz w:val="20"/>
          <w:szCs w:val="20"/>
        </w:rPr>
        <w:t>, 2023</w:t>
      </w:r>
      <w:r w:rsidRPr="00BD31FD">
        <w:rPr>
          <w:sz w:val="20"/>
          <w:szCs w:val="20"/>
        </w:rPr>
        <w:t xml:space="preserve">, to regain compliance with the Bid Price Requirement. </w:t>
      </w:r>
    </w:p>
    <w:p w14:paraId="6691EF16" w14:textId="77777777" w:rsidR="00BD31FD" w:rsidRPr="00BD31FD" w:rsidRDefault="00BD31FD" w:rsidP="00BD31FD">
      <w:pPr>
        <w:ind w:left="180" w:right="144"/>
        <w:jc w:val="both"/>
        <w:rPr>
          <w:sz w:val="20"/>
          <w:szCs w:val="20"/>
        </w:rPr>
      </w:pPr>
    </w:p>
    <w:p w14:paraId="0B94B17E" w14:textId="73092A61" w:rsidR="00914FA8" w:rsidRPr="00914FA8" w:rsidRDefault="00476A7F" w:rsidP="00914FA8">
      <w:pPr>
        <w:ind w:left="180" w:right="144"/>
        <w:jc w:val="both"/>
        <w:rPr>
          <w:sz w:val="20"/>
          <w:szCs w:val="20"/>
        </w:rPr>
      </w:pPr>
      <w:r>
        <w:rPr>
          <w:sz w:val="20"/>
          <w:szCs w:val="20"/>
        </w:rPr>
        <w:t xml:space="preserve">The Company requested a 180-day extension to regain compliance with the Bid Price Requirement and, on </w:t>
      </w:r>
      <w:r w:rsidR="00914FA8">
        <w:rPr>
          <w:sz w:val="20"/>
          <w:szCs w:val="20"/>
        </w:rPr>
        <w:t xml:space="preserve">June </w:t>
      </w:r>
      <w:r w:rsidR="00EB7A8A">
        <w:rPr>
          <w:sz w:val="20"/>
          <w:szCs w:val="20"/>
        </w:rPr>
        <w:t>8</w:t>
      </w:r>
      <w:r w:rsidR="00914FA8">
        <w:rPr>
          <w:sz w:val="20"/>
          <w:szCs w:val="20"/>
        </w:rPr>
        <w:t xml:space="preserve">, 2023, the Company </w:t>
      </w:r>
      <w:r w:rsidR="00914FA8" w:rsidRPr="00914FA8">
        <w:rPr>
          <w:sz w:val="20"/>
          <w:szCs w:val="20"/>
        </w:rPr>
        <w:t xml:space="preserve">received written notification from Nasdaq granting the Company’s request. The Company now has until December </w:t>
      </w:r>
      <w:r w:rsidR="00EB7A8A">
        <w:rPr>
          <w:sz w:val="20"/>
          <w:szCs w:val="20"/>
        </w:rPr>
        <w:t>4</w:t>
      </w:r>
      <w:r w:rsidR="00914FA8" w:rsidRPr="00914FA8">
        <w:rPr>
          <w:sz w:val="20"/>
          <w:szCs w:val="20"/>
        </w:rPr>
        <w:t xml:space="preserve">, </w:t>
      </w:r>
      <w:proofErr w:type="gramStart"/>
      <w:r w:rsidR="00914FA8" w:rsidRPr="00914FA8">
        <w:rPr>
          <w:sz w:val="20"/>
          <w:szCs w:val="20"/>
        </w:rPr>
        <w:t>2023</w:t>
      </w:r>
      <w:proofErr w:type="gramEnd"/>
      <w:r w:rsidR="00914FA8" w:rsidRPr="00914FA8">
        <w:rPr>
          <w:sz w:val="20"/>
          <w:szCs w:val="20"/>
        </w:rPr>
        <w:t xml:space="preserve"> to meet the </w:t>
      </w:r>
      <w:r>
        <w:rPr>
          <w:sz w:val="20"/>
          <w:szCs w:val="20"/>
        </w:rPr>
        <w:t>Bid Price R</w:t>
      </w:r>
      <w:r w:rsidR="00914FA8" w:rsidRPr="00914FA8">
        <w:rPr>
          <w:sz w:val="20"/>
          <w:szCs w:val="20"/>
        </w:rPr>
        <w:t>equirement (the “Compliance Date”).</w:t>
      </w:r>
    </w:p>
    <w:p w14:paraId="6269D2F6" w14:textId="77777777" w:rsidR="00914FA8" w:rsidRPr="00914FA8" w:rsidRDefault="00914FA8" w:rsidP="00914FA8">
      <w:pPr>
        <w:ind w:left="180" w:right="144"/>
        <w:jc w:val="both"/>
        <w:rPr>
          <w:sz w:val="20"/>
          <w:szCs w:val="20"/>
        </w:rPr>
      </w:pPr>
    </w:p>
    <w:p w14:paraId="10CF1D4F" w14:textId="4A2DF50E" w:rsidR="00914FA8" w:rsidRPr="00914FA8" w:rsidRDefault="00914FA8" w:rsidP="00914FA8">
      <w:pPr>
        <w:ind w:left="180" w:right="144"/>
        <w:jc w:val="both"/>
        <w:rPr>
          <w:sz w:val="20"/>
          <w:szCs w:val="20"/>
        </w:rPr>
      </w:pPr>
      <w:r w:rsidRPr="00914FA8">
        <w:rPr>
          <w:sz w:val="20"/>
          <w:szCs w:val="20"/>
        </w:rPr>
        <w:t>The</w:t>
      </w:r>
      <w:r w:rsidR="00476A7F">
        <w:rPr>
          <w:sz w:val="20"/>
          <w:szCs w:val="20"/>
        </w:rPr>
        <w:t xml:space="preserve"> grant of the extension by</w:t>
      </w:r>
      <w:r w:rsidRPr="00914FA8">
        <w:rPr>
          <w:sz w:val="20"/>
          <w:szCs w:val="20"/>
        </w:rPr>
        <w:t xml:space="preserve"> Nasdaq has no effect on the listing of the Company’s shares, which will continue to </w:t>
      </w:r>
      <w:r w:rsidR="00476A7F">
        <w:rPr>
          <w:sz w:val="20"/>
          <w:szCs w:val="20"/>
        </w:rPr>
        <w:t xml:space="preserve">be listed </w:t>
      </w:r>
      <w:r w:rsidRPr="00914FA8">
        <w:rPr>
          <w:sz w:val="20"/>
          <w:szCs w:val="20"/>
        </w:rPr>
        <w:t>on the Nasdaq Capital Market under the symbol “GOVX.” If at any time prior to the Compliance Date, the bid price of the Company's common stock closes at, or above, $1.00 per share for a minimum of ten (10) consecutive business days Nasdaq will provide the Company with written confirmation of compliance and the matter will be closed.</w:t>
      </w:r>
    </w:p>
    <w:p w14:paraId="74A40F6D" w14:textId="77777777" w:rsidR="00914FA8" w:rsidRPr="00914FA8" w:rsidRDefault="00914FA8" w:rsidP="00914FA8">
      <w:pPr>
        <w:ind w:left="180" w:right="144"/>
        <w:jc w:val="both"/>
        <w:rPr>
          <w:sz w:val="20"/>
          <w:szCs w:val="20"/>
        </w:rPr>
      </w:pPr>
    </w:p>
    <w:p w14:paraId="54F0BD7C" w14:textId="6BA2C7CA" w:rsidR="00914FA8" w:rsidRPr="00914FA8" w:rsidRDefault="00914FA8" w:rsidP="00914FA8">
      <w:pPr>
        <w:ind w:left="180" w:right="144"/>
        <w:jc w:val="both"/>
        <w:rPr>
          <w:sz w:val="20"/>
          <w:szCs w:val="20"/>
        </w:rPr>
      </w:pPr>
      <w:r w:rsidRPr="00914FA8">
        <w:rPr>
          <w:sz w:val="20"/>
          <w:szCs w:val="20"/>
        </w:rPr>
        <w:t xml:space="preserve">If the Company does not meet the </w:t>
      </w:r>
      <w:r w:rsidR="00476A7F">
        <w:rPr>
          <w:sz w:val="20"/>
          <w:szCs w:val="20"/>
        </w:rPr>
        <w:t>B</w:t>
      </w:r>
      <w:r w:rsidRPr="00914FA8">
        <w:rPr>
          <w:sz w:val="20"/>
          <w:szCs w:val="20"/>
        </w:rPr>
        <w:t xml:space="preserve">id </w:t>
      </w:r>
      <w:r w:rsidR="00476A7F">
        <w:rPr>
          <w:sz w:val="20"/>
          <w:szCs w:val="20"/>
        </w:rPr>
        <w:t>P</w:t>
      </w:r>
      <w:r w:rsidRPr="00914FA8">
        <w:rPr>
          <w:sz w:val="20"/>
          <w:szCs w:val="20"/>
        </w:rPr>
        <w:t xml:space="preserve">rice </w:t>
      </w:r>
      <w:r w:rsidR="00476A7F">
        <w:rPr>
          <w:sz w:val="20"/>
          <w:szCs w:val="20"/>
        </w:rPr>
        <w:t>R</w:t>
      </w:r>
      <w:r w:rsidRPr="00914FA8">
        <w:rPr>
          <w:sz w:val="20"/>
          <w:szCs w:val="20"/>
        </w:rPr>
        <w:t xml:space="preserve">equirement prior to the Compliance Date, Nasdaq will notify the Company that </w:t>
      </w:r>
      <w:r w:rsidR="00476A7F">
        <w:rPr>
          <w:sz w:val="20"/>
          <w:szCs w:val="20"/>
        </w:rPr>
        <w:t xml:space="preserve">the Company’s </w:t>
      </w:r>
      <w:r w:rsidRPr="00914FA8">
        <w:rPr>
          <w:sz w:val="20"/>
          <w:szCs w:val="20"/>
        </w:rPr>
        <w:t>common stock will be subject to delisting. At that time, the Company may appeal the delisting determination to the Nasdaq Hearings Panel. There can be no assurance that if the Company does appeal a delisting determination, that such appeal will be successful.</w:t>
      </w:r>
    </w:p>
    <w:p w14:paraId="2A7A5328" w14:textId="77777777" w:rsidR="00914FA8" w:rsidRDefault="00914FA8" w:rsidP="00BD31FD">
      <w:pPr>
        <w:ind w:left="180"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587D9F" w14:paraId="2D4C5F1F" w14:textId="77777777" w:rsidTr="008D7E3A">
        <w:tc>
          <w:tcPr>
            <w:tcW w:w="600" w:type="pct"/>
            <w:tcMar>
              <w:top w:w="5" w:type="dxa"/>
              <w:left w:w="5" w:type="dxa"/>
              <w:bottom w:w="5" w:type="dxa"/>
              <w:right w:w="5" w:type="dxa"/>
            </w:tcMar>
          </w:tcPr>
          <w:p w14:paraId="21AF7946" w14:textId="40C001CF" w:rsidR="00587D9F" w:rsidRDefault="00587D9F" w:rsidP="00587D9F">
            <w:pPr>
              <w:ind w:left="180"/>
              <w:rPr>
                <w:sz w:val="20"/>
                <w:szCs w:val="20"/>
              </w:rPr>
            </w:pPr>
            <w:r>
              <w:rPr>
                <w:sz w:val="20"/>
                <w:szCs w:val="20"/>
              </w:rPr>
              <w:t>104</w:t>
            </w:r>
          </w:p>
        </w:tc>
        <w:tc>
          <w:tcPr>
            <w:tcW w:w="4400" w:type="pct"/>
            <w:tcMar>
              <w:top w:w="5" w:type="dxa"/>
              <w:left w:w="5" w:type="dxa"/>
              <w:bottom w:w="5" w:type="dxa"/>
              <w:right w:w="5" w:type="dxa"/>
            </w:tcMar>
          </w:tcPr>
          <w:p w14:paraId="63CC3CFB" w14:textId="2202E4C3" w:rsidR="00587D9F" w:rsidRDefault="00587D9F" w:rsidP="00587D9F">
            <w:pPr>
              <w:rPr>
                <w:sz w:val="20"/>
                <w:szCs w:val="20"/>
              </w:rPr>
            </w:pPr>
            <w:r w:rsidRPr="00A7711D">
              <w:rPr>
                <w:sz w:val="20"/>
                <w:szCs w:val="20"/>
              </w:rPr>
              <w:t>Cover Page Interactive Data File (embedded within the Inline XBRL document)</w:t>
            </w:r>
          </w:p>
        </w:tc>
      </w:tr>
    </w:tbl>
    <w:p w14:paraId="3B0F25FB" w14:textId="77777777" w:rsidR="00BB7014" w:rsidRDefault="00BB7014" w:rsidP="008D7E3A">
      <w:pPr>
        <w:ind w:left="144" w:right="144"/>
        <w:jc w:val="center"/>
        <w:rPr>
          <w:b/>
          <w:bCs/>
          <w:sz w:val="20"/>
          <w:szCs w:val="20"/>
        </w:rPr>
      </w:pP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637EFEC5" w14:textId="11370499" w:rsidR="00C36B57" w:rsidRDefault="00C36B57">
      <w:pPr>
        <w:rPr>
          <w:b/>
          <w:bCs/>
          <w:sz w:val="20"/>
          <w:szCs w:val="20"/>
        </w:rPr>
      </w:pPr>
      <w:r>
        <w:rPr>
          <w:b/>
          <w:bCs/>
          <w:sz w:val="20"/>
          <w:szCs w:val="20"/>
        </w:rPr>
        <w:br w:type="page"/>
      </w:r>
    </w:p>
    <w:p w14:paraId="7F943D3B" w14:textId="4471F98A"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7706B25B" w:rsidR="008D7E3A" w:rsidRDefault="008D7E3A" w:rsidP="008D7E3A">
      <w:pPr>
        <w:ind w:left="144" w:right="144"/>
        <w:rPr>
          <w:sz w:val="20"/>
          <w:szCs w:val="20"/>
        </w:rPr>
      </w:pPr>
      <w:r>
        <w:rPr>
          <w:sz w:val="20"/>
          <w:szCs w:val="20"/>
        </w:rPr>
        <w:t xml:space="preserve">Date: </w:t>
      </w:r>
      <w:r w:rsidR="00914FA8">
        <w:rPr>
          <w:sz w:val="20"/>
          <w:szCs w:val="20"/>
        </w:rPr>
        <w:t>June</w:t>
      </w:r>
      <w:r w:rsidR="009E2EA9">
        <w:rPr>
          <w:sz w:val="20"/>
          <w:szCs w:val="20"/>
        </w:rPr>
        <w:t xml:space="preserve"> </w:t>
      </w:r>
      <w:r w:rsidR="00EB7A8A">
        <w:rPr>
          <w:sz w:val="20"/>
          <w:szCs w:val="20"/>
        </w:rPr>
        <w:t>12</w:t>
      </w:r>
      <w:r w:rsidR="007F74E8">
        <w:rPr>
          <w:sz w:val="20"/>
          <w:szCs w:val="20"/>
        </w:rPr>
        <w:t>, 202</w:t>
      </w:r>
      <w:r w:rsidR="00914FA8">
        <w:rPr>
          <w:sz w:val="20"/>
          <w:szCs w:val="20"/>
        </w:rPr>
        <w:t>3</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53D46959" w:rsidR="008D7E3A" w:rsidRDefault="002A1A41">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2B519A86" w14:textId="2381A9CF" w:rsidR="004B3179" w:rsidRPr="008D7E3A" w:rsidRDefault="004B3179" w:rsidP="008D7E3A"/>
    <w:sectPr w:rsidR="004B3179" w:rsidRPr="008D7E3A">
      <w:footerReference w:type="default" r:id="rId8"/>
      <w:pgSz w:w="12240" w:h="15840"/>
      <w:pgMar w:top="576" w:right="720" w:bottom="576" w:left="720" w:header="14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8250" w14:textId="77777777" w:rsidR="006704F6" w:rsidRDefault="006704F6" w:rsidP="004422FB">
      <w:r>
        <w:separator/>
      </w:r>
    </w:p>
  </w:endnote>
  <w:endnote w:type="continuationSeparator" w:id="0">
    <w:p w14:paraId="0696949A" w14:textId="77777777" w:rsidR="006704F6" w:rsidRDefault="006704F6"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0965AE6D" w:rsidR="004422FB" w:rsidRDefault="00A7489D" w:rsidP="00A7489D">
    <w:pPr>
      <w:pStyle w:val="Footer"/>
      <w:jc w:val="center"/>
    </w:pPr>
    <w:r>
      <w:fldChar w:fldCharType="begin"/>
    </w:r>
    <w:r>
      <w:instrText xml:space="preserve"> PAGE   \* MERGEFORMAT </w:instrText>
    </w:r>
    <w:r>
      <w:fldChar w:fldCharType="separate"/>
    </w:r>
    <w:r w:rsidR="00F51C02">
      <w:rPr>
        <w:noProof/>
      </w:rPr>
      <w:t>4</w:t>
    </w:r>
    <w:r>
      <w:rPr>
        <w:noProof/>
      </w:rPr>
      <w:fldChar w:fldCharType="end"/>
    </w:r>
  </w:p>
  <w:p w14:paraId="22F65163" w14:textId="77777777" w:rsidR="008A5F28" w:rsidRDefault="008A5F28" w:rsidP="004422FB">
    <w:pPr>
      <w:pStyle w:val="Footer"/>
    </w:pPr>
  </w:p>
  <w:p w14:paraId="00D1A497" w14:textId="1D4A7FB1" w:rsidR="004422FB" w:rsidRDefault="004422FB" w:rsidP="008A5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4DDE" w14:textId="77777777" w:rsidR="006704F6" w:rsidRDefault="006704F6" w:rsidP="004422FB">
      <w:r>
        <w:separator/>
      </w:r>
    </w:p>
  </w:footnote>
  <w:footnote w:type="continuationSeparator" w:id="0">
    <w:p w14:paraId="3AB7E0C9" w14:textId="77777777" w:rsidR="006704F6" w:rsidRDefault="006704F6" w:rsidP="00442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653127">
    <w:abstractNumId w:val="0"/>
  </w:num>
  <w:num w:numId="2" w16cid:durableId="130056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s>
  <w:rsids>
    <w:rsidRoot w:val="004B3179"/>
    <w:rsid w:val="000039E8"/>
    <w:rsid w:val="000520F7"/>
    <w:rsid w:val="000746B7"/>
    <w:rsid w:val="000850CC"/>
    <w:rsid w:val="000871C8"/>
    <w:rsid w:val="00087359"/>
    <w:rsid w:val="000949A2"/>
    <w:rsid w:val="00096511"/>
    <w:rsid w:val="000E6508"/>
    <w:rsid w:val="001139A5"/>
    <w:rsid w:val="0012601A"/>
    <w:rsid w:val="00134BBC"/>
    <w:rsid w:val="00172B54"/>
    <w:rsid w:val="0019489B"/>
    <w:rsid w:val="00196A86"/>
    <w:rsid w:val="001A0FE2"/>
    <w:rsid w:val="001A5BA8"/>
    <w:rsid w:val="001A687F"/>
    <w:rsid w:val="001B126A"/>
    <w:rsid w:val="001B3E38"/>
    <w:rsid w:val="001D3520"/>
    <w:rsid w:val="001E2AA8"/>
    <w:rsid w:val="002049D0"/>
    <w:rsid w:val="00246139"/>
    <w:rsid w:val="00277674"/>
    <w:rsid w:val="002832B4"/>
    <w:rsid w:val="00296BF7"/>
    <w:rsid w:val="002A1A41"/>
    <w:rsid w:val="002A45C0"/>
    <w:rsid w:val="002B5A3E"/>
    <w:rsid w:val="002C2032"/>
    <w:rsid w:val="002C4E4A"/>
    <w:rsid w:val="002D1821"/>
    <w:rsid w:val="002E60D1"/>
    <w:rsid w:val="00304DE8"/>
    <w:rsid w:val="00314FC4"/>
    <w:rsid w:val="00315CD1"/>
    <w:rsid w:val="00341E48"/>
    <w:rsid w:val="003454FA"/>
    <w:rsid w:val="0034645B"/>
    <w:rsid w:val="00362F3D"/>
    <w:rsid w:val="0036369E"/>
    <w:rsid w:val="00366C53"/>
    <w:rsid w:val="00376DEC"/>
    <w:rsid w:val="0037743D"/>
    <w:rsid w:val="003B670F"/>
    <w:rsid w:val="003E36C4"/>
    <w:rsid w:val="003F0C29"/>
    <w:rsid w:val="00401F33"/>
    <w:rsid w:val="004041FE"/>
    <w:rsid w:val="00404B0F"/>
    <w:rsid w:val="00407C5E"/>
    <w:rsid w:val="00415B30"/>
    <w:rsid w:val="00433AB7"/>
    <w:rsid w:val="0043642A"/>
    <w:rsid w:val="004422FB"/>
    <w:rsid w:val="00453E83"/>
    <w:rsid w:val="004562CE"/>
    <w:rsid w:val="004759D1"/>
    <w:rsid w:val="00476A7F"/>
    <w:rsid w:val="00494777"/>
    <w:rsid w:val="004B3179"/>
    <w:rsid w:val="004D4E0A"/>
    <w:rsid w:val="004E6CB9"/>
    <w:rsid w:val="005108D6"/>
    <w:rsid w:val="00526107"/>
    <w:rsid w:val="005449BB"/>
    <w:rsid w:val="0054576E"/>
    <w:rsid w:val="00552D47"/>
    <w:rsid w:val="0055647C"/>
    <w:rsid w:val="005765ED"/>
    <w:rsid w:val="00583D37"/>
    <w:rsid w:val="00587D9F"/>
    <w:rsid w:val="005A12FB"/>
    <w:rsid w:val="005B311B"/>
    <w:rsid w:val="005B70A9"/>
    <w:rsid w:val="005F3C3F"/>
    <w:rsid w:val="00617074"/>
    <w:rsid w:val="00617423"/>
    <w:rsid w:val="00625417"/>
    <w:rsid w:val="00651320"/>
    <w:rsid w:val="00652DCC"/>
    <w:rsid w:val="00654112"/>
    <w:rsid w:val="006704F6"/>
    <w:rsid w:val="00670AD9"/>
    <w:rsid w:val="00677F25"/>
    <w:rsid w:val="00691E45"/>
    <w:rsid w:val="006A30B4"/>
    <w:rsid w:val="006B4011"/>
    <w:rsid w:val="006C4831"/>
    <w:rsid w:val="006C673A"/>
    <w:rsid w:val="006E7AA3"/>
    <w:rsid w:val="006F2242"/>
    <w:rsid w:val="006F78DC"/>
    <w:rsid w:val="007150B5"/>
    <w:rsid w:val="00716A75"/>
    <w:rsid w:val="00732183"/>
    <w:rsid w:val="00734084"/>
    <w:rsid w:val="007578ED"/>
    <w:rsid w:val="00766EB9"/>
    <w:rsid w:val="00780E12"/>
    <w:rsid w:val="00797D8A"/>
    <w:rsid w:val="007B3B3E"/>
    <w:rsid w:val="007B5113"/>
    <w:rsid w:val="007C3C4A"/>
    <w:rsid w:val="007F4493"/>
    <w:rsid w:val="007F74E8"/>
    <w:rsid w:val="0082793A"/>
    <w:rsid w:val="00883B50"/>
    <w:rsid w:val="0089446A"/>
    <w:rsid w:val="008A5F28"/>
    <w:rsid w:val="008A7A20"/>
    <w:rsid w:val="008B66AE"/>
    <w:rsid w:val="008B71BC"/>
    <w:rsid w:val="008B7616"/>
    <w:rsid w:val="008C1C3D"/>
    <w:rsid w:val="008D3E76"/>
    <w:rsid w:val="008D7E3A"/>
    <w:rsid w:val="008E4E77"/>
    <w:rsid w:val="00903941"/>
    <w:rsid w:val="00914FA8"/>
    <w:rsid w:val="00922B4A"/>
    <w:rsid w:val="00964940"/>
    <w:rsid w:val="0096668D"/>
    <w:rsid w:val="009B15B2"/>
    <w:rsid w:val="009C0519"/>
    <w:rsid w:val="009C0739"/>
    <w:rsid w:val="009E2EA9"/>
    <w:rsid w:val="009F16FD"/>
    <w:rsid w:val="009F32C7"/>
    <w:rsid w:val="009F58D1"/>
    <w:rsid w:val="009F7B30"/>
    <w:rsid w:val="00A213F5"/>
    <w:rsid w:val="00A44E68"/>
    <w:rsid w:val="00A518AC"/>
    <w:rsid w:val="00A641D3"/>
    <w:rsid w:val="00A66445"/>
    <w:rsid w:val="00A7343F"/>
    <w:rsid w:val="00A7489D"/>
    <w:rsid w:val="00A7711D"/>
    <w:rsid w:val="00A77550"/>
    <w:rsid w:val="00AA3D35"/>
    <w:rsid w:val="00AA5874"/>
    <w:rsid w:val="00AB0FB9"/>
    <w:rsid w:val="00AB6B8D"/>
    <w:rsid w:val="00B00A81"/>
    <w:rsid w:val="00B155CF"/>
    <w:rsid w:val="00B32B67"/>
    <w:rsid w:val="00B33DA4"/>
    <w:rsid w:val="00B44E7B"/>
    <w:rsid w:val="00B4616E"/>
    <w:rsid w:val="00B51502"/>
    <w:rsid w:val="00B55645"/>
    <w:rsid w:val="00B57F61"/>
    <w:rsid w:val="00B610FD"/>
    <w:rsid w:val="00B61191"/>
    <w:rsid w:val="00B84E5E"/>
    <w:rsid w:val="00BA446A"/>
    <w:rsid w:val="00BB7014"/>
    <w:rsid w:val="00BC6551"/>
    <w:rsid w:val="00BD31FD"/>
    <w:rsid w:val="00BE0F8F"/>
    <w:rsid w:val="00BF415F"/>
    <w:rsid w:val="00C36B57"/>
    <w:rsid w:val="00C524E3"/>
    <w:rsid w:val="00C53991"/>
    <w:rsid w:val="00C713DF"/>
    <w:rsid w:val="00C815CE"/>
    <w:rsid w:val="00C86B46"/>
    <w:rsid w:val="00CB1EAA"/>
    <w:rsid w:val="00CB3D5C"/>
    <w:rsid w:val="00CC52F4"/>
    <w:rsid w:val="00CD0128"/>
    <w:rsid w:val="00CD55C2"/>
    <w:rsid w:val="00CE3919"/>
    <w:rsid w:val="00CF10FD"/>
    <w:rsid w:val="00D041E0"/>
    <w:rsid w:val="00D128D7"/>
    <w:rsid w:val="00D17971"/>
    <w:rsid w:val="00D215E7"/>
    <w:rsid w:val="00D53F6F"/>
    <w:rsid w:val="00D60567"/>
    <w:rsid w:val="00D60ABA"/>
    <w:rsid w:val="00D95C48"/>
    <w:rsid w:val="00DE2079"/>
    <w:rsid w:val="00DE54BD"/>
    <w:rsid w:val="00DE728B"/>
    <w:rsid w:val="00DE7BBA"/>
    <w:rsid w:val="00DF2B44"/>
    <w:rsid w:val="00E115D3"/>
    <w:rsid w:val="00E13D7F"/>
    <w:rsid w:val="00E30F6C"/>
    <w:rsid w:val="00E31534"/>
    <w:rsid w:val="00E57AE0"/>
    <w:rsid w:val="00E633E7"/>
    <w:rsid w:val="00E77BC6"/>
    <w:rsid w:val="00EB5CF9"/>
    <w:rsid w:val="00EB7A8A"/>
    <w:rsid w:val="00EC14ED"/>
    <w:rsid w:val="00EE3BF7"/>
    <w:rsid w:val="00EF5131"/>
    <w:rsid w:val="00F04F9F"/>
    <w:rsid w:val="00F073F4"/>
    <w:rsid w:val="00F100FC"/>
    <w:rsid w:val="00F10BB8"/>
    <w:rsid w:val="00F1148C"/>
    <w:rsid w:val="00F13A9C"/>
    <w:rsid w:val="00F2058C"/>
    <w:rsid w:val="00F2190E"/>
    <w:rsid w:val="00F23A64"/>
    <w:rsid w:val="00F27385"/>
    <w:rsid w:val="00F44F70"/>
    <w:rsid w:val="00F51C02"/>
    <w:rsid w:val="00F53643"/>
    <w:rsid w:val="00F56C32"/>
    <w:rsid w:val="00F57E97"/>
    <w:rsid w:val="00F65C64"/>
    <w:rsid w:val="00F737D0"/>
    <w:rsid w:val="00F92B94"/>
    <w:rsid w:val="00F9508E"/>
    <w:rsid w:val="00F958BB"/>
    <w:rsid w:val="00FC58B0"/>
    <w:rsid w:val="00FD1599"/>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FB"/>
    <w:pPr>
      <w:tabs>
        <w:tab w:val="center" w:pos="4680"/>
        <w:tab w:val="right" w:pos="9360"/>
      </w:tabs>
    </w:pPr>
  </w:style>
  <w:style w:type="character" w:customStyle="1" w:styleId="HeaderChar">
    <w:name w:val="Header Char"/>
    <w:basedOn w:val="DefaultParagraphFont"/>
    <w:link w:val="Header"/>
    <w:uiPriority w:val="99"/>
    <w:rsid w:val="004422FB"/>
    <w:rPr>
      <w:sz w:val="24"/>
      <w:szCs w:val="24"/>
    </w:rPr>
  </w:style>
  <w:style w:type="paragraph" w:styleId="Footer">
    <w:name w:val="footer"/>
    <w:basedOn w:val="Normal"/>
    <w:link w:val="FooterChar"/>
    <w:uiPriority w:val="99"/>
    <w:unhideWhenUsed/>
    <w:rsid w:val="004422FB"/>
    <w:pPr>
      <w:tabs>
        <w:tab w:val="center" w:pos="4680"/>
        <w:tab w:val="right" w:pos="9360"/>
      </w:tabs>
    </w:pPr>
  </w:style>
  <w:style w:type="character" w:customStyle="1" w:styleId="FooterChar">
    <w:name w:val="Footer Char"/>
    <w:basedOn w:val="DefaultParagraphFont"/>
    <w:link w:val="Footer"/>
    <w:uiPriority w:val="99"/>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customStyle="1" w:styleId="UnresolvedMention1">
    <w:name w:val="Unresolved Mention1"/>
    <w:basedOn w:val="DefaultParagraphFont"/>
    <w:uiPriority w:val="99"/>
    <w:semiHidden/>
    <w:unhideWhenUsed/>
    <w:rsid w:val="00F100FC"/>
    <w:rPr>
      <w:color w:val="605E5C"/>
      <w:shd w:val="clear" w:color="auto" w:fill="E1DFDD"/>
    </w:rPr>
  </w:style>
  <w:style w:type="paragraph" w:styleId="FootnoteText">
    <w:name w:val="footnote text"/>
    <w:basedOn w:val="Normal"/>
    <w:link w:val="FootnoteTextChar"/>
    <w:uiPriority w:val="99"/>
    <w:semiHidden/>
    <w:unhideWhenUsed/>
    <w:rsid w:val="00C36B57"/>
    <w:rPr>
      <w:sz w:val="20"/>
      <w:szCs w:val="20"/>
    </w:rPr>
  </w:style>
  <w:style w:type="character" w:customStyle="1" w:styleId="FootnoteTextChar">
    <w:name w:val="Footnote Text Char"/>
    <w:basedOn w:val="DefaultParagraphFont"/>
    <w:link w:val="FootnoteText"/>
    <w:uiPriority w:val="99"/>
    <w:semiHidden/>
    <w:rsid w:val="00C36B57"/>
  </w:style>
  <w:style w:type="character" w:styleId="FootnoteReference">
    <w:name w:val="footnote reference"/>
    <w:basedOn w:val="DefaultParagraphFont"/>
    <w:uiPriority w:val="99"/>
    <w:semiHidden/>
    <w:unhideWhenUsed/>
    <w:rsid w:val="00C36B57"/>
    <w:rPr>
      <w:vertAlign w:val="superscript"/>
    </w:rPr>
  </w:style>
  <w:style w:type="character" w:styleId="CommentReference">
    <w:name w:val="annotation reference"/>
    <w:basedOn w:val="DefaultParagraphFont"/>
    <w:uiPriority w:val="99"/>
    <w:semiHidden/>
    <w:unhideWhenUsed/>
    <w:rsid w:val="00BA446A"/>
    <w:rPr>
      <w:sz w:val="16"/>
      <w:szCs w:val="16"/>
    </w:rPr>
  </w:style>
  <w:style w:type="paragraph" w:styleId="CommentText">
    <w:name w:val="annotation text"/>
    <w:basedOn w:val="Normal"/>
    <w:link w:val="CommentTextChar"/>
    <w:uiPriority w:val="99"/>
    <w:semiHidden/>
    <w:unhideWhenUsed/>
    <w:rsid w:val="00BA446A"/>
    <w:rPr>
      <w:sz w:val="20"/>
      <w:szCs w:val="20"/>
    </w:rPr>
  </w:style>
  <w:style w:type="character" w:customStyle="1" w:styleId="CommentTextChar">
    <w:name w:val="Comment Text Char"/>
    <w:basedOn w:val="DefaultParagraphFont"/>
    <w:link w:val="CommentText"/>
    <w:uiPriority w:val="99"/>
    <w:semiHidden/>
    <w:rsid w:val="00BA446A"/>
  </w:style>
  <w:style w:type="paragraph" w:styleId="CommentSubject">
    <w:name w:val="annotation subject"/>
    <w:basedOn w:val="CommentText"/>
    <w:next w:val="CommentText"/>
    <w:link w:val="CommentSubjectChar"/>
    <w:uiPriority w:val="99"/>
    <w:semiHidden/>
    <w:unhideWhenUsed/>
    <w:rsid w:val="00BA446A"/>
    <w:rPr>
      <w:b/>
      <w:bCs/>
    </w:rPr>
  </w:style>
  <w:style w:type="character" w:customStyle="1" w:styleId="CommentSubjectChar">
    <w:name w:val="Comment Subject Char"/>
    <w:basedOn w:val="CommentTextChar"/>
    <w:link w:val="CommentSubject"/>
    <w:uiPriority w:val="99"/>
    <w:semiHidden/>
    <w:rsid w:val="00BA446A"/>
    <w:rPr>
      <w:b/>
      <w:bCs/>
    </w:rPr>
  </w:style>
  <w:style w:type="paragraph" w:styleId="Revision">
    <w:name w:val="Revision"/>
    <w:hidden/>
    <w:uiPriority w:val="99"/>
    <w:semiHidden/>
    <w:rsid w:val="006F7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7731">
      <w:bodyDiv w:val="1"/>
      <w:marLeft w:val="0"/>
      <w:marRight w:val="0"/>
      <w:marTop w:val="0"/>
      <w:marBottom w:val="0"/>
      <w:divBdr>
        <w:top w:val="none" w:sz="0" w:space="0" w:color="auto"/>
        <w:left w:val="none" w:sz="0" w:space="0" w:color="auto"/>
        <w:bottom w:val="none" w:sz="0" w:space="0" w:color="auto"/>
        <w:right w:val="none" w:sz="0" w:space="0" w:color="auto"/>
      </w:divBdr>
    </w:div>
    <w:div w:id="268436622">
      <w:bodyDiv w:val="1"/>
      <w:marLeft w:val="0"/>
      <w:marRight w:val="0"/>
      <w:marTop w:val="0"/>
      <w:marBottom w:val="0"/>
      <w:divBdr>
        <w:top w:val="none" w:sz="0" w:space="0" w:color="auto"/>
        <w:left w:val="none" w:sz="0" w:space="0" w:color="auto"/>
        <w:bottom w:val="none" w:sz="0" w:space="0" w:color="auto"/>
        <w:right w:val="none" w:sz="0" w:space="0" w:color="auto"/>
      </w:divBdr>
    </w:div>
    <w:div w:id="594168058">
      <w:bodyDiv w:val="1"/>
      <w:marLeft w:val="0"/>
      <w:marRight w:val="0"/>
      <w:marTop w:val="0"/>
      <w:marBottom w:val="0"/>
      <w:divBdr>
        <w:top w:val="none" w:sz="0" w:space="0" w:color="auto"/>
        <w:left w:val="none" w:sz="0" w:space="0" w:color="auto"/>
        <w:bottom w:val="none" w:sz="0" w:space="0" w:color="auto"/>
        <w:right w:val="none" w:sz="0" w:space="0" w:color="auto"/>
      </w:divBdr>
    </w:div>
    <w:div w:id="608706091">
      <w:bodyDiv w:val="1"/>
      <w:marLeft w:val="0"/>
      <w:marRight w:val="0"/>
      <w:marTop w:val="0"/>
      <w:marBottom w:val="0"/>
      <w:divBdr>
        <w:top w:val="none" w:sz="0" w:space="0" w:color="auto"/>
        <w:left w:val="none" w:sz="0" w:space="0" w:color="auto"/>
        <w:bottom w:val="none" w:sz="0" w:space="0" w:color="auto"/>
        <w:right w:val="none" w:sz="0" w:space="0" w:color="auto"/>
      </w:divBdr>
    </w:div>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323582938">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 w:id="172255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1295-FE61-4BFB-9688-42763902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2023-06-10T14:34:00Z</dcterms:created>
  <dcterms:modified xsi:type="dcterms:W3CDTF">2023-06-10T14:35:00Z</dcterms:modified>
</cp:coreProperties>
</file>