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E12F34"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5AB070FE" w:rsidR="008D7E3A" w:rsidRDefault="008D7E3A" w:rsidP="008D7E3A">
      <w:pPr>
        <w:ind w:left="144" w:right="144"/>
        <w:jc w:val="center"/>
        <w:rPr>
          <w:sz w:val="20"/>
          <w:szCs w:val="20"/>
        </w:rPr>
      </w:pPr>
      <w:r>
        <w:rPr>
          <w:b/>
          <w:bCs/>
          <w:sz w:val="20"/>
          <w:szCs w:val="20"/>
        </w:rPr>
        <w:t>Date of report (Date of earliest event reported):  </w:t>
      </w:r>
      <w:r w:rsidR="00AC4D41">
        <w:rPr>
          <w:b/>
          <w:bCs/>
          <w:sz w:val="20"/>
          <w:szCs w:val="20"/>
        </w:rPr>
        <w:t>August</w:t>
      </w:r>
      <w:r w:rsidR="004D4E0A">
        <w:rPr>
          <w:b/>
          <w:bCs/>
          <w:sz w:val="20"/>
          <w:szCs w:val="20"/>
        </w:rPr>
        <w:t xml:space="preserve"> </w:t>
      </w:r>
      <w:r w:rsidR="00AC4D41">
        <w:rPr>
          <w:b/>
          <w:bCs/>
          <w:sz w:val="20"/>
          <w:szCs w:val="20"/>
        </w:rPr>
        <w:t>9</w:t>
      </w:r>
      <w:r>
        <w:rPr>
          <w:b/>
          <w:bCs/>
          <w:sz w:val="20"/>
          <w:szCs w:val="20"/>
        </w:rPr>
        <w:t>, 202</w:t>
      </w:r>
      <w:r w:rsidR="00F470EC">
        <w:rPr>
          <w:b/>
          <w:bCs/>
          <w:sz w:val="20"/>
          <w:szCs w:val="20"/>
        </w:rPr>
        <w:t>3</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E12F34"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06EB8D1A" w14:textId="68ACC2AE" w:rsidR="003F3DEB" w:rsidRPr="003F3DEB" w:rsidRDefault="008D7E3A" w:rsidP="003F3DEB">
      <w:pPr>
        <w:ind w:left="144" w:right="144"/>
        <w:rPr>
          <w:sz w:val="20"/>
          <w:szCs w:val="20"/>
        </w:rPr>
      </w:pPr>
      <w:r>
        <w:rPr>
          <w:sz w:val="20"/>
          <w:szCs w:val="20"/>
        </w:rPr>
        <w:br w:type="page"/>
      </w:r>
      <w:r w:rsidR="003F3DEB" w:rsidRPr="00C36B57">
        <w:rPr>
          <w:b/>
          <w:sz w:val="20"/>
          <w:szCs w:val="20"/>
        </w:rPr>
        <w:lastRenderedPageBreak/>
        <w:t>Forward-Looking Statements</w:t>
      </w:r>
    </w:p>
    <w:p w14:paraId="1590C75C" w14:textId="77777777" w:rsidR="003F3DEB" w:rsidRDefault="003F3DEB" w:rsidP="003F3DEB">
      <w:pPr>
        <w:ind w:left="144" w:right="144"/>
        <w:jc w:val="both"/>
        <w:rPr>
          <w:sz w:val="20"/>
          <w:szCs w:val="20"/>
        </w:rPr>
      </w:pPr>
    </w:p>
    <w:p w14:paraId="6E3CCEA3" w14:textId="77777777" w:rsidR="003F3DEB" w:rsidRDefault="003F3DEB" w:rsidP="003F3DEB">
      <w:pPr>
        <w:ind w:left="144" w:right="144"/>
        <w:jc w:val="both"/>
        <w:rPr>
          <w:sz w:val="20"/>
          <w:szCs w:val="20"/>
        </w:rPr>
      </w:pPr>
      <w:r>
        <w:rPr>
          <w:sz w:val="20"/>
          <w:szCs w:val="20"/>
        </w:rPr>
        <w:t xml:space="preserve">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357A8194" w14:textId="062B9709" w:rsidR="003F3DEB" w:rsidRDefault="003F3DEB" w:rsidP="00241DEF">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3F3DEB" w14:paraId="5220B9A4" w14:textId="77777777" w:rsidTr="00272EA7">
        <w:tc>
          <w:tcPr>
            <w:tcW w:w="1260" w:type="dxa"/>
            <w:tcMar>
              <w:top w:w="5" w:type="dxa"/>
              <w:left w:w="5" w:type="dxa"/>
              <w:bottom w:w="5" w:type="dxa"/>
              <w:right w:w="5" w:type="dxa"/>
            </w:tcMar>
            <w:hideMark/>
          </w:tcPr>
          <w:p w14:paraId="37C9D000" w14:textId="77777777" w:rsidR="003F3DEB" w:rsidRDefault="003F3DEB" w:rsidP="00272EA7">
            <w:pPr>
              <w:rPr>
                <w:color w:val="000000"/>
                <w:sz w:val="20"/>
                <w:szCs w:val="20"/>
              </w:rPr>
            </w:pPr>
            <w:r>
              <w:rPr>
                <w:b/>
                <w:bCs/>
                <w:color w:val="000000"/>
                <w:sz w:val="20"/>
                <w:szCs w:val="20"/>
              </w:rPr>
              <w:t xml:space="preserve">Item 2.02 </w:t>
            </w:r>
          </w:p>
        </w:tc>
        <w:tc>
          <w:tcPr>
            <w:tcW w:w="0" w:type="auto"/>
            <w:tcMar>
              <w:top w:w="5" w:type="dxa"/>
              <w:left w:w="5" w:type="dxa"/>
              <w:bottom w:w="5" w:type="dxa"/>
              <w:right w:w="5" w:type="dxa"/>
            </w:tcMar>
            <w:hideMark/>
          </w:tcPr>
          <w:p w14:paraId="543D638B" w14:textId="77777777" w:rsidR="003F3DEB" w:rsidRDefault="003F3DEB" w:rsidP="00272EA7">
            <w:pPr>
              <w:rPr>
                <w:color w:val="000000"/>
                <w:sz w:val="20"/>
                <w:szCs w:val="20"/>
              </w:rPr>
            </w:pPr>
            <w:r>
              <w:rPr>
                <w:b/>
                <w:bCs/>
                <w:color w:val="000000"/>
                <w:sz w:val="20"/>
                <w:szCs w:val="20"/>
              </w:rPr>
              <w:t>Results of Operations and Financial Condition.</w:t>
            </w:r>
          </w:p>
        </w:tc>
      </w:tr>
    </w:tbl>
    <w:p w14:paraId="4C7EA2DE" w14:textId="77777777" w:rsidR="003F3DEB" w:rsidRDefault="003F3DEB" w:rsidP="003F3DEB">
      <w:pPr>
        <w:ind w:left="144" w:right="144"/>
        <w:rPr>
          <w:sz w:val="20"/>
          <w:szCs w:val="20"/>
        </w:rPr>
      </w:pPr>
      <w:r>
        <w:rPr>
          <w:b/>
          <w:bCs/>
          <w:i/>
          <w:iCs/>
          <w:sz w:val="20"/>
          <w:szCs w:val="20"/>
        </w:rPr>
        <w:t> </w:t>
      </w:r>
      <w:r>
        <w:rPr>
          <w:sz w:val="20"/>
          <w:szCs w:val="20"/>
        </w:rPr>
        <w:t> </w:t>
      </w:r>
    </w:p>
    <w:p w14:paraId="313AF3C5" w14:textId="4A4EC6B5" w:rsidR="003F3DEB" w:rsidRDefault="003F3DEB" w:rsidP="003F3DEB">
      <w:pPr>
        <w:ind w:left="144" w:right="144"/>
        <w:jc w:val="both"/>
        <w:rPr>
          <w:sz w:val="20"/>
          <w:szCs w:val="20"/>
        </w:rPr>
      </w:pPr>
      <w:r>
        <w:rPr>
          <w:bCs/>
          <w:sz w:val="20"/>
          <w:szCs w:val="20"/>
        </w:rPr>
        <w:t xml:space="preserve">On </w:t>
      </w:r>
      <w:r w:rsidR="00AC4D41">
        <w:rPr>
          <w:bCs/>
          <w:sz w:val="20"/>
          <w:szCs w:val="20"/>
        </w:rPr>
        <w:t>August</w:t>
      </w:r>
      <w:r>
        <w:rPr>
          <w:bCs/>
          <w:sz w:val="20"/>
          <w:szCs w:val="20"/>
        </w:rPr>
        <w:t xml:space="preserve"> </w:t>
      </w:r>
      <w:r w:rsidR="00AC4D41">
        <w:rPr>
          <w:bCs/>
          <w:sz w:val="20"/>
          <w:szCs w:val="20"/>
        </w:rPr>
        <w:t>9</w:t>
      </w:r>
      <w:r>
        <w:rPr>
          <w:bCs/>
          <w:sz w:val="20"/>
          <w:szCs w:val="20"/>
        </w:rPr>
        <w:t>, 202</w:t>
      </w:r>
      <w:r w:rsidR="00F470EC">
        <w:rPr>
          <w:bCs/>
          <w:sz w:val="20"/>
          <w:szCs w:val="20"/>
        </w:rPr>
        <w:t>3</w:t>
      </w:r>
      <w:r>
        <w:rPr>
          <w:bCs/>
          <w:sz w:val="20"/>
          <w:szCs w:val="20"/>
        </w:rPr>
        <w:t xml:space="preserve">, </w:t>
      </w:r>
      <w:r w:rsidR="00EC3F8A">
        <w:rPr>
          <w:bCs/>
          <w:sz w:val="20"/>
          <w:szCs w:val="20"/>
        </w:rPr>
        <w:t xml:space="preserve">GeoVax Labs, Inc. (the “Company”) </w:t>
      </w:r>
      <w:r>
        <w:rPr>
          <w:bCs/>
          <w:sz w:val="20"/>
          <w:szCs w:val="20"/>
        </w:rPr>
        <w:t xml:space="preserve">issued a press release reporting </w:t>
      </w:r>
      <w:r w:rsidR="00EC3F8A">
        <w:rPr>
          <w:bCs/>
          <w:sz w:val="20"/>
          <w:szCs w:val="20"/>
        </w:rPr>
        <w:t xml:space="preserve">its </w:t>
      </w:r>
      <w:r>
        <w:rPr>
          <w:bCs/>
          <w:sz w:val="20"/>
          <w:szCs w:val="20"/>
        </w:rPr>
        <w:t xml:space="preserve">results of operations for the </w:t>
      </w:r>
      <w:r w:rsidR="00516CAC">
        <w:rPr>
          <w:bCs/>
          <w:sz w:val="20"/>
          <w:szCs w:val="20"/>
        </w:rPr>
        <w:t>quarter</w:t>
      </w:r>
      <w:r>
        <w:rPr>
          <w:bCs/>
          <w:sz w:val="20"/>
          <w:szCs w:val="20"/>
        </w:rPr>
        <w:t xml:space="preserve"> ended </w:t>
      </w:r>
      <w:r w:rsidR="00AC4D41">
        <w:rPr>
          <w:bCs/>
          <w:sz w:val="20"/>
          <w:szCs w:val="20"/>
        </w:rPr>
        <w:t>June</w:t>
      </w:r>
      <w:r w:rsidR="00F470EC">
        <w:rPr>
          <w:bCs/>
          <w:sz w:val="20"/>
          <w:szCs w:val="20"/>
        </w:rPr>
        <w:t xml:space="preserve"> 3</w:t>
      </w:r>
      <w:r w:rsidR="00AC4D41">
        <w:rPr>
          <w:bCs/>
          <w:sz w:val="20"/>
          <w:szCs w:val="20"/>
        </w:rPr>
        <w:t>0</w:t>
      </w:r>
      <w:r>
        <w:rPr>
          <w:bCs/>
          <w:sz w:val="20"/>
          <w:szCs w:val="20"/>
        </w:rPr>
        <w:t>, 202</w:t>
      </w:r>
      <w:r w:rsidR="00516CAC">
        <w:rPr>
          <w:bCs/>
          <w:sz w:val="20"/>
          <w:szCs w:val="20"/>
        </w:rPr>
        <w:t>3</w:t>
      </w:r>
      <w:r>
        <w:rPr>
          <w:bCs/>
          <w:sz w:val="20"/>
          <w:szCs w:val="20"/>
        </w:rPr>
        <w:t>.</w:t>
      </w:r>
      <w:r>
        <w:rPr>
          <w:sz w:val="20"/>
          <w:szCs w:val="20"/>
        </w:rPr>
        <w:t xml:space="preserve"> A copy of the press release is attached as Exhibit 99.</w:t>
      </w:r>
      <w:r w:rsidR="00EC3F8A">
        <w:rPr>
          <w:sz w:val="20"/>
          <w:szCs w:val="20"/>
        </w:rPr>
        <w:t>1</w:t>
      </w:r>
      <w:r>
        <w:rPr>
          <w:sz w:val="20"/>
          <w:szCs w:val="20"/>
        </w:rPr>
        <w:t xml:space="preserve"> to this Current Report on Form 8-K</w:t>
      </w:r>
      <w:r>
        <w:rPr>
          <w:bCs/>
          <w:sz w:val="20"/>
          <w:szCs w:val="20"/>
        </w:rPr>
        <w:t>.</w:t>
      </w:r>
      <w:r>
        <w:rPr>
          <w:sz w:val="20"/>
          <w:szCs w:val="20"/>
        </w:rPr>
        <w:t xml:space="preserve"> </w:t>
      </w:r>
    </w:p>
    <w:p w14:paraId="1C41C417" w14:textId="77777777" w:rsidR="00F404C4" w:rsidRDefault="00F404C4" w:rsidP="00C36B57">
      <w:pPr>
        <w:ind w:right="144"/>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4D1A279E" w:rsidR="008D7E3A" w:rsidRDefault="00EC3F8A" w:rsidP="00EC3F8A">
            <w:pPr>
              <w:rPr>
                <w:sz w:val="20"/>
                <w:szCs w:val="20"/>
              </w:rPr>
            </w:pPr>
            <w:r w:rsidRPr="00B02C57">
              <w:rPr>
                <w:bCs/>
                <w:sz w:val="20"/>
                <w:szCs w:val="20"/>
              </w:rPr>
              <w:t xml:space="preserve">Press Release dated </w:t>
            </w:r>
            <w:r w:rsidR="00AC4D41">
              <w:rPr>
                <w:bCs/>
                <w:sz w:val="20"/>
                <w:szCs w:val="20"/>
              </w:rPr>
              <w:t>August</w:t>
            </w:r>
            <w:r w:rsidR="00B02C57" w:rsidRPr="00B02C57">
              <w:rPr>
                <w:bCs/>
                <w:sz w:val="20"/>
                <w:szCs w:val="20"/>
              </w:rPr>
              <w:t xml:space="preserve"> </w:t>
            </w:r>
            <w:r w:rsidR="00AC4D41">
              <w:rPr>
                <w:bCs/>
                <w:sz w:val="20"/>
                <w:szCs w:val="20"/>
              </w:rPr>
              <w:t>9</w:t>
            </w:r>
            <w:r w:rsidRPr="00B02C57">
              <w:rPr>
                <w:bCs/>
                <w:sz w:val="20"/>
                <w:szCs w:val="20"/>
              </w:rPr>
              <w:t>, 202</w:t>
            </w:r>
            <w:r w:rsidR="00F470EC">
              <w:rPr>
                <w:bCs/>
                <w:sz w:val="20"/>
                <w:szCs w:val="20"/>
              </w:rPr>
              <w:t>3</w:t>
            </w:r>
          </w:p>
        </w:tc>
      </w:tr>
      <w:tr w:rsidR="00BC6263" w14:paraId="2D4C5F1F" w14:textId="77777777" w:rsidTr="008D7E3A">
        <w:tc>
          <w:tcPr>
            <w:tcW w:w="600" w:type="pct"/>
            <w:tcMar>
              <w:top w:w="5" w:type="dxa"/>
              <w:left w:w="5" w:type="dxa"/>
              <w:bottom w:w="5" w:type="dxa"/>
              <w:right w:w="5" w:type="dxa"/>
            </w:tcMar>
          </w:tcPr>
          <w:p w14:paraId="21AF7946" w14:textId="40C001CF" w:rsidR="00BC6263" w:rsidRDefault="00BC6263" w:rsidP="00BC6263">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BC6263" w:rsidRDefault="00BC6263" w:rsidP="00BC6263">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777777"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4C4AD2F7" w:rsidR="008D7E3A" w:rsidRDefault="008D7E3A" w:rsidP="008D7E3A">
      <w:pPr>
        <w:ind w:left="144" w:right="144"/>
        <w:rPr>
          <w:sz w:val="20"/>
          <w:szCs w:val="20"/>
        </w:rPr>
      </w:pPr>
      <w:r>
        <w:rPr>
          <w:sz w:val="20"/>
          <w:szCs w:val="20"/>
        </w:rPr>
        <w:t xml:space="preserve">Date: </w:t>
      </w:r>
      <w:r w:rsidR="00AC4D41">
        <w:rPr>
          <w:sz w:val="20"/>
          <w:szCs w:val="20"/>
        </w:rPr>
        <w:t>August</w:t>
      </w:r>
      <w:r w:rsidR="004D4E0A">
        <w:rPr>
          <w:sz w:val="20"/>
          <w:szCs w:val="20"/>
        </w:rPr>
        <w:t xml:space="preserve"> </w:t>
      </w:r>
      <w:r w:rsidR="00AC4D41">
        <w:rPr>
          <w:sz w:val="20"/>
          <w:szCs w:val="20"/>
        </w:rPr>
        <w:t>10</w:t>
      </w:r>
      <w:r>
        <w:rPr>
          <w:sz w:val="20"/>
          <w:szCs w:val="20"/>
        </w:rPr>
        <w:t>, 202</w:t>
      </w:r>
      <w:r w:rsidR="00F470EC">
        <w:rPr>
          <w:sz w:val="20"/>
          <w:szCs w:val="20"/>
        </w:rPr>
        <w:t>3</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58BF51CD" w14:textId="77777777" w:rsidR="006254EA" w:rsidRDefault="006254EA" w:rsidP="008D7E3A">
      <w:pPr>
        <w:sectPr w:rsidR="006254EA">
          <w:footerReference w:type="default" r:id="rId8"/>
          <w:pgSz w:w="12240" w:h="15840"/>
          <w:pgMar w:top="576" w:right="720" w:bottom="576" w:left="720" w:header="144" w:footer="432" w:gutter="0"/>
          <w:cols w:space="720"/>
        </w:sectPr>
      </w:pPr>
    </w:p>
    <w:p w14:paraId="7EC981A1" w14:textId="77777777" w:rsidR="00E12F34" w:rsidRDefault="00E12F34" w:rsidP="006254EA">
      <w:pPr>
        <w:widowControl w:val="0"/>
        <w:autoSpaceDE w:val="0"/>
        <w:autoSpaceDN w:val="0"/>
        <w:adjustRightInd w:val="0"/>
        <w:jc w:val="center"/>
        <w:rPr>
          <w:b/>
          <w:bCs/>
          <w:sz w:val="32"/>
          <w:szCs w:val="32"/>
        </w:rPr>
      </w:pPr>
    </w:p>
    <w:p w14:paraId="15097D14" w14:textId="27799803" w:rsidR="006254EA" w:rsidRPr="006254EA" w:rsidRDefault="00E12F34" w:rsidP="006254EA">
      <w:pPr>
        <w:widowControl w:val="0"/>
        <w:autoSpaceDE w:val="0"/>
        <w:autoSpaceDN w:val="0"/>
        <w:adjustRightInd w:val="0"/>
        <w:jc w:val="center"/>
        <w:rPr>
          <w:b/>
          <w:bCs/>
          <w:sz w:val="32"/>
          <w:szCs w:val="32"/>
        </w:rPr>
      </w:pPr>
      <w:r w:rsidRPr="00E12F34">
        <w:rPr>
          <w:noProof/>
          <w:sz w:val="20"/>
          <w:szCs w:val="20"/>
        </w:rPr>
        <mc:AlternateContent>
          <mc:Choice Requires="wps">
            <w:drawing>
              <wp:anchor distT="45720" distB="45720" distL="114300" distR="114300" simplePos="0" relativeHeight="251659264" behindDoc="1" locked="0" layoutInCell="1" allowOverlap="1" wp14:anchorId="16CC6081" wp14:editId="1A9028CA">
                <wp:simplePos x="0" y="0"/>
                <wp:positionH relativeFrom="column">
                  <wp:posOffset>5187315</wp:posOffset>
                </wp:positionH>
                <wp:positionV relativeFrom="paragraph">
                  <wp:posOffset>-457200</wp:posOffset>
                </wp:positionV>
                <wp:extent cx="11525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noFill/>
                          <a:miter lim="800000"/>
                          <a:headEnd/>
                          <a:tailEnd/>
                        </a:ln>
                      </wps:spPr>
                      <wps:txbx>
                        <w:txbxContent>
                          <w:p w14:paraId="5ADDA698" w14:textId="77777777" w:rsidR="00E12F34" w:rsidRPr="00E12F34" w:rsidRDefault="00E12F34" w:rsidP="00E12F34">
                            <w:pPr>
                              <w:rPr>
                                <w:b/>
                                <w:bCs/>
                              </w:rPr>
                            </w:pPr>
                            <w:r w:rsidRPr="00E12F34">
                              <w:rPr>
                                <w:b/>
                                <w:bCs/>
                              </w:rPr>
                              <w:t>Exhibit 99.1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C6081" id="_x0000_t202" coordsize="21600,21600" o:spt="202" path="m,l,21600r21600,l21600,xe">
                <v:stroke joinstyle="miter"/>
                <v:path gradientshapeok="t" o:connecttype="rect"/>
              </v:shapetype>
              <v:shape id="Text Box 2" o:spid="_x0000_s1026" type="#_x0000_t202" style="position:absolute;left:0;text-align:left;margin-left:408.45pt;margin-top:-36pt;width:90.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S2CwIAAPcDAAAOAAAAZHJzL2Uyb0RvYy54bWysU8Fu2zAMvQ/YPwi6L7aDtGuNOEWXLsOA&#10;rhvQ9QNkWY6FyaJGKbGzrx8lp2nQ3YrJgCCa1CP5+LS8GXvD9gq9BlvxYpZzpqyERtttxZ9+bj5c&#10;ceaDsI0wYFXFD8rzm9X7d8vBlWoOHZhGISMQ68vBVbwLwZVZ5mWneuFn4JQlZwvYi0AmbrMGxUDo&#10;vcnmeX6ZDYCNQ5DKe/p7Nzn5KuG3rZLhe9t6FZipONUW0o5pr+OerZai3KJwnZbHMsQbquiFtpT0&#10;BHUngmA71P9A9VoieGjDTEKfQdtqqVIP1E2Rv+rmsRNOpV6IHO9ONPn/Bysf9o/uB7IwfoKRBpia&#10;8O4e5C/PLKw7YbfqFhGGTomGEheRsmxwvjxejVT70keQevgGDQ1Z7AIkoLHFPrJCfTJCpwEcTqSr&#10;MTAZUxYXc/o4k+QrFvnicp7Gkony+bpDH74o6Fk8VBxpqgle7O99iOWI8jkkZvNgdLPRxiQDt/Xa&#10;INsLUsAmrdTBqzBj2VDx61hIvGUh3k/i6HUghRrdV/wqj2vSTKTjs21SSBDaTGeqxNgjP5GSiZww&#10;1iMFRp5qaA7EFMKkRHo5dOgA/3A2kAor7n/vBCrOzFdLbF8Xi0WUbTIWFx+JGobnnvrcI6wkqIoH&#10;zqbjOiSpJx7cLU1loxNfL5UcayV1JRqPLyHK99xOUS/vdfUXAAD//wMAUEsDBBQABgAIAAAAIQAN&#10;1TJ94AAAAAsBAAAPAAAAZHJzL2Rvd25yZXYueG1sTI/BTsMwEETvSPyDtUjcWqdRKUkap6qouHBA&#10;oiDB0Y2dOKq9jmw3DX/PcoLjap9m3tS72Vk26RAHjwJWywyYxtarAXsBH+/PiwJYTBKVtB61gG8d&#10;Ydfc3tSyUv6Kb3o6pp5RCMZKCjApjRXnsTXaybj0o0b6dT44megMPVdBXincWZ5n2YY7OSA1GDnq&#10;J6Pb8/HiBHw6M6hDeP3qlJ0OL93+YZzDKMT93bzfAkt6Tn8w/OqTOjTkdPIXVJFZAcVqUxIqYPGY&#10;0ygiyrJYAzsRui5z4E3N/29ofgAAAP//AwBQSwECLQAUAAYACAAAACEAtoM4kv4AAADhAQAAEwAA&#10;AAAAAAAAAAAAAAAAAAAAW0NvbnRlbnRfVHlwZXNdLnhtbFBLAQItABQABgAIAAAAIQA4/SH/1gAA&#10;AJQBAAALAAAAAAAAAAAAAAAAAC8BAABfcmVscy8ucmVsc1BLAQItABQABgAIAAAAIQBQQaS2CwIA&#10;APcDAAAOAAAAAAAAAAAAAAAAAC4CAABkcnMvZTJvRG9jLnhtbFBLAQItABQABgAIAAAAIQAN1TJ9&#10;4AAAAAsBAAAPAAAAAAAAAAAAAAAAAGUEAABkcnMvZG93bnJldi54bWxQSwUGAAAAAAQABADzAAAA&#10;cgUAAAAA&#10;" stroked="f">
                <v:textbox style="mso-fit-shape-to-text:t">
                  <w:txbxContent>
                    <w:p w14:paraId="5ADDA698" w14:textId="77777777" w:rsidR="00E12F34" w:rsidRPr="00E12F34" w:rsidRDefault="00E12F34" w:rsidP="00E12F34">
                      <w:pPr>
                        <w:rPr>
                          <w:b/>
                          <w:bCs/>
                        </w:rPr>
                      </w:pPr>
                      <w:r w:rsidRPr="00E12F34">
                        <w:rPr>
                          <w:b/>
                          <w:bCs/>
                        </w:rPr>
                        <w:t>Exhibit 99.1</w:t>
                      </w:r>
                    </w:p>
                  </w:txbxContent>
                </v:textbox>
              </v:shape>
            </w:pict>
          </mc:Fallback>
        </mc:AlternateContent>
      </w:r>
      <w:r w:rsidR="006254EA" w:rsidRPr="006254EA">
        <w:rPr>
          <w:b/>
          <w:bCs/>
          <w:sz w:val="32"/>
          <w:szCs w:val="32"/>
        </w:rPr>
        <w:t>GeoVax Reports 2023 Second Quarter Financial Results</w:t>
      </w:r>
    </w:p>
    <w:p w14:paraId="28102D34" w14:textId="14D44F6B" w:rsidR="006254EA" w:rsidRPr="006254EA" w:rsidRDefault="006254EA" w:rsidP="006254EA">
      <w:pPr>
        <w:widowControl w:val="0"/>
        <w:autoSpaceDE w:val="0"/>
        <w:autoSpaceDN w:val="0"/>
        <w:adjustRightInd w:val="0"/>
        <w:jc w:val="center"/>
        <w:rPr>
          <w:b/>
          <w:bCs/>
          <w:sz w:val="32"/>
          <w:szCs w:val="32"/>
        </w:rPr>
      </w:pPr>
      <w:r w:rsidRPr="006254EA">
        <w:rPr>
          <w:b/>
          <w:bCs/>
          <w:sz w:val="32"/>
          <w:szCs w:val="32"/>
        </w:rPr>
        <w:t>and Provides Corporate Update</w:t>
      </w:r>
      <w:r w:rsidR="00E12F34" w:rsidRPr="00E12F34">
        <w:rPr>
          <w:noProof/>
          <w:sz w:val="20"/>
          <w:szCs w:val="20"/>
        </w:rPr>
        <w:t xml:space="preserve"> </w:t>
      </w:r>
    </w:p>
    <w:p w14:paraId="0FA2DB91" w14:textId="5FC03FA2" w:rsidR="006254EA" w:rsidRPr="006254EA" w:rsidRDefault="006254EA" w:rsidP="006254EA">
      <w:pPr>
        <w:widowControl w:val="0"/>
        <w:autoSpaceDE w:val="0"/>
        <w:autoSpaceDN w:val="0"/>
        <w:adjustRightInd w:val="0"/>
        <w:rPr>
          <w:b/>
          <w:i/>
          <w:iCs/>
        </w:rPr>
      </w:pPr>
    </w:p>
    <w:p w14:paraId="75CDFB93" w14:textId="77777777" w:rsidR="006254EA" w:rsidRPr="006254EA" w:rsidRDefault="006254EA" w:rsidP="006254EA">
      <w:pPr>
        <w:widowControl w:val="0"/>
        <w:autoSpaceDE w:val="0"/>
        <w:autoSpaceDN w:val="0"/>
        <w:adjustRightInd w:val="0"/>
        <w:jc w:val="center"/>
        <w:rPr>
          <w:b/>
          <w:i/>
          <w:iCs/>
        </w:rPr>
      </w:pPr>
      <w:r w:rsidRPr="006254EA">
        <w:rPr>
          <w:b/>
          <w:i/>
          <w:iCs/>
        </w:rPr>
        <w:t>Progress and Promising Outlook for Gedeptin</w:t>
      </w:r>
      <w:r w:rsidRPr="006254EA">
        <w:rPr>
          <w:rFonts w:ascii="Times New Roman Bold" w:hAnsi="Times New Roman Bold"/>
          <w:b/>
          <w:i/>
          <w:iCs/>
          <w:vertAlign w:val="superscript"/>
        </w:rPr>
        <w:t>®</w:t>
      </w:r>
      <w:r w:rsidRPr="006254EA">
        <w:rPr>
          <w:b/>
          <w:i/>
          <w:iCs/>
        </w:rPr>
        <w:t xml:space="preserve"> and GEO-CM04S1</w:t>
      </w:r>
    </w:p>
    <w:p w14:paraId="7A39358D" w14:textId="77777777" w:rsidR="006254EA" w:rsidRPr="006254EA" w:rsidRDefault="006254EA" w:rsidP="006254EA">
      <w:pPr>
        <w:widowControl w:val="0"/>
        <w:autoSpaceDE w:val="0"/>
        <w:autoSpaceDN w:val="0"/>
        <w:adjustRightInd w:val="0"/>
        <w:jc w:val="center"/>
        <w:rPr>
          <w:b/>
          <w:i/>
          <w:iCs/>
        </w:rPr>
      </w:pPr>
      <w:r w:rsidRPr="006254EA">
        <w:rPr>
          <w:b/>
          <w:i/>
          <w:iCs/>
        </w:rPr>
        <w:t>Phase 2 GEO-CM04S1 Clinical Trial Initiated for Patients with Chronic Lymphocytic Leukemia</w:t>
      </w:r>
    </w:p>
    <w:p w14:paraId="7FC86BDD" w14:textId="77777777" w:rsidR="006254EA" w:rsidRPr="006254EA" w:rsidRDefault="006254EA" w:rsidP="006254EA">
      <w:pPr>
        <w:widowControl w:val="0"/>
        <w:autoSpaceDE w:val="0"/>
        <w:autoSpaceDN w:val="0"/>
        <w:adjustRightInd w:val="0"/>
        <w:jc w:val="center"/>
        <w:rPr>
          <w:b/>
          <w:i/>
          <w:iCs/>
        </w:rPr>
      </w:pPr>
    </w:p>
    <w:p w14:paraId="46DEF10D" w14:textId="77777777" w:rsidR="006254EA" w:rsidRPr="006254EA" w:rsidRDefault="006254EA" w:rsidP="006254EA">
      <w:pPr>
        <w:widowControl w:val="0"/>
        <w:autoSpaceDE w:val="0"/>
        <w:autoSpaceDN w:val="0"/>
        <w:adjustRightInd w:val="0"/>
        <w:jc w:val="center"/>
        <w:rPr>
          <w:b/>
          <w:i/>
          <w:iCs/>
        </w:rPr>
      </w:pPr>
      <w:r w:rsidRPr="006254EA">
        <w:rPr>
          <w:b/>
          <w:i/>
          <w:iCs/>
        </w:rPr>
        <w:t>Company to Host Conference Call and Webcast Today at 4:30 p.m. ET</w:t>
      </w:r>
    </w:p>
    <w:p w14:paraId="71D24B9F" w14:textId="77777777" w:rsidR="006254EA" w:rsidRPr="006254EA" w:rsidRDefault="006254EA" w:rsidP="006254EA">
      <w:pPr>
        <w:widowControl w:val="0"/>
        <w:autoSpaceDE w:val="0"/>
        <w:autoSpaceDN w:val="0"/>
        <w:adjustRightInd w:val="0"/>
        <w:rPr>
          <w:bCs/>
          <w:sz w:val="22"/>
          <w:szCs w:val="22"/>
        </w:rPr>
      </w:pPr>
    </w:p>
    <w:p w14:paraId="2BAC130A" w14:textId="77777777" w:rsidR="006254EA" w:rsidRPr="006254EA" w:rsidRDefault="006254EA" w:rsidP="006254EA">
      <w:pPr>
        <w:widowControl w:val="0"/>
        <w:autoSpaceDE w:val="0"/>
        <w:autoSpaceDN w:val="0"/>
        <w:adjustRightInd w:val="0"/>
        <w:jc w:val="both"/>
        <w:rPr>
          <w:sz w:val="20"/>
          <w:szCs w:val="20"/>
        </w:rPr>
      </w:pPr>
      <w:r w:rsidRPr="006254EA">
        <w:rPr>
          <w:b/>
          <w:bCs/>
          <w:sz w:val="20"/>
          <w:szCs w:val="20"/>
        </w:rPr>
        <w:t xml:space="preserve">Atlanta, GA, August 9, 2023 </w:t>
      </w:r>
      <w:r w:rsidRPr="006254EA">
        <w:rPr>
          <w:bCs/>
          <w:sz w:val="20"/>
          <w:szCs w:val="20"/>
        </w:rPr>
        <w:t>–</w:t>
      </w:r>
      <w:r w:rsidRPr="006254EA">
        <w:rPr>
          <w:sz w:val="20"/>
          <w:szCs w:val="20"/>
        </w:rPr>
        <w:t xml:space="preserve"> GeoVax Labs, Inc. (Nasdaq: GOVX), a biotechnology company developing vaccines and immunotherapies against infectious diseases and cancers, today announced its financial results for the quarter ended June 30, 2023, and recent corporate highlights.</w:t>
      </w:r>
    </w:p>
    <w:p w14:paraId="03633F47" w14:textId="77777777" w:rsidR="006254EA" w:rsidRPr="006254EA" w:rsidRDefault="006254EA" w:rsidP="006254EA">
      <w:pPr>
        <w:widowControl w:val="0"/>
        <w:autoSpaceDE w:val="0"/>
        <w:autoSpaceDN w:val="0"/>
        <w:adjustRightInd w:val="0"/>
        <w:jc w:val="both"/>
        <w:rPr>
          <w:sz w:val="20"/>
          <w:szCs w:val="20"/>
        </w:rPr>
      </w:pPr>
    </w:p>
    <w:p w14:paraId="117F35B4" w14:textId="77777777" w:rsidR="006254EA" w:rsidRPr="006254EA" w:rsidRDefault="006254EA" w:rsidP="006254EA">
      <w:pPr>
        <w:widowControl w:val="0"/>
        <w:autoSpaceDE w:val="0"/>
        <w:autoSpaceDN w:val="0"/>
        <w:adjustRightInd w:val="0"/>
        <w:jc w:val="both"/>
        <w:rPr>
          <w:sz w:val="20"/>
          <w:szCs w:val="20"/>
        </w:rPr>
      </w:pPr>
      <w:r w:rsidRPr="006254EA">
        <w:rPr>
          <w:sz w:val="20"/>
          <w:szCs w:val="20"/>
        </w:rPr>
        <w:t>David Dodd, GeoVax’s Chairman and CEO, commented, “The first half of 2023 has been highly productive for GeoVax, with continued enrollment in, and positive interim clinical data presented for, both of our lead programs, Gedeptin</w:t>
      </w:r>
      <w:r w:rsidRPr="006254EA">
        <w:rPr>
          <w:sz w:val="20"/>
          <w:szCs w:val="20"/>
          <w:vertAlign w:val="superscript"/>
        </w:rPr>
        <w:t xml:space="preserve">® </w:t>
      </w:r>
      <w:r w:rsidRPr="006254EA">
        <w:rPr>
          <w:sz w:val="20"/>
          <w:szCs w:val="20"/>
        </w:rPr>
        <w:t>and GEO-CM04S1.</w:t>
      </w:r>
      <w:bookmarkStart w:id="0" w:name="_Hlk140753325"/>
      <w:r w:rsidRPr="006254EA">
        <w:rPr>
          <w:sz w:val="20"/>
          <w:szCs w:val="20"/>
        </w:rPr>
        <w:t xml:space="preserve"> We are also excited to have recently announced the start of an important third Phase 2 clinical study for GEO-CM04S1, in patients with chronic lymphocytic leukemia. Our next-generation COVID-19 vaccine, which utilizes an MVA-vector containing the two antigens, S and N, induces broad and durable antibody and cellular immune responses that we believe has the potential to offer a more robust, durable degree of protection than the current authorized COVID-19 vaccines, particularly in highly vulnerable immunocompromised patients.”</w:t>
      </w:r>
    </w:p>
    <w:bookmarkEnd w:id="0"/>
    <w:p w14:paraId="583BE2A0" w14:textId="77777777" w:rsidR="006254EA" w:rsidRPr="006254EA" w:rsidRDefault="006254EA" w:rsidP="006254EA">
      <w:pPr>
        <w:widowControl w:val="0"/>
        <w:autoSpaceDE w:val="0"/>
        <w:autoSpaceDN w:val="0"/>
        <w:adjustRightInd w:val="0"/>
        <w:jc w:val="both"/>
        <w:rPr>
          <w:sz w:val="20"/>
          <w:szCs w:val="20"/>
        </w:rPr>
      </w:pPr>
    </w:p>
    <w:p w14:paraId="0C7202B9" w14:textId="77777777" w:rsidR="006254EA" w:rsidRPr="006254EA" w:rsidRDefault="006254EA" w:rsidP="006254EA">
      <w:pPr>
        <w:widowControl w:val="0"/>
        <w:autoSpaceDE w:val="0"/>
        <w:autoSpaceDN w:val="0"/>
        <w:adjustRightInd w:val="0"/>
        <w:jc w:val="both"/>
        <w:rPr>
          <w:sz w:val="20"/>
          <w:szCs w:val="20"/>
        </w:rPr>
      </w:pPr>
      <w:r w:rsidRPr="006254EA">
        <w:rPr>
          <w:sz w:val="20"/>
          <w:szCs w:val="20"/>
        </w:rPr>
        <w:t xml:space="preserve">Mr. Dodd continued, “In addition to clinical progress, there are other notable achievements that set the stage for our future success. We have made significant progress </w:t>
      </w:r>
      <w:r w:rsidRPr="006254EA">
        <w:rPr>
          <w:color w:val="000000"/>
          <w:sz w:val="20"/>
          <w:szCs w:val="20"/>
        </w:rPr>
        <w:t>in developing a high-yield, high-capacity, continuous avian cell line system for manufacturing our MVA-based vaccines and immunotherapies, and we recently partnered with Advanced Bioscience Laboratories, Inc. to support current Good Manufacturing Practices production of our MVA-based products</w:t>
      </w:r>
      <w:r w:rsidRPr="006254EA">
        <w:rPr>
          <w:sz w:val="20"/>
          <w:szCs w:val="20"/>
        </w:rPr>
        <w:t xml:space="preserve"> </w:t>
      </w:r>
      <w:r w:rsidRPr="006254EA">
        <w:rPr>
          <w:color w:val="000000"/>
          <w:sz w:val="20"/>
          <w:szCs w:val="20"/>
        </w:rPr>
        <w:t xml:space="preserve">through late-stage development and eventual commercialization. Additionally, the recent expansion of our GEO-CM04S1 rights to include development for </w:t>
      </w:r>
      <w:proofErr w:type="spellStart"/>
      <w:r w:rsidRPr="006254EA">
        <w:rPr>
          <w:color w:val="000000"/>
          <w:sz w:val="20"/>
          <w:szCs w:val="20"/>
        </w:rPr>
        <w:t>Mpox</w:t>
      </w:r>
      <w:proofErr w:type="spellEnd"/>
      <w:r w:rsidRPr="006254EA">
        <w:rPr>
          <w:color w:val="000000"/>
          <w:sz w:val="20"/>
          <w:szCs w:val="20"/>
        </w:rPr>
        <w:t xml:space="preserve"> and smallpox adds to other rights we previously secured from the NIH covering preclinical, clinical, and commercial uses of the NIH-MVA. </w:t>
      </w:r>
      <w:r w:rsidRPr="006254EA">
        <w:rPr>
          <w:sz w:val="20"/>
          <w:szCs w:val="20"/>
        </w:rPr>
        <w:t xml:space="preserve">This provides a compelling opportunity to leverage our MVA-based vaccine expertise and help expand the global public health supply options available for the worldwide public health threats posed by SARS-CoV-2, </w:t>
      </w:r>
      <w:proofErr w:type="spellStart"/>
      <w:r w:rsidRPr="006254EA">
        <w:rPr>
          <w:sz w:val="20"/>
          <w:szCs w:val="20"/>
        </w:rPr>
        <w:t>Mpox</w:t>
      </w:r>
      <w:proofErr w:type="spellEnd"/>
      <w:r w:rsidRPr="006254EA">
        <w:rPr>
          <w:sz w:val="20"/>
          <w:szCs w:val="20"/>
        </w:rPr>
        <w:t xml:space="preserve"> and smallpox. We expect significant clinical developments and other important events during the remainder of 2023, and we look forward to continuing to share news of our progress.”</w:t>
      </w:r>
    </w:p>
    <w:p w14:paraId="0CDF2A95" w14:textId="77777777" w:rsidR="006254EA" w:rsidRPr="006254EA" w:rsidRDefault="006254EA" w:rsidP="006254EA">
      <w:pPr>
        <w:widowControl w:val="0"/>
        <w:autoSpaceDE w:val="0"/>
        <w:autoSpaceDN w:val="0"/>
        <w:adjustRightInd w:val="0"/>
        <w:jc w:val="both"/>
        <w:rPr>
          <w:sz w:val="20"/>
          <w:szCs w:val="20"/>
        </w:rPr>
      </w:pPr>
    </w:p>
    <w:p w14:paraId="68715285" w14:textId="77777777" w:rsidR="006254EA" w:rsidRPr="006254EA" w:rsidRDefault="006254EA" w:rsidP="006254EA">
      <w:pPr>
        <w:widowControl w:val="0"/>
        <w:autoSpaceDE w:val="0"/>
        <w:autoSpaceDN w:val="0"/>
        <w:adjustRightInd w:val="0"/>
        <w:rPr>
          <w:b/>
          <w:bCs/>
          <w:sz w:val="20"/>
          <w:szCs w:val="20"/>
        </w:rPr>
      </w:pPr>
      <w:r w:rsidRPr="006254EA">
        <w:rPr>
          <w:b/>
          <w:bCs/>
          <w:sz w:val="20"/>
          <w:szCs w:val="20"/>
        </w:rPr>
        <w:t>Recent Business Highlights:</w:t>
      </w:r>
    </w:p>
    <w:p w14:paraId="5E77A197" w14:textId="77777777" w:rsidR="006254EA" w:rsidRPr="006254EA" w:rsidRDefault="006254EA" w:rsidP="006254EA">
      <w:pPr>
        <w:widowControl w:val="0"/>
        <w:autoSpaceDE w:val="0"/>
        <w:autoSpaceDN w:val="0"/>
        <w:adjustRightInd w:val="0"/>
        <w:jc w:val="both"/>
        <w:rPr>
          <w:sz w:val="20"/>
          <w:szCs w:val="20"/>
        </w:rPr>
      </w:pPr>
    </w:p>
    <w:p w14:paraId="2E7EFF90" w14:textId="77777777" w:rsidR="006254EA" w:rsidRPr="006254EA" w:rsidRDefault="006254EA" w:rsidP="006254EA">
      <w:pPr>
        <w:widowControl w:val="0"/>
        <w:numPr>
          <w:ilvl w:val="0"/>
          <w:numId w:val="3"/>
        </w:numPr>
        <w:autoSpaceDE w:val="0"/>
        <w:autoSpaceDN w:val="0"/>
        <w:adjustRightInd w:val="0"/>
        <w:ind w:left="360"/>
        <w:contextualSpacing/>
        <w:jc w:val="both"/>
        <w:rPr>
          <w:sz w:val="20"/>
          <w:szCs w:val="20"/>
        </w:rPr>
      </w:pPr>
      <w:r w:rsidRPr="006254EA">
        <w:rPr>
          <w:b/>
          <w:bCs/>
          <w:sz w:val="20"/>
          <w:szCs w:val="20"/>
        </w:rPr>
        <w:t>New Clinical Trial Initiated for GEO-CM04S1</w:t>
      </w:r>
      <w:r w:rsidRPr="006254EA">
        <w:rPr>
          <w:sz w:val="20"/>
          <w:szCs w:val="20"/>
        </w:rPr>
        <w:t xml:space="preserve">. In July, GeoVax announced the start of a Phase 2 COVID-19 vaccine booster investigator-initiated clinical trial (ClinicalTrials.gov Identifier: </w:t>
      </w:r>
      <w:hyperlink r:id="rId9" w:history="1">
        <w:r w:rsidRPr="006254EA">
          <w:rPr>
            <w:color w:val="0000FF"/>
            <w:sz w:val="20"/>
            <w:szCs w:val="20"/>
            <w:u w:val="single"/>
          </w:rPr>
          <w:t>NCT05672355</w:t>
        </w:r>
      </w:hyperlink>
      <w:r w:rsidRPr="006254EA">
        <w:rPr>
          <w:sz w:val="20"/>
          <w:szCs w:val="20"/>
        </w:rPr>
        <w:t>) in patients with chronic lymphocytic leukemia (CLL), a recognized high-risk group for whom current mRNA vaccines and monoclonal antibody (</w:t>
      </w:r>
      <w:proofErr w:type="spellStart"/>
      <w:r w:rsidRPr="006254EA">
        <w:rPr>
          <w:sz w:val="20"/>
          <w:szCs w:val="20"/>
        </w:rPr>
        <w:t>MAb</w:t>
      </w:r>
      <w:proofErr w:type="spellEnd"/>
      <w:r w:rsidRPr="006254EA">
        <w:rPr>
          <w:sz w:val="20"/>
          <w:szCs w:val="20"/>
        </w:rPr>
        <w:t>) therapies appear inadequate relative to providing protective immunity. As a result of their medical status, CLL patients are largely unable to mount a sufficient antibody response to the mRNA vaccines. The trial is expected to enroll approximately 80 patients, comparing GEO-CM04S1 vs the Pfizer/BioNTech Bivalent vaccine. Completion of patient enrollment is expected within approximately six months. This investigator-initiated trial is being primarily funded by a private family foundation with GeoVax supporting the analysis of samples, so it is expected to have minimal impact on the Company’s balance sheet.</w:t>
      </w:r>
    </w:p>
    <w:p w14:paraId="591F0BC1" w14:textId="77777777" w:rsidR="006254EA" w:rsidRPr="006254EA" w:rsidRDefault="006254EA" w:rsidP="006254EA">
      <w:pPr>
        <w:widowControl w:val="0"/>
        <w:autoSpaceDE w:val="0"/>
        <w:autoSpaceDN w:val="0"/>
        <w:adjustRightInd w:val="0"/>
        <w:jc w:val="both"/>
        <w:rPr>
          <w:sz w:val="20"/>
          <w:szCs w:val="20"/>
        </w:rPr>
      </w:pPr>
    </w:p>
    <w:p w14:paraId="1712E027" w14:textId="77777777" w:rsidR="006254EA" w:rsidRPr="006254EA" w:rsidRDefault="006254EA" w:rsidP="006254EA">
      <w:pPr>
        <w:widowControl w:val="0"/>
        <w:numPr>
          <w:ilvl w:val="0"/>
          <w:numId w:val="3"/>
        </w:numPr>
        <w:autoSpaceDE w:val="0"/>
        <w:autoSpaceDN w:val="0"/>
        <w:adjustRightInd w:val="0"/>
        <w:ind w:left="360"/>
        <w:contextualSpacing/>
        <w:jc w:val="both"/>
        <w:rPr>
          <w:bCs/>
          <w:sz w:val="20"/>
          <w:szCs w:val="20"/>
        </w:rPr>
      </w:pPr>
      <w:r w:rsidRPr="006254EA">
        <w:rPr>
          <w:b/>
          <w:bCs/>
          <w:sz w:val="20"/>
          <w:szCs w:val="20"/>
        </w:rPr>
        <w:t>Gedeptin</w:t>
      </w:r>
      <w:r w:rsidRPr="006254EA">
        <w:rPr>
          <w:b/>
          <w:bCs/>
          <w:sz w:val="20"/>
          <w:szCs w:val="20"/>
          <w:vertAlign w:val="superscript"/>
        </w:rPr>
        <w:t>®</w:t>
      </w:r>
      <w:r w:rsidRPr="006254EA">
        <w:rPr>
          <w:b/>
          <w:bCs/>
          <w:sz w:val="20"/>
          <w:szCs w:val="20"/>
        </w:rPr>
        <w:t xml:space="preserve"> Clinical Trial Data.</w:t>
      </w:r>
      <w:r w:rsidRPr="006254EA">
        <w:rPr>
          <w:sz w:val="20"/>
          <w:szCs w:val="20"/>
        </w:rPr>
        <w:t xml:space="preserve"> Interim data from the Phase 1/2 clinical trial of </w:t>
      </w:r>
      <w:bookmarkStart w:id="1" w:name="_Hlk140747893"/>
      <w:r w:rsidRPr="006254EA">
        <w:rPr>
          <w:sz w:val="20"/>
          <w:szCs w:val="20"/>
        </w:rPr>
        <w:t>Gedeptin</w:t>
      </w:r>
      <w:r w:rsidRPr="006254EA">
        <w:rPr>
          <w:sz w:val="20"/>
          <w:szCs w:val="20"/>
          <w:vertAlign w:val="superscript"/>
        </w:rPr>
        <w:t>®</w:t>
      </w:r>
      <w:r w:rsidRPr="006254EA">
        <w:rPr>
          <w:sz w:val="20"/>
          <w:szCs w:val="20"/>
        </w:rPr>
        <w:t xml:space="preserve"> </w:t>
      </w:r>
      <w:bookmarkEnd w:id="1"/>
      <w:r w:rsidRPr="006254EA">
        <w:rPr>
          <w:sz w:val="20"/>
          <w:szCs w:val="20"/>
        </w:rPr>
        <w:t>was presented at the American Association for Cancer Research (AACR) and the American Head and Neck Society (AHNS) joint Head and Neck Cancer Conference in July.</w:t>
      </w:r>
      <w:r w:rsidRPr="006254EA">
        <w:rPr>
          <w:bCs/>
          <w:sz w:val="22"/>
          <w:szCs w:val="22"/>
        </w:rPr>
        <w:t xml:space="preserve"> </w:t>
      </w:r>
      <w:r w:rsidRPr="006254EA">
        <w:rPr>
          <w:bCs/>
          <w:sz w:val="20"/>
          <w:szCs w:val="20"/>
        </w:rPr>
        <w:t xml:space="preserve">The ongoing Phase 1/2 trial </w:t>
      </w:r>
      <w:r w:rsidRPr="006254EA">
        <w:rPr>
          <w:sz w:val="20"/>
          <w:szCs w:val="20"/>
        </w:rPr>
        <w:t xml:space="preserve">(ClinicalTrials.gov Identifier: </w:t>
      </w:r>
      <w:hyperlink r:id="rId10" w:history="1">
        <w:r w:rsidRPr="006254EA">
          <w:rPr>
            <w:color w:val="0000FF"/>
            <w:sz w:val="20"/>
            <w:szCs w:val="20"/>
            <w:u w:val="single"/>
          </w:rPr>
          <w:t>NCT03754933</w:t>
        </w:r>
      </w:hyperlink>
      <w:r w:rsidRPr="006254EA">
        <w:rPr>
          <w:sz w:val="20"/>
          <w:szCs w:val="20"/>
        </w:rPr>
        <w:t>)</w:t>
      </w:r>
      <w:r w:rsidRPr="006254EA">
        <w:rPr>
          <w:bCs/>
          <w:sz w:val="20"/>
          <w:szCs w:val="20"/>
        </w:rPr>
        <w:t xml:space="preserve"> is evaluating the safety and efficacy of repeat cycles of Gedeptin therapy in patients with recurrent head and neck cancers whose tumor(s) are accessible for injection, and who have no curable treatment options.</w:t>
      </w:r>
      <w:r w:rsidRPr="006254EA">
        <w:rPr>
          <w:sz w:val="20"/>
          <w:szCs w:val="20"/>
        </w:rPr>
        <w:t xml:space="preserve"> </w:t>
      </w:r>
      <w:r w:rsidRPr="006254EA">
        <w:rPr>
          <w:bCs/>
          <w:sz w:val="20"/>
          <w:szCs w:val="20"/>
        </w:rPr>
        <w:t xml:space="preserve">The poster presentation, which can be viewed </w:t>
      </w:r>
      <w:hyperlink r:id="rId11" w:history="1">
        <w:r w:rsidRPr="006254EA">
          <w:rPr>
            <w:bCs/>
            <w:color w:val="0000FF"/>
            <w:sz w:val="20"/>
            <w:szCs w:val="20"/>
            <w:u w:val="single"/>
          </w:rPr>
          <w:t>here</w:t>
        </w:r>
      </w:hyperlink>
      <w:r w:rsidRPr="006254EA">
        <w:rPr>
          <w:bCs/>
          <w:sz w:val="20"/>
          <w:szCs w:val="20"/>
        </w:rPr>
        <w:t xml:space="preserve">, highlighted data from 8 patients enrolled in the study to date, </w:t>
      </w:r>
      <w:r w:rsidRPr="006254EA">
        <w:rPr>
          <w:sz w:val="20"/>
          <w:szCs w:val="20"/>
        </w:rPr>
        <w:t xml:space="preserve">noting </w:t>
      </w:r>
      <w:r w:rsidRPr="006254EA">
        <w:rPr>
          <w:bCs/>
          <w:sz w:val="20"/>
          <w:szCs w:val="20"/>
        </w:rPr>
        <w:t xml:space="preserve">no dose-limiting toxicities or serious adverse events definitively attributable to treatment, with impairment of tumor growth in targeted lesions observed in 5 of 7 patients (one patient remaining under study). </w:t>
      </w:r>
    </w:p>
    <w:p w14:paraId="4A2E075E" w14:textId="77777777" w:rsidR="006254EA" w:rsidRPr="006254EA" w:rsidRDefault="006254EA" w:rsidP="006254EA">
      <w:pPr>
        <w:widowControl w:val="0"/>
        <w:autoSpaceDE w:val="0"/>
        <w:autoSpaceDN w:val="0"/>
        <w:adjustRightInd w:val="0"/>
        <w:rPr>
          <w:sz w:val="20"/>
          <w:szCs w:val="20"/>
        </w:rPr>
      </w:pPr>
    </w:p>
    <w:p w14:paraId="62DD7AC3" w14:textId="77777777" w:rsidR="006254EA" w:rsidRPr="006254EA" w:rsidRDefault="006254EA" w:rsidP="006254EA">
      <w:pPr>
        <w:widowControl w:val="0"/>
        <w:autoSpaceDE w:val="0"/>
        <w:autoSpaceDN w:val="0"/>
        <w:adjustRightInd w:val="0"/>
        <w:ind w:left="360"/>
        <w:jc w:val="both"/>
        <w:rPr>
          <w:sz w:val="20"/>
          <w:szCs w:val="20"/>
        </w:rPr>
      </w:pPr>
      <w:r w:rsidRPr="006254EA">
        <w:rPr>
          <w:bCs/>
          <w:sz w:val="20"/>
          <w:szCs w:val="20"/>
        </w:rPr>
        <w:t xml:space="preserve">The study is being funded in part by the U.S. Food and Drug Administration (FDA) pursuant to its Orphan Products Clinical Trials Grants Program. The </w:t>
      </w:r>
      <w:r w:rsidRPr="006254EA">
        <w:rPr>
          <w:sz w:val="20"/>
          <w:szCs w:val="20"/>
        </w:rPr>
        <w:t xml:space="preserve">FDA has also granted </w:t>
      </w:r>
      <w:r w:rsidRPr="006254EA">
        <w:rPr>
          <w:bCs/>
          <w:sz w:val="20"/>
          <w:szCs w:val="20"/>
        </w:rPr>
        <w:t>Gedeptin</w:t>
      </w:r>
      <w:r w:rsidRPr="006254EA">
        <w:rPr>
          <w:bCs/>
          <w:sz w:val="20"/>
          <w:szCs w:val="20"/>
          <w:vertAlign w:val="superscript"/>
        </w:rPr>
        <w:t xml:space="preserve"> </w:t>
      </w:r>
      <w:r w:rsidRPr="006254EA">
        <w:rPr>
          <w:sz w:val="20"/>
          <w:szCs w:val="20"/>
        </w:rPr>
        <w:t xml:space="preserve">orphan drug status for the intra-tumoral treatment </w:t>
      </w:r>
      <w:r w:rsidRPr="006254EA">
        <w:rPr>
          <w:sz w:val="20"/>
          <w:szCs w:val="20"/>
        </w:rPr>
        <w:lastRenderedPageBreak/>
        <w:t>of anatomically accessible oral and pharyngeal cancers, including cancers of the lip, tongue, gum, floor of the mouth, salivary gland, and other oral cavities.  GeoVax expects to complete the current trial by year-end 2023, after which expanded development of Gedeptin is anticipated, both as monotherapy and combination therapy in conjunction with other therapies to potentially include immune checkpoint inhibitors, angiogenesis inhibitors, radiation, chemotherapy, etc.</w:t>
      </w:r>
    </w:p>
    <w:p w14:paraId="65BB6DF8" w14:textId="77777777" w:rsidR="006254EA" w:rsidRPr="006254EA" w:rsidRDefault="006254EA" w:rsidP="006254EA">
      <w:pPr>
        <w:widowControl w:val="0"/>
        <w:autoSpaceDE w:val="0"/>
        <w:autoSpaceDN w:val="0"/>
        <w:adjustRightInd w:val="0"/>
        <w:jc w:val="both"/>
        <w:rPr>
          <w:sz w:val="20"/>
          <w:szCs w:val="20"/>
        </w:rPr>
      </w:pPr>
    </w:p>
    <w:p w14:paraId="6276A8D8" w14:textId="77777777" w:rsidR="006254EA" w:rsidRPr="006254EA" w:rsidRDefault="006254EA" w:rsidP="006254EA">
      <w:pPr>
        <w:widowControl w:val="0"/>
        <w:numPr>
          <w:ilvl w:val="0"/>
          <w:numId w:val="3"/>
        </w:numPr>
        <w:autoSpaceDE w:val="0"/>
        <w:autoSpaceDN w:val="0"/>
        <w:adjustRightInd w:val="0"/>
        <w:ind w:left="360"/>
        <w:contextualSpacing/>
        <w:jc w:val="both"/>
        <w:rPr>
          <w:sz w:val="20"/>
          <w:szCs w:val="20"/>
        </w:rPr>
      </w:pPr>
      <w:r w:rsidRPr="006254EA">
        <w:rPr>
          <w:b/>
          <w:bCs/>
          <w:sz w:val="20"/>
          <w:szCs w:val="20"/>
        </w:rPr>
        <w:t>GEO-CM04S1 Clinical Trial Data</w:t>
      </w:r>
      <w:r w:rsidRPr="006254EA">
        <w:rPr>
          <w:sz w:val="20"/>
          <w:szCs w:val="20"/>
        </w:rPr>
        <w:t>. In April, unpublished data from the open-label portion of the Phase 2 trial of GEO-CM04S1 in patients with hematologic cancers receiving cell transplants or CAR-T therapy (</w:t>
      </w:r>
      <w:r w:rsidRPr="006254EA">
        <w:rPr>
          <w:bCs/>
          <w:sz w:val="20"/>
          <w:szCs w:val="20"/>
        </w:rPr>
        <w:t xml:space="preserve">ClinicalTrials.gov Identifier: </w:t>
      </w:r>
      <w:hyperlink r:id="rId12" w:history="1">
        <w:r w:rsidRPr="006254EA">
          <w:rPr>
            <w:bCs/>
            <w:color w:val="0000FF"/>
            <w:sz w:val="20"/>
            <w:szCs w:val="20"/>
            <w:u w:val="single"/>
          </w:rPr>
          <w:t>NCT04977024</w:t>
        </w:r>
      </w:hyperlink>
      <w:r w:rsidRPr="006254EA">
        <w:rPr>
          <w:sz w:val="20"/>
          <w:szCs w:val="20"/>
        </w:rPr>
        <w:t>) was presented during the 23</w:t>
      </w:r>
      <w:r w:rsidRPr="006254EA">
        <w:rPr>
          <w:sz w:val="20"/>
          <w:szCs w:val="20"/>
          <w:vertAlign w:val="superscript"/>
        </w:rPr>
        <w:t>rd</w:t>
      </w:r>
      <w:r w:rsidRPr="006254EA">
        <w:rPr>
          <w:sz w:val="20"/>
          <w:szCs w:val="20"/>
        </w:rPr>
        <w:t xml:space="preserve"> Annual World Vaccine Congress. This trial is investigating GEO-CM04S1 in </w:t>
      </w:r>
      <w:bookmarkStart w:id="2" w:name="_Hlk131059224"/>
      <w:r w:rsidRPr="006254EA">
        <w:rPr>
          <w:sz w:val="20"/>
          <w:szCs w:val="20"/>
        </w:rPr>
        <w:t xml:space="preserve">a profoundly immunosuppressed patient population due to their pre-transplant induction regimens. </w:t>
      </w:r>
      <w:bookmarkEnd w:id="2"/>
      <w:r w:rsidRPr="006254EA">
        <w:rPr>
          <w:sz w:val="20"/>
          <w:szCs w:val="20"/>
        </w:rPr>
        <w:t>The preliminary analysis indicates GEO-CM04S1 is highly immunogenic in these patients, inducing both neutralizing antibodies and T cell responses, which the Company believes are important to confer protection against severe COVID-19. These data support the planned progression of the Phase 2 clinical study, which will include a direct comparison to currently approved mRNA vaccines and is anticipated to include multiple sites both within and outside the U.S.</w:t>
      </w:r>
    </w:p>
    <w:p w14:paraId="7D3859EE" w14:textId="77777777" w:rsidR="006254EA" w:rsidRPr="006254EA" w:rsidRDefault="006254EA" w:rsidP="006254EA">
      <w:pPr>
        <w:widowControl w:val="0"/>
        <w:autoSpaceDE w:val="0"/>
        <w:autoSpaceDN w:val="0"/>
        <w:adjustRightInd w:val="0"/>
        <w:jc w:val="both"/>
        <w:rPr>
          <w:sz w:val="20"/>
          <w:szCs w:val="20"/>
        </w:rPr>
      </w:pPr>
    </w:p>
    <w:p w14:paraId="75DEFC23" w14:textId="77777777" w:rsidR="006254EA" w:rsidRPr="006254EA" w:rsidRDefault="006254EA" w:rsidP="006254EA">
      <w:pPr>
        <w:widowControl w:val="0"/>
        <w:autoSpaceDE w:val="0"/>
        <w:autoSpaceDN w:val="0"/>
        <w:adjustRightInd w:val="0"/>
        <w:ind w:left="360"/>
        <w:jc w:val="both"/>
        <w:rPr>
          <w:bCs/>
          <w:sz w:val="20"/>
          <w:szCs w:val="20"/>
        </w:rPr>
      </w:pPr>
      <w:r w:rsidRPr="006254EA">
        <w:rPr>
          <w:bCs/>
          <w:sz w:val="20"/>
          <w:szCs w:val="20"/>
        </w:rPr>
        <w:t>Further underscoring the need for next-generation COVID-19 vaccines such as GEO-CM04S1, GeoVax scientists co-authored an article titled, “</w:t>
      </w:r>
      <w:r w:rsidRPr="006254EA">
        <w:rPr>
          <w:bCs/>
          <w:i/>
          <w:iCs/>
          <w:sz w:val="20"/>
          <w:szCs w:val="20"/>
        </w:rPr>
        <w:t>MVA-Vectored Universal Beta-Coronavirus Vaccine Design &amp; Development</w:t>
      </w:r>
      <w:r w:rsidRPr="006254EA">
        <w:rPr>
          <w:bCs/>
          <w:sz w:val="20"/>
          <w:szCs w:val="20"/>
        </w:rPr>
        <w:t xml:space="preserve">”, published in the June 2023 issue of the online journal </w:t>
      </w:r>
      <w:r w:rsidRPr="006254EA">
        <w:rPr>
          <w:bCs/>
          <w:i/>
          <w:iCs/>
          <w:sz w:val="20"/>
          <w:szCs w:val="20"/>
        </w:rPr>
        <w:t>Vaccine Insights</w:t>
      </w:r>
      <w:r w:rsidRPr="006254EA">
        <w:rPr>
          <w:bCs/>
          <w:sz w:val="20"/>
          <w:szCs w:val="20"/>
        </w:rPr>
        <w:t xml:space="preserve">. The article, accessible </w:t>
      </w:r>
      <w:hyperlink r:id="rId13" w:history="1">
        <w:r w:rsidRPr="006254EA">
          <w:rPr>
            <w:bCs/>
            <w:color w:val="0000FF"/>
            <w:sz w:val="20"/>
            <w:szCs w:val="20"/>
            <w:u w:val="single"/>
          </w:rPr>
          <w:t>here</w:t>
        </w:r>
      </w:hyperlink>
      <w:r w:rsidRPr="006254EA">
        <w:rPr>
          <w:bCs/>
          <w:sz w:val="20"/>
          <w:szCs w:val="20"/>
        </w:rPr>
        <w:t>, provides expert insight into the emergence of SARS-CoV-2 (COVID-19), the risk of new “spillover events” from animal hosts, and how this risk can be addressed proactively. Regarding COVID-19 and its continually evolving variants, the authors describe the limitations of first-generation vaccines and the potential for MVA-vectored vaccines such as GEO-CM04S1 to overcome these limitations.</w:t>
      </w:r>
    </w:p>
    <w:p w14:paraId="067BD483" w14:textId="77777777" w:rsidR="006254EA" w:rsidRPr="006254EA" w:rsidRDefault="006254EA" w:rsidP="006254EA">
      <w:pPr>
        <w:widowControl w:val="0"/>
        <w:autoSpaceDE w:val="0"/>
        <w:autoSpaceDN w:val="0"/>
        <w:adjustRightInd w:val="0"/>
        <w:jc w:val="both"/>
        <w:rPr>
          <w:sz w:val="20"/>
          <w:szCs w:val="20"/>
        </w:rPr>
      </w:pPr>
    </w:p>
    <w:p w14:paraId="57945A90" w14:textId="77777777" w:rsidR="006254EA" w:rsidRPr="006254EA" w:rsidRDefault="006254EA" w:rsidP="006254EA">
      <w:pPr>
        <w:widowControl w:val="0"/>
        <w:numPr>
          <w:ilvl w:val="0"/>
          <w:numId w:val="3"/>
        </w:numPr>
        <w:autoSpaceDE w:val="0"/>
        <w:autoSpaceDN w:val="0"/>
        <w:adjustRightInd w:val="0"/>
        <w:ind w:left="360"/>
        <w:contextualSpacing/>
        <w:jc w:val="both"/>
        <w:rPr>
          <w:bCs/>
          <w:sz w:val="20"/>
          <w:szCs w:val="20"/>
        </w:rPr>
      </w:pPr>
      <w:bookmarkStart w:id="3" w:name="_Hlk131057179"/>
      <w:proofErr w:type="spellStart"/>
      <w:r w:rsidRPr="006254EA">
        <w:rPr>
          <w:b/>
          <w:bCs/>
          <w:sz w:val="20"/>
          <w:szCs w:val="20"/>
        </w:rPr>
        <w:t>Mpox</w:t>
      </w:r>
      <w:proofErr w:type="spellEnd"/>
      <w:r w:rsidRPr="006254EA">
        <w:rPr>
          <w:b/>
          <w:bCs/>
          <w:sz w:val="20"/>
          <w:szCs w:val="20"/>
        </w:rPr>
        <w:t xml:space="preserve"> Vaccine Rights Added to GEO-CM04S1</w:t>
      </w:r>
      <w:r w:rsidRPr="006254EA">
        <w:rPr>
          <w:sz w:val="20"/>
          <w:szCs w:val="20"/>
        </w:rPr>
        <w:t xml:space="preserve">. </w:t>
      </w:r>
      <w:bookmarkEnd w:id="3"/>
      <w:r w:rsidRPr="006254EA">
        <w:rPr>
          <w:sz w:val="20"/>
          <w:szCs w:val="20"/>
        </w:rPr>
        <w:t>In April, GeoVax</w:t>
      </w:r>
      <w:r w:rsidRPr="006254EA" w:rsidDel="00B3307B">
        <w:rPr>
          <w:sz w:val="20"/>
          <w:szCs w:val="20"/>
        </w:rPr>
        <w:t xml:space="preserve"> </w:t>
      </w:r>
      <w:r w:rsidRPr="006254EA">
        <w:rPr>
          <w:sz w:val="20"/>
          <w:szCs w:val="20"/>
        </w:rPr>
        <w:t xml:space="preserve">expanded its rights under its license agreement with </w:t>
      </w:r>
      <w:hyperlink r:id="rId14" w:history="1">
        <w:r w:rsidRPr="006254EA">
          <w:rPr>
            <w:sz w:val="20"/>
            <w:szCs w:val="20"/>
          </w:rPr>
          <w:t>City of Hope</w:t>
        </w:r>
      </w:hyperlink>
      <w:r w:rsidRPr="006254EA">
        <w:rPr>
          <w:sz w:val="20"/>
          <w:szCs w:val="20"/>
        </w:rPr>
        <w:t xml:space="preserve"> (COH) for GEO-CM04S1, which now grants GeoVax development and commercialization rights against </w:t>
      </w:r>
      <w:proofErr w:type="spellStart"/>
      <w:r w:rsidRPr="006254EA">
        <w:rPr>
          <w:sz w:val="20"/>
          <w:szCs w:val="20"/>
        </w:rPr>
        <w:t>orthopoxviruses</w:t>
      </w:r>
      <w:proofErr w:type="spellEnd"/>
      <w:r w:rsidRPr="006254EA">
        <w:rPr>
          <w:sz w:val="20"/>
          <w:szCs w:val="20"/>
        </w:rPr>
        <w:t xml:space="preserve"> in addition to SARS-CoV-2. </w:t>
      </w:r>
      <w:proofErr w:type="spellStart"/>
      <w:r w:rsidRPr="006254EA">
        <w:rPr>
          <w:sz w:val="20"/>
          <w:szCs w:val="20"/>
        </w:rPr>
        <w:t>Orthopoxviruses</w:t>
      </w:r>
      <w:proofErr w:type="spellEnd"/>
      <w:r w:rsidRPr="006254EA">
        <w:rPr>
          <w:sz w:val="20"/>
          <w:szCs w:val="20"/>
        </w:rPr>
        <w:t xml:space="preserve"> include </w:t>
      </w:r>
      <w:proofErr w:type="spellStart"/>
      <w:r w:rsidRPr="006254EA">
        <w:rPr>
          <w:sz w:val="20"/>
          <w:szCs w:val="20"/>
        </w:rPr>
        <w:t>Mpox</w:t>
      </w:r>
      <w:proofErr w:type="spellEnd"/>
      <w:r w:rsidRPr="006254EA">
        <w:rPr>
          <w:sz w:val="20"/>
          <w:szCs w:val="20"/>
        </w:rPr>
        <w:t xml:space="preserve">, smallpox, and other viruses that cause disease in humans. </w:t>
      </w:r>
      <w:r w:rsidRPr="006254EA">
        <w:rPr>
          <w:bCs/>
          <w:sz w:val="20"/>
          <w:szCs w:val="20"/>
        </w:rPr>
        <w:t xml:space="preserve">GEO-CM04S1, which can induce strong antibody and T cell responses against the SARS-CoV-2 virus variants, also offers the possibility of protection against </w:t>
      </w:r>
      <w:proofErr w:type="spellStart"/>
      <w:r w:rsidRPr="006254EA">
        <w:rPr>
          <w:bCs/>
          <w:sz w:val="20"/>
          <w:szCs w:val="20"/>
        </w:rPr>
        <w:t>Mpox</w:t>
      </w:r>
      <w:proofErr w:type="spellEnd"/>
      <w:r w:rsidRPr="006254EA">
        <w:rPr>
          <w:bCs/>
          <w:sz w:val="20"/>
          <w:szCs w:val="20"/>
        </w:rPr>
        <w:t xml:space="preserve"> and smallpox diseases, further differentiating GEO-CM04S1 as compared to current mRNA-based COVID-19 vaccines. Such attributes may be especially important in vulnerable patient populations, such as the immune-compromised, and in geographic areas where both diseases are endemic. Such a vaccine may offer a simplified vaccine regimen for protection against diseases associated with SARS-CoV-2 and </w:t>
      </w:r>
      <w:proofErr w:type="spellStart"/>
      <w:r w:rsidRPr="006254EA">
        <w:rPr>
          <w:bCs/>
          <w:sz w:val="20"/>
          <w:szCs w:val="20"/>
        </w:rPr>
        <w:t>orthopoxviruses</w:t>
      </w:r>
      <w:proofErr w:type="spellEnd"/>
      <w:r w:rsidRPr="006254EA">
        <w:rPr>
          <w:bCs/>
          <w:sz w:val="20"/>
          <w:szCs w:val="20"/>
        </w:rPr>
        <w:t>.</w:t>
      </w:r>
    </w:p>
    <w:p w14:paraId="71633042" w14:textId="77777777" w:rsidR="006254EA" w:rsidRPr="006254EA" w:rsidRDefault="006254EA" w:rsidP="006254EA">
      <w:pPr>
        <w:widowControl w:val="0"/>
        <w:autoSpaceDE w:val="0"/>
        <w:autoSpaceDN w:val="0"/>
        <w:adjustRightInd w:val="0"/>
        <w:jc w:val="both"/>
        <w:rPr>
          <w:sz w:val="20"/>
          <w:szCs w:val="20"/>
        </w:rPr>
      </w:pPr>
    </w:p>
    <w:p w14:paraId="053F4E0A" w14:textId="77777777" w:rsidR="006254EA" w:rsidRPr="006254EA" w:rsidRDefault="006254EA" w:rsidP="006254EA">
      <w:pPr>
        <w:widowControl w:val="0"/>
        <w:numPr>
          <w:ilvl w:val="0"/>
          <w:numId w:val="3"/>
        </w:numPr>
        <w:autoSpaceDE w:val="0"/>
        <w:autoSpaceDN w:val="0"/>
        <w:adjustRightInd w:val="0"/>
        <w:ind w:left="360"/>
        <w:contextualSpacing/>
        <w:jc w:val="both"/>
        <w:rPr>
          <w:color w:val="000000"/>
          <w:sz w:val="20"/>
          <w:szCs w:val="20"/>
        </w:rPr>
      </w:pPr>
      <w:r w:rsidRPr="006254EA">
        <w:rPr>
          <w:b/>
          <w:bCs/>
          <w:color w:val="000000"/>
          <w:sz w:val="20"/>
          <w:szCs w:val="20"/>
        </w:rPr>
        <w:t>GEO-MVA (</w:t>
      </w:r>
      <w:proofErr w:type="spellStart"/>
      <w:r w:rsidRPr="006254EA">
        <w:rPr>
          <w:b/>
          <w:bCs/>
          <w:color w:val="000000"/>
          <w:sz w:val="20"/>
          <w:szCs w:val="20"/>
        </w:rPr>
        <w:t>Mpox</w:t>
      </w:r>
      <w:proofErr w:type="spellEnd"/>
      <w:r w:rsidRPr="006254EA">
        <w:rPr>
          <w:b/>
          <w:bCs/>
          <w:color w:val="000000"/>
          <w:sz w:val="20"/>
          <w:szCs w:val="20"/>
        </w:rPr>
        <w:t xml:space="preserve"> and smallpox vaccine).</w:t>
      </w:r>
      <w:r w:rsidRPr="006254EA">
        <w:rPr>
          <w:color w:val="000000"/>
          <w:sz w:val="20"/>
          <w:szCs w:val="20"/>
        </w:rPr>
        <w:t xml:space="preserve"> Following the recent announcement of GeoVax acquiring the rights from NIH to develop, manufacture and commercialize MVA as a vaccine against </w:t>
      </w:r>
      <w:proofErr w:type="spellStart"/>
      <w:r w:rsidRPr="006254EA">
        <w:rPr>
          <w:color w:val="000000"/>
          <w:sz w:val="20"/>
          <w:szCs w:val="20"/>
        </w:rPr>
        <w:t>Mpox</w:t>
      </w:r>
      <w:proofErr w:type="spellEnd"/>
      <w:r w:rsidRPr="006254EA">
        <w:rPr>
          <w:color w:val="000000"/>
          <w:sz w:val="20"/>
          <w:szCs w:val="20"/>
        </w:rPr>
        <w:t xml:space="preserve"> and smallpox, the Company has advanced to active regulatory discussions related to an expedited regulatory path for registration. GeoVax is focused on being the first U.S. supplier of the vaccine, providing expanded supply options for public health worldwide.</w:t>
      </w:r>
    </w:p>
    <w:p w14:paraId="68A1850F" w14:textId="77777777" w:rsidR="006254EA" w:rsidRPr="006254EA" w:rsidRDefault="006254EA" w:rsidP="006254EA">
      <w:pPr>
        <w:widowControl w:val="0"/>
        <w:autoSpaceDE w:val="0"/>
        <w:autoSpaceDN w:val="0"/>
        <w:adjustRightInd w:val="0"/>
        <w:ind w:left="720"/>
        <w:contextualSpacing/>
        <w:rPr>
          <w:b/>
          <w:bCs/>
          <w:color w:val="000000"/>
          <w:sz w:val="20"/>
          <w:szCs w:val="20"/>
        </w:rPr>
      </w:pPr>
    </w:p>
    <w:p w14:paraId="177A8FD5" w14:textId="77777777" w:rsidR="006254EA" w:rsidRPr="006254EA" w:rsidRDefault="006254EA" w:rsidP="006254EA">
      <w:pPr>
        <w:widowControl w:val="0"/>
        <w:numPr>
          <w:ilvl w:val="0"/>
          <w:numId w:val="3"/>
        </w:numPr>
        <w:autoSpaceDE w:val="0"/>
        <w:autoSpaceDN w:val="0"/>
        <w:adjustRightInd w:val="0"/>
        <w:ind w:left="360"/>
        <w:contextualSpacing/>
        <w:jc w:val="both"/>
        <w:rPr>
          <w:color w:val="000000"/>
          <w:sz w:val="20"/>
          <w:szCs w:val="20"/>
        </w:rPr>
      </w:pPr>
      <w:r w:rsidRPr="006254EA">
        <w:rPr>
          <w:b/>
          <w:bCs/>
          <w:color w:val="000000"/>
          <w:sz w:val="20"/>
          <w:szCs w:val="20"/>
        </w:rPr>
        <w:t>Manufacturing Development Progress</w:t>
      </w:r>
      <w:r w:rsidRPr="006254EA">
        <w:rPr>
          <w:color w:val="000000"/>
          <w:sz w:val="20"/>
          <w:szCs w:val="20"/>
        </w:rPr>
        <w:t xml:space="preserve">. In May, GeoVax announced it had entered into an agreement with Advanced Bioscience Laboratories, Inc. (ABL) to support current Good Manufacturing Practices (cGMP) production of the company’s vaccine candidates, including GEO-CM04S1. ABL, a subsidiary of </w:t>
      </w:r>
      <w:proofErr w:type="spellStart"/>
      <w:r w:rsidRPr="006254EA">
        <w:rPr>
          <w:color w:val="000000"/>
          <w:sz w:val="20"/>
          <w:szCs w:val="20"/>
        </w:rPr>
        <w:t>Institut</w:t>
      </w:r>
      <w:proofErr w:type="spellEnd"/>
      <w:r w:rsidRPr="006254EA">
        <w:rPr>
          <w:color w:val="000000"/>
          <w:sz w:val="20"/>
          <w:szCs w:val="20"/>
        </w:rPr>
        <w:t xml:space="preserve"> </w:t>
      </w:r>
      <w:proofErr w:type="spellStart"/>
      <w:r w:rsidRPr="006254EA">
        <w:rPr>
          <w:color w:val="000000"/>
          <w:sz w:val="20"/>
          <w:szCs w:val="20"/>
        </w:rPr>
        <w:t>Mérieux</w:t>
      </w:r>
      <w:proofErr w:type="spellEnd"/>
      <w:r w:rsidRPr="006254EA">
        <w:rPr>
          <w:color w:val="000000"/>
          <w:sz w:val="20"/>
          <w:szCs w:val="20"/>
        </w:rPr>
        <w:t>, is a pure-play contract development and manufacturing organization (CDMO) specialized in the development and manufacturing of gene therapies, oncolytic viruses, and vaccine candidates. With cGMP facilities in the U.S. and Europe, ABL is well-positioned to support GeoVax’s global development programs through late-stage development and eventual commercialization.</w:t>
      </w:r>
    </w:p>
    <w:p w14:paraId="53EC89C3" w14:textId="77777777" w:rsidR="006254EA" w:rsidRPr="006254EA" w:rsidRDefault="006254EA" w:rsidP="006254EA">
      <w:pPr>
        <w:widowControl w:val="0"/>
        <w:autoSpaceDE w:val="0"/>
        <w:autoSpaceDN w:val="0"/>
        <w:adjustRightInd w:val="0"/>
        <w:rPr>
          <w:color w:val="000000"/>
          <w:sz w:val="20"/>
          <w:szCs w:val="20"/>
        </w:rPr>
      </w:pPr>
    </w:p>
    <w:p w14:paraId="346DDE33" w14:textId="77777777" w:rsidR="006254EA" w:rsidRPr="006254EA" w:rsidRDefault="006254EA" w:rsidP="006254EA">
      <w:pPr>
        <w:autoSpaceDN w:val="0"/>
        <w:ind w:left="360"/>
        <w:contextualSpacing/>
        <w:jc w:val="both"/>
        <w:rPr>
          <w:color w:val="000000"/>
          <w:sz w:val="20"/>
          <w:szCs w:val="20"/>
        </w:rPr>
      </w:pPr>
      <w:r w:rsidRPr="006254EA">
        <w:rPr>
          <w:color w:val="000000"/>
          <w:sz w:val="20"/>
          <w:szCs w:val="20"/>
        </w:rPr>
        <w:t xml:space="preserve">Earlier in 2023, GeoVax announced significant progress in developing a high-yield, high-capacity, continuous avian cell line system for manufacturing its MVA-based vaccines and immunotherapies. The Company is accelerating activities towards fully implementing a proprietary, continuous cell line manufacturing system that will provide lower-cost, scalable versatility for broad MVA vaccine and immunotherapy applications. </w:t>
      </w:r>
      <w:r w:rsidRPr="006254EA">
        <w:rPr>
          <w:sz w:val="20"/>
          <w:szCs w:val="20"/>
        </w:rPr>
        <w:t xml:space="preserve">GeoVax is on course to expand MVA applications from stockpile-based solutions for niche medical markets to have the capability to respond to large-scale worldwide requirements on a timely basis. </w:t>
      </w:r>
      <w:bookmarkStart w:id="4" w:name="_Hlk132375536"/>
    </w:p>
    <w:bookmarkEnd w:id="4"/>
    <w:p w14:paraId="75F214A1" w14:textId="77777777" w:rsidR="006254EA" w:rsidRPr="006254EA" w:rsidRDefault="006254EA" w:rsidP="006254EA">
      <w:pPr>
        <w:widowControl w:val="0"/>
        <w:autoSpaceDE w:val="0"/>
        <w:autoSpaceDN w:val="0"/>
        <w:adjustRightInd w:val="0"/>
        <w:jc w:val="both"/>
        <w:rPr>
          <w:sz w:val="20"/>
          <w:szCs w:val="20"/>
        </w:rPr>
      </w:pPr>
    </w:p>
    <w:p w14:paraId="630E56FA" w14:textId="77777777" w:rsidR="006254EA" w:rsidRPr="006254EA" w:rsidRDefault="006254EA" w:rsidP="006254EA">
      <w:pPr>
        <w:widowControl w:val="0"/>
        <w:numPr>
          <w:ilvl w:val="0"/>
          <w:numId w:val="3"/>
        </w:numPr>
        <w:autoSpaceDE w:val="0"/>
        <w:autoSpaceDN w:val="0"/>
        <w:adjustRightInd w:val="0"/>
        <w:ind w:left="360"/>
        <w:contextualSpacing/>
        <w:jc w:val="both"/>
        <w:rPr>
          <w:bCs/>
          <w:sz w:val="20"/>
          <w:szCs w:val="20"/>
        </w:rPr>
      </w:pPr>
      <w:r w:rsidRPr="006254EA">
        <w:rPr>
          <w:b/>
          <w:bCs/>
          <w:sz w:val="20"/>
          <w:szCs w:val="20"/>
        </w:rPr>
        <w:t>Preclinical Programs</w:t>
      </w:r>
      <w:r w:rsidRPr="006254EA">
        <w:rPr>
          <w:sz w:val="20"/>
          <w:szCs w:val="20"/>
        </w:rPr>
        <w:t>. Data from recent nonhuman primate studies of GEO-MM01 against Marburg virus were presented during the 23</w:t>
      </w:r>
      <w:r w:rsidRPr="006254EA">
        <w:rPr>
          <w:sz w:val="20"/>
          <w:szCs w:val="20"/>
          <w:vertAlign w:val="superscript"/>
        </w:rPr>
        <w:t>rd</w:t>
      </w:r>
      <w:r w:rsidRPr="006254EA">
        <w:rPr>
          <w:sz w:val="20"/>
          <w:szCs w:val="20"/>
        </w:rPr>
        <w:t xml:space="preserve"> Annual World Vaccine Congress. Of particular interest, immunization with GEO-MM01 </w:t>
      </w:r>
      <w:r w:rsidRPr="006254EA">
        <w:rPr>
          <w:sz w:val="20"/>
          <w:szCs w:val="20"/>
        </w:rPr>
        <w:lastRenderedPageBreak/>
        <w:t>conferred 80% survival in cynomolgus macaques following a lethal dose of Marburg virus.</w:t>
      </w:r>
      <w:r w:rsidRPr="006254EA">
        <w:rPr>
          <w:bCs/>
          <w:sz w:val="20"/>
          <w:szCs w:val="20"/>
        </w:rPr>
        <w:t xml:space="preserve"> Vaccination protected nonhuman primates from viremia, weight loss, and death following challenge with a lethal Marburg virus dose. Evaluation of immune responses following vaccination demonstrated the presence of both neutralizing antibodies and functional T cells, indicating a breadth of response capable of offering significant protection. </w:t>
      </w:r>
    </w:p>
    <w:p w14:paraId="382BA3A4" w14:textId="77777777" w:rsidR="006254EA" w:rsidRPr="006254EA" w:rsidRDefault="006254EA" w:rsidP="006254EA">
      <w:pPr>
        <w:widowControl w:val="0"/>
        <w:autoSpaceDE w:val="0"/>
        <w:autoSpaceDN w:val="0"/>
        <w:adjustRightInd w:val="0"/>
        <w:jc w:val="both"/>
        <w:rPr>
          <w:sz w:val="20"/>
          <w:szCs w:val="20"/>
        </w:rPr>
      </w:pPr>
    </w:p>
    <w:p w14:paraId="7D3196DA" w14:textId="77777777" w:rsidR="006254EA" w:rsidRPr="006254EA" w:rsidRDefault="006254EA" w:rsidP="006254EA">
      <w:pPr>
        <w:widowControl w:val="0"/>
        <w:numPr>
          <w:ilvl w:val="0"/>
          <w:numId w:val="3"/>
        </w:numPr>
        <w:autoSpaceDE w:val="0"/>
        <w:autoSpaceDN w:val="0"/>
        <w:adjustRightInd w:val="0"/>
        <w:ind w:left="360"/>
        <w:contextualSpacing/>
        <w:jc w:val="both"/>
        <w:rPr>
          <w:i/>
          <w:iCs/>
          <w:sz w:val="20"/>
          <w:szCs w:val="20"/>
        </w:rPr>
      </w:pPr>
      <w:r w:rsidRPr="006254EA">
        <w:rPr>
          <w:b/>
          <w:bCs/>
          <w:sz w:val="20"/>
          <w:szCs w:val="20"/>
        </w:rPr>
        <w:t>Patent Portfolio Development</w:t>
      </w:r>
      <w:r w:rsidRPr="006254EA">
        <w:rPr>
          <w:sz w:val="20"/>
          <w:szCs w:val="20"/>
        </w:rPr>
        <w:t>. In July, GeoVax announced that the U.S. Patent and Trademark Office issued Patent No. 11,701,418 B2 to GeoVax, pursuant to the Company’s patent application No. 15/543,139 titled “</w:t>
      </w:r>
      <w:r w:rsidRPr="006254EA">
        <w:rPr>
          <w:i/>
          <w:iCs/>
          <w:sz w:val="20"/>
          <w:szCs w:val="20"/>
        </w:rPr>
        <w:t xml:space="preserve">Replication-Deficient Modified Vaccinia Ankara (MVA) and Matrix Protein (VP40).” </w:t>
      </w:r>
      <w:r w:rsidRPr="006254EA">
        <w:rPr>
          <w:sz w:val="20"/>
          <w:szCs w:val="20"/>
        </w:rPr>
        <w:t>The claims granted by the patent generally cover GeoVax’s vector platform for expressing ebolavirus antigens in virus-like particles (VLPs) utilizing an MVA viral vector. The claims encompass multiple ebolavirus strains, including Sudan ebolavirus, Zaire ebolavirus, Taï Forest ebolavirus, and Reston ebolavirus. GeoVax previously demonstrated that a single intramuscular (IM) dose of its vaccine candidate, GEO-EM01, provided 100% protection in rhesus macaques challenged with a lethal dose of Zaire ebolavirus (EBOV).</w:t>
      </w:r>
      <w:r w:rsidRPr="006254EA">
        <w:rPr>
          <w:sz w:val="22"/>
          <w:szCs w:val="22"/>
        </w:rPr>
        <w:t xml:space="preserve"> </w:t>
      </w:r>
      <w:r w:rsidRPr="006254EA">
        <w:rPr>
          <w:sz w:val="20"/>
          <w:szCs w:val="20"/>
        </w:rPr>
        <w:t>Additionally,</w:t>
      </w:r>
      <w:r w:rsidRPr="006254EA">
        <w:rPr>
          <w:bCs/>
          <w:sz w:val="20"/>
          <w:szCs w:val="20"/>
        </w:rPr>
        <w:t xml:space="preserve"> the Company’s </w:t>
      </w:r>
      <w:r w:rsidRPr="006254EA">
        <w:rPr>
          <w:sz w:val="20"/>
          <w:szCs w:val="20"/>
        </w:rPr>
        <w:t xml:space="preserve">preclinical efficacy studies of its </w:t>
      </w:r>
      <w:r w:rsidRPr="006254EA">
        <w:rPr>
          <w:bCs/>
          <w:sz w:val="20"/>
          <w:szCs w:val="20"/>
        </w:rPr>
        <w:t xml:space="preserve">Sudan ebolavirus (SUDV) </w:t>
      </w:r>
      <w:r w:rsidRPr="006254EA">
        <w:rPr>
          <w:sz w:val="20"/>
          <w:szCs w:val="20"/>
        </w:rPr>
        <w:t>vaccine candidate demonstrated that a single dose of the vaccine protected 100% of small animals challenged with a lethal dose of SUDV.</w:t>
      </w:r>
    </w:p>
    <w:p w14:paraId="727525F3" w14:textId="77777777" w:rsidR="006254EA" w:rsidRPr="006254EA" w:rsidRDefault="006254EA" w:rsidP="006254EA">
      <w:pPr>
        <w:widowControl w:val="0"/>
        <w:autoSpaceDE w:val="0"/>
        <w:autoSpaceDN w:val="0"/>
        <w:adjustRightInd w:val="0"/>
        <w:jc w:val="both"/>
        <w:rPr>
          <w:sz w:val="20"/>
          <w:szCs w:val="20"/>
        </w:rPr>
      </w:pPr>
    </w:p>
    <w:p w14:paraId="133DC5C1" w14:textId="77777777" w:rsidR="006254EA" w:rsidRPr="006254EA" w:rsidRDefault="006254EA" w:rsidP="006254EA">
      <w:pPr>
        <w:widowControl w:val="0"/>
        <w:autoSpaceDE w:val="0"/>
        <w:autoSpaceDN w:val="0"/>
        <w:adjustRightInd w:val="0"/>
        <w:ind w:left="360"/>
        <w:jc w:val="both"/>
        <w:rPr>
          <w:sz w:val="20"/>
          <w:szCs w:val="20"/>
        </w:rPr>
      </w:pPr>
      <w:r w:rsidRPr="006254EA">
        <w:rPr>
          <w:sz w:val="20"/>
          <w:szCs w:val="20"/>
        </w:rPr>
        <w:t>Earlier in 2023, GeoVax announced that the U.S. Patent and Trademark Office issued a Notice of Allowance for Patent Application No. 17/000,768 titled, “</w:t>
      </w:r>
      <w:r w:rsidRPr="006254EA">
        <w:rPr>
          <w:i/>
          <w:iCs/>
          <w:sz w:val="20"/>
          <w:szCs w:val="20"/>
        </w:rPr>
        <w:t>Method for Generating a ZIKV Immune Response Utilizing a Recombinant Modified Vaccinia Ankara Vector Encoding the NS1 Protein</w:t>
      </w:r>
      <w:r w:rsidRPr="006254EA">
        <w:rPr>
          <w:sz w:val="20"/>
          <w:szCs w:val="20"/>
        </w:rPr>
        <w:t xml:space="preserve">.” Preclinical studies demonstrated that a single dose of GEO-ZM02 provided 100% protection against a lethal dose of the Zika virus. </w:t>
      </w:r>
    </w:p>
    <w:p w14:paraId="43D834EF" w14:textId="77777777" w:rsidR="006254EA" w:rsidRPr="006254EA" w:rsidRDefault="006254EA" w:rsidP="006254EA">
      <w:pPr>
        <w:widowControl w:val="0"/>
        <w:autoSpaceDE w:val="0"/>
        <w:autoSpaceDN w:val="0"/>
        <w:adjustRightInd w:val="0"/>
        <w:ind w:left="360"/>
        <w:jc w:val="both"/>
        <w:rPr>
          <w:sz w:val="20"/>
          <w:szCs w:val="20"/>
        </w:rPr>
      </w:pPr>
    </w:p>
    <w:p w14:paraId="58739B06" w14:textId="77777777" w:rsidR="006254EA" w:rsidRPr="006254EA" w:rsidRDefault="006254EA" w:rsidP="006254EA">
      <w:pPr>
        <w:widowControl w:val="0"/>
        <w:autoSpaceDE w:val="0"/>
        <w:autoSpaceDN w:val="0"/>
        <w:adjustRightInd w:val="0"/>
        <w:ind w:left="360"/>
        <w:jc w:val="both"/>
        <w:rPr>
          <w:bCs/>
          <w:sz w:val="20"/>
          <w:szCs w:val="20"/>
        </w:rPr>
      </w:pPr>
      <w:r w:rsidRPr="006254EA">
        <w:rPr>
          <w:sz w:val="20"/>
          <w:szCs w:val="20"/>
        </w:rPr>
        <w:t>These patents add to the Company’s growing portfolio of wholly owned, co-owned, and in-licensed intellectual property, now standing at over 115 granted or pending patent applications spread over 24 patent families.</w:t>
      </w:r>
    </w:p>
    <w:p w14:paraId="660F2C17" w14:textId="77777777" w:rsidR="006254EA" w:rsidRPr="006254EA" w:rsidRDefault="006254EA" w:rsidP="006254EA">
      <w:pPr>
        <w:widowControl w:val="0"/>
        <w:autoSpaceDE w:val="0"/>
        <w:autoSpaceDN w:val="0"/>
        <w:adjustRightInd w:val="0"/>
        <w:jc w:val="both"/>
        <w:rPr>
          <w:sz w:val="20"/>
          <w:szCs w:val="20"/>
        </w:rPr>
      </w:pPr>
    </w:p>
    <w:p w14:paraId="6F1B524F" w14:textId="77777777" w:rsidR="006254EA" w:rsidRPr="006254EA" w:rsidRDefault="006254EA" w:rsidP="006254EA">
      <w:pPr>
        <w:widowControl w:val="0"/>
        <w:autoSpaceDE w:val="0"/>
        <w:autoSpaceDN w:val="0"/>
        <w:adjustRightInd w:val="0"/>
        <w:rPr>
          <w:b/>
          <w:sz w:val="20"/>
          <w:szCs w:val="20"/>
        </w:rPr>
      </w:pPr>
      <w:r w:rsidRPr="006254EA">
        <w:rPr>
          <w:b/>
          <w:sz w:val="20"/>
          <w:szCs w:val="20"/>
        </w:rPr>
        <w:t>Financial Results</w:t>
      </w:r>
    </w:p>
    <w:p w14:paraId="06318661" w14:textId="77777777" w:rsidR="006254EA" w:rsidRPr="006254EA" w:rsidRDefault="006254EA" w:rsidP="006254EA">
      <w:pPr>
        <w:widowControl w:val="0"/>
        <w:autoSpaceDE w:val="0"/>
        <w:autoSpaceDN w:val="0"/>
        <w:adjustRightInd w:val="0"/>
        <w:jc w:val="both"/>
        <w:rPr>
          <w:sz w:val="20"/>
          <w:szCs w:val="20"/>
        </w:rPr>
      </w:pPr>
    </w:p>
    <w:p w14:paraId="34FCFD72" w14:textId="77777777" w:rsidR="006254EA" w:rsidRPr="006254EA" w:rsidRDefault="006254EA" w:rsidP="006254EA">
      <w:pPr>
        <w:widowControl w:val="0"/>
        <w:numPr>
          <w:ilvl w:val="0"/>
          <w:numId w:val="4"/>
        </w:numPr>
        <w:autoSpaceDE w:val="0"/>
        <w:autoSpaceDN w:val="0"/>
        <w:adjustRightInd w:val="0"/>
        <w:ind w:left="360"/>
        <w:contextualSpacing/>
        <w:jc w:val="both"/>
        <w:rPr>
          <w:sz w:val="20"/>
          <w:szCs w:val="20"/>
        </w:rPr>
      </w:pPr>
      <w:r w:rsidRPr="006254EA">
        <w:rPr>
          <w:b/>
          <w:bCs/>
          <w:sz w:val="20"/>
          <w:szCs w:val="20"/>
        </w:rPr>
        <w:t>Net Loss</w:t>
      </w:r>
      <w:r w:rsidRPr="006254EA">
        <w:rPr>
          <w:sz w:val="20"/>
          <w:szCs w:val="20"/>
        </w:rPr>
        <w:t>: Net loss for the three months ended June 30, 2023, was $5,927,620, or $0.22 per share, as compared to $2,241,699, or $0.18 per share, for the comparable period in 2022.</w:t>
      </w:r>
      <w:r w:rsidRPr="006254EA">
        <w:rPr>
          <w:sz w:val="22"/>
          <w:szCs w:val="22"/>
        </w:rPr>
        <w:t xml:space="preserve"> </w:t>
      </w:r>
      <w:r w:rsidRPr="006254EA">
        <w:rPr>
          <w:sz w:val="20"/>
          <w:szCs w:val="20"/>
        </w:rPr>
        <w:t>For the six months ended June 30, 2023, the Company’s net loss was $9,965,536 ($0.38 per share) as compared to a net loss of $4,669,214 ($0.47 per share) in 2022.</w:t>
      </w:r>
    </w:p>
    <w:p w14:paraId="6893DFD2" w14:textId="77777777" w:rsidR="006254EA" w:rsidRPr="006254EA" w:rsidRDefault="006254EA" w:rsidP="006254EA">
      <w:pPr>
        <w:widowControl w:val="0"/>
        <w:autoSpaceDE w:val="0"/>
        <w:autoSpaceDN w:val="0"/>
        <w:adjustRightInd w:val="0"/>
        <w:ind w:left="360"/>
        <w:jc w:val="both"/>
        <w:rPr>
          <w:sz w:val="20"/>
          <w:szCs w:val="20"/>
        </w:rPr>
      </w:pPr>
    </w:p>
    <w:p w14:paraId="0BFE5A3A" w14:textId="77777777" w:rsidR="006254EA" w:rsidRPr="006254EA" w:rsidRDefault="006254EA" w:rsidP="006254EA">
      <w:pPr>
        <w:widowControl w:val="0"/>
        <w:numPr>
          <w:ilvl w:val="0"/>
          <w:numId w:val="4"/>
        </w:numPr>
        <w:autoSpaceDE w:val="0"/>
        <w:autoSpaceDN w:val="0"/>
        <w:adjustRightInd w:val="0"/>
        <w:ind w:left="360"/>
        <w:contextualSpacing/>
        <w:jc w:val="both"/>
        <w:rPr>
          <w:sz w:val="20"/>
          <w:szCs w:val="20"/>
        </w:rPr>
      </w:pPr>
      <w:r w:rsidRPr="006254EA">
        <w:rPr>
          <w:b/>
          <w:bCs/>
          <w:sz w:val="20"/>
          <w:szCs w:val="20"/>
        </w:rPr>
        <w:t>R&amp;D Expenses</w:t>
      </w:r>
      <w:r w:rsidRPr="006254EA">
        <w:rPr>
          <w:sz w:val="20"/>
          <w:szCs w:val="20"/>
        </w:rPr>
        <w:t>: Research and development expenses were $4,719,728 and $7,538,917 for the three-month and six-month periods ended June 30, 2023, compared to $1,307,177 and $2,637,721 for the comparable periods in 2022, with the increases primarily due to the cost of conducting clinical trials for GEO-CM04S1 and Gedeptin, costs of manufacturing materials for use in our clinical trials, additional personnel costs, technology license fees, costs of preclinical research activities and a generally higher level of activity.</w:t>
      </w:r>
    </w:p>
    <w:p w14:paraId="37D81BDE" w14:textId="77777777" w:rsidR="006254EA" w:rsidRPr="006254EA" w:rsidRDefault="006254EA" w:rsidP="006254EA">
      <w:pPr>
        <w:widowControl w:val="0"/>
        <w:autoSpaceDE w:val="0"/>
        <w:autoSpaceDN w:val="0"/>
        <w:adjustRightInd w:val="0"/>
        <w:jc w:val="both"/>
        <w:rPr>
          <w:sz w:val="20"/>
          <w:szCs w:val="20"/>
        </w:rPr>
      </w:pPr>
    </w:p>
    <w:p w14:paraId="78B1E159" w14:textId="77777777" w:rsidR="006254EA" w:rsidRPr="006254EA" w:rsidRDefault="006254EA" w:rsidP="006254EA">
      <w:pPr>
        <w:widowControl w:val="0"/>
        <w:numPr>
          <w:ilvl w:val="0"/>
          <w:numId w:val="4"/>
        </w:numPr>
        <w:autoSpaceDE w:val="0"/>
        <w:autoSpaceDN w:val="0"/>
        <w:adjustRightInd w:val="0"/>
        <w:ind w:left="360"/>
        <w:contextualSpacing/>
        <w:jc w:val="both"/>
        <w:rPr>
          <w:sz w:val="20"/>
          <w:szCs w:val="20"/>
        </w:rPr>
      </w:pPr>
      <w:r w:rsidRPr="006254EA">
        <w:rPr>
          <w:b/>
          <w:bCs/>
          <w:sz w:val="20"/>
          <w:szCs w:val="20"/>
        </w:rPr>
        <w:t>G&amp;A Expenses</w:t>
      </w:r>
      <w:r w:rsidRPr="006254EA">
        <w:rPr>
          <w:sz w:val="20"/>
          <w:szCs w:val="20"/>
        </w:rPr>
        <w:t>: General and administrative expenses were $1,459,093 and $2,910,518 for the three-month and six-month periods ended June 30, 2023, compared to $935,311 and $2,114,335 for the comparable periods in 2022, with the increases primarily due to higher personnel costs, investor relations consulting costs, patent costs and other expenses supportive of a higher level of activity.</w:t>
      </w:r>
    </w:p>
    <w:p w14:paraId="5B1EFB08" w14:textId="77777777" w:rsidR="006254EA" w:rsidRPr="006254EA" w:rsidRDefault="006254EA" w:rsidP="006254EA">
      <w:pPr>
        <w:widowControl w:val="0"/>
        <w:autoSpaceDE w:val="0"/>
        <w:autoSpaceDN w:val="0"/>
        <w:adjustRightInd w:val="0"/>
        <w:jc w:val="both"/>
        <w:rPr>
          <w:sz w:val="20"/>
          <w:szCs w:val="20"/>
        </w:rPr>
      </w:pPr>
    </w:p>
    <w:p w14:paraId="4E914ABB" w14:textId="77777777" w:rsidR="006254EA" w:rsidRPr="006254EA" w:rsidRDefault="006254EA" w:rsidP="006254EA">
      <w:pPr>
        <w:widowControl w:val="0"/>
        <w:numPr>
          <w:ilvl w:val="0"/>
          <w:numId w:val="4"/>
        </w:numPr>
        <w:autoSpaceDE w:val="0"/>
        <w:autoSpaceDN w:val="0"/>
        <w:adjustRightInd w:val="0"/>
        <w:ind w:left="360"/>
        <w:contextualSpacing/>
        <w:jc w:val="both"/>
        <w:rPr>
          <w:sz w:val="20"/>
          <w:szCs w:val="20"/>
        </w:rPr>
      </w:pPr>
      <w:r w:rsidRPr="006254EA">
        <w:rPr>
          <w:b/>
          <w:bCs/>
          <w:sz w:val="20"/>
          <w:szCs w:val="20"/>
        </w:rPr>
        <w:t>Cash Position</w:t>
      </w:r>
      <w:r w:rsidRPr="006254EA">
        <w:rPr>
          <w:sz w:val="20"/>
          <w:szCs w:val="20"/>
        </w:rPr>
        <w:t>: GeoVax reported cash balances of $17,788,911 at June 30, 2023, as compared to $27,612,732 at December 31, 2022.</w:t>
      </w:r>
    </w:p>
    <w:p w14:paraId="36ECC632" w14:textId="77777777" w:rsidR="006254EA" w:rsidRPr="006254EA" w:rsidRDefault="006254EA" w:rsidP="006254EA">
      <w:pPr>
        <w:widowControl w:val="0"/>
        <w:autoSpaceDE w:val="0"/>
        <w:autoSpaceDN w:val="0"/>
        <w:adjustRightInd w:val="0"/>
        <w:jc w:val="both"/>
        <w:rPr>
          <w:sz w:val="20"/>
          <w:szCs w:val="20"/>
        </w:rPr>
      </w:pPr>
    </w:p>
    <w:p w14:paraId="347C32F9" w14:textId="77777777" w:rsidR="006254EA" w:rsidRPr="006254EA" w:rsidRDefault="006254EA" w:rsidP="006254EA">
      <w:pPr>
        <w:widowControl w:val="0"/>
        <w:autoSpaceDE w:val="0"/>
        <w:autoSpaceDN w:val="0"/>
        <w:adjustRightInd w:val="0"/>
        <w:jc w:val="both"/>
        <w:rPr>
          <w:sz w:val="20"/>
          <w:szCs w:val="20"/>
        </w:rPr>
      </w:pPr>
      <w:r w:rsidRPr="006254EA">
        <w:rPr>
          <w:sz w:val="20"/>
          <w:szCs w:val="20"/>
        </w:rPr>
        <w:t>Summarized financial information is included. Further information is included in the Company’s Quarterly Report on Form 10-Q filed with the Securities and Exchange Commission.</w:t>
      </w:r>
    </w:p>
    <w:p w14:paraId="1BBC46E3" w14:textId="77777777" w:rsidR="006254EA" w:rsidRPr="006254EA" w:rsidRDefault="006254EA" w:rsidP="006254EA">
      <w:pPr>
        <w:widowControl w:val="0"/>
        <w:autoSpaceDE w:val="0"/>
        <w:autoSpaceDN w:val="0"/>
        <w:adjustRightInd w:val="0"/>
        <w:jc w:val="both"/>
        <w:rPr>
          <w:sz w:val="20"/>
          <w:szCs w:val="20"/>
        </w:rPr>
      </w:pPr>
    </w:p>
    <w:p w14:paraId="20F8306F" w14:textId="77777777" w:rsidR="006254EA" w:rsidRPr="006254EA" w:rsidRDefault="006254EA" w:rsidP="006254EA">
      <w:pPr>
        <w:widowControl w:val="0"/>
        <w:autoSpaceDE w:val="0"/>
        <w:autoSpaceDN w:val="0"/>
        <w:adjustRightInd w:val="0"/>
        <w:rPr>
          <w:b/>
          <w:bCs/>
          <w:sz w:val="20"/>
          <w:szCs w:val="20"/>
        </w:rPr>
      </w:pPr>
      <w:bookmarkStart w:id="5" w:name="_Hlk514326477"/>
      <w:r w:rsidRPr="006254EA">
        <w:rPr>
          <w:b/>
          <w:bCs/>
          <w:sz w:val="20"/>
          <w:szCs w:val="20"/>
        </w:rPr>
        <w:t>Conference Call Details</w:t>
      </w:r>
    </w:p>
    <w:p w14:paraId="6C66CE1D" w14:textId="77777777" w:rsidR="006254EA" w:rsidRPr="006254EA" w:rsidRDefault="006254EA" w:rsidP="006254EA">
      <w:pPr>
        <w:autoSpaceDE w:val="0"/>
        <w:autoSpaceDN w:val="0"/>
        <w:adjustRightInd w:val="0"/>
        <w:jc w:val="both"/>
        <w:rPr>
          <w:sz w:val="20"/>
          <w:szCs w:val="20"/>
        </w:rPr>
      </w:pPr>
      <w:bookmarkStart w:id="6" w:name="_heading=h.1t3h5sf"/>
      <w:bookmarkEnd w:id="6"/>
    </w:p>
    <w:p w14:paraId="3EFE2CCA" w14:textId="77777777" w:rsidR="006254EA" w:rsidRPr="006254EA" w:rsidRDefault="006254EA" w:rsidP="006254EA">
      <w:pPr>
        <w:autoSpaceDE w:val="0"/>
        <w:autoSpaceDN w:val="0"/>
        <w:adjustRightInd w:val="0"/>
        <w:jc w:val="both"/>
        <w:rPr>
          <w:sz w:val="20"/>
          <w:szCs w:val="20"/>
        </w:rPr>
      </w:pPr>
      <w:r w:rsidRPr="006254EA">
        <w:rPr>
          <w:sz w:val="20"/>
          <w:szCs w:val="20"/>
        </w:rPr>
        <w:t xml:space="preserve">Management will host a conference call scheduled to begin at 4:30 p.m. ET today, August 9, 2023, to review financial results and provide an update on corporate developments. A question-and-answer session will follow management’s formal remarks. </w:t>
      </w:r>
    </w:p>
    <w:p w14:paraId="38091DC5" w14:textId="77777777" w:rsidR="006254EA" w:rsidRPr="006254EA" w:rsidRDefault="006254EA" w:rsidP="006254EA">
      <w:pPr>
        <w:autoSpaceDE w:val="0"/>
        <w:autoSpaceDN w:val="0"/>
        <w:adjustRightInd w:val="0"/>
        <w:jc w:val="both"/>
        <w:rPr>
          <w:sz w:val="20"/>
          <w:szCs w:val="20"/>
        </w:rPr>
      </w:pPr>
    </w:p>
    <w:p w14:paraId="50C7E6FB" w14:textId="77777777" w:rsidR="006254EA" w:rsidRPr="006254EA" w:rsidRDefault="006254EA" w:rsidP="006254EA">
      <w:pPr>
        <w:autoSpaceDE w:val="0"/>
        <w:autoSpaceDN w:val="0"/>
        <w:adjustRightInd w:val="0"/>
        <w:jc w:val="both"/>
        <w:rPr>
          <w:sz w:val="20"/>
          <w:szCs w:val="20"/>
        </w:rPr>
      </w:pPr>
      <w:r w:rsidRPr="006254EA">
        <w:rPr>
          <w:sz w:val="20"/>
          <w:szCs w:val="20"/>
        </w:rPr>
        <w:t xml:space="preserve">Domestic: </w:t>
      </w:r>
      <w:r w:rsidRPr="006254EA">
        <w:rPr>
          <w:sz w:val="20"/>
          <w:szCs w:val="20"/>
        </w:rPr>
        <w:tab/>
        <w:t>800-715-9871</w:t>
      </w:r>
    </w:p>
    <w:p w14:paraId="1FF511EA" w14:textId="77777777" w:rsidR="006254EA" w:rsidRPr="006254EA" w:rsidRDefault="006254EA" w:rsidP="006254EA">
      <w:pPr>
        <w:autoSpaceDE w:val="0"/>
        <w:autoSpaceDN w:val="0"/>
        <w:adjustRightInd w:val="0"/>
        <w:jc w:val="both"/>
        <w:rPr>
          <w:sz w:val="20"/>
          <w:szCs w:val="20"/>
        </w:rPr>
      </w:pPr>
      <w:r w:rsidRPr="006254EA">
        <w:rPr>
          <w:sz w:val="20"/>
          <w:szCs w:val="20"/>
        </w:rPr>
        <w:t xml:space="preserve">International: </w:t>
      </w:r>
      <w:r w:rsidRPr="006254EA">
        <w:rPr>
          <w:sz w:val="20"/>
          <w:szCs w:val="20"/>
        </w:rPr>
        <w:tab/>
        <w:t>646-307-1963</w:t>
      </w:r>
    </w:p>
    <w:p w14:paraId="17BCF29C" w14:textId="77777777" w:rsidR="006254EA" w:rsidRPr="006254EA" w:rsidRDefault="006254EA" w:rsidP="006254EA">
      <w:pPr>
        <w:autoSpaceDE w:val="0"/>
        <w:autoSpaceDN w:val="0"/>
        <w:adjustRightInd w:val="0"/>
        <w:jc w:val="both"/>
        <w:rPr>
          <w:sz w:val="20"/>
          <w:szCs w:val="20"/>
        </w:rPr>
      </w:pPr>
      <w:r w:rsidRPr="006254EA">
        <w:rPr>
          <w:sz w:val="20"/>
          <w:szCs w:val="20"/>
        </w:rPr>
        <w:t xml:space="preserve">Conference ID: </w:t>
      </w:r>
      <w:r w:rsidRPr="006254EA">
        <w:rPr>
          <w:sz w:val="20"/>
          <w:szCs w:val="20"/>
        </w:rPr>
        <w:tab/>
        <w:t>5604173</w:t>
      </w:r>
    </w:p>
    <w:p w14:paraId="46B411C7" w14:textId="77777777" w:rsidR="006254EA" w:rsidRPr="006254EA" w:rsidRDefault="006254EA" w:rsidP="006254EA">
      <w:pPr>
        <w:jc w:val="both"/>
        <w:rPr>
          <w:color w:val="000000"/>
          <w:sz w:val="20"/>
          <w:szCs w:val="20"/>
        </w:rPr>
      </w:pPr>
      <w:r w:rsidRPr="006254EA">
        <w:rPr>
          <w:color w:val="000000"/>
          <w:sz w:val="20"/>
          <w:szCs w:val="20"/>
        </w:rPr>
        <w:lastRenderedPageBreak/>
        <w:t xml:space="preserve">Webcast: </w:t>
      </w:r>
      <w:r w:rsidRPr="006254EA">
        <w:rPr>
          <w:color w:val="000000"/>
          <w:sz w:val="20"/>
          <w:szCs w:val="20"/>
        </w:rPr>
        <w:tab/>
      </w:r>
      <w:hyperlink r:id="rId15" w:history="1">
        <w:r w:rsidRPr="006254EA">
          <w:rPr>
            <w:color w:val="1155CC"/>
            <w:sz w:val="20"/>
            <w:szCs w:val="20"/>
            <w:u w:val="single"/>
          </w:rPr>
          <w:t>GeoVax Earnings Webcast</w:t>
        </w:r>
      </w:hyperlink>
    </w:p>
    <w:p w14:paraId="051AE799" w14:textId="77777777" w:rsidR="006254EA" w:rsidRPr="006254EA" w:rsidRDefault="006254EA" w:rsidP="006254EA">
      <w:pPr>
        <w:autoSpaceDE w:val="0"/>
        <w:autoSpaceDN w:val="0"/>
        <w:adjustRightInd w:val="0"/>
        <w:jc w:val="both"/>
        <w:rPr>
          <w:sz w:val="20"/>
          <w:szCs w:val="20"/>
        </w:rPr>
      </w:pPr>
    </w:p>
    <w:p w14:paraId="74338610" w14:textId="77777777" w:rsidR="006254EA" w:rsidRPr="006254EA" w:rsidRDefault="006254EA" w:rsidP="006254EA">
      <w:pPr>
        <w:jc w:val="both"/>
        <w:rPr>
          <w:sz w:val="20"/>
          <w:szCs w:val="20"/>
        </w:rPr>
      </w:pPr>
      <w:r w:rsidRPr="006254EA">
        <w:rPr>
          <w:sz w:val="20"/>
          <w:szCs w:val="20"/>
        </w:rPr>
        <w:t>A webcast replay of the call will be available for three months via the same link as the live webcast approximately two hours after the end of the call.</w:t>
      </w:r>
    </w:p>
    <w:p w14:paraId="77AAF777" w14:textId="77777777" w:rsidR="006254EA" w:rsidRPr="006254EA" w:rsidRDefault="006254EA" w:rsidP="006254EA">
      <w:pPr>
        <w:jc w:val="both"/>
        <w:rPr>
          <w:sz w:val="20"/>
          <w:szCs w:val="20"/>
        </w:rPr>
      </w:pPr>
    </w:p>
    <w:p w14:paraId="74E4808C" w14:textId="77777777" w:rsidR="006254EA" w:rsidRPr="006254EA" w:rsidRDefault="006254EA" w:rsidP="006254EA">
      <w:pPr>
        <w:jc w:val="both"/>
        <w:rPr>
          <w:rFonts w:eastAsia="SimSun"/>
          <w:b/>
          <w:bCs/>
          <w:color w:val="000000"/>
          <w:sz w:val="20"/>
          <w:szCs w:val="20"/>
        </w:rPr>
      </w:pPr>
      <w:r w:rsidRPr="006254EA">
        <w:rPr>
          <w:rFonts w:eastAsia="SimSun"/>
          <w:b/>
          <w:bCs/>
          <w:color w:val="000000"/>
          <w:sz w:val="20"/>
          <w:szCs w:val="20"/>
        </w:rPr>
        <w:t>About GeoVax</w:t>
      </w:r>
    </w:p>
    <w:p w14:paraId="7D245F7C" w14:textId="77777777" w:rsidR="006254EA" w:rsidRPr="006254EA" w:rsidRDefault="006254EA" w:rsidP="006254EA">
      <w:pPr>
        <w:jc w:val="both"/>
        <w:rPr>
          <w:rFonts w:eastAsia="SimSun"/>
          <w:color w:val="000000"/>
          <w:sz w:val="20"/>
          <w:szCs w:val="20"/>
        </w:rPr>
      </w:pPr>
    </w:p>
    <w:p w14:paraId="77701626" w14:textId="77777777" w:rsidR="006254EA" w:rsidRPr="006254EA" w:rsidRDefault="006254EA" w:rsidP="006254EA">
      <w:pPr>
        <w:widowControl w:val="0"/>
        <w:autoSpaceDE w:val="0"/>
        <w:autoSpaceDN w:val="0"/>
        <w:adjustRightInd w:val="0"/>
        <w:jc w:val="both"/>
        <w:rPr>
          <w:rFonts w:eastAsia="SimSun"/>
          <w:bCs/>
          <w:sz w:val="20"/>
          <w:szCs w:val="20"/>
        </w:rPr>
      </w:pPr>
      <w:r w:rsidRPr="006254EA">
        <w:rPr>
          <w:rFonts w:eastAsia="SimSun"/>
          <w:bCs/>
          <w:sz w:val="20"/>
          <w:szCs w:val="20"/>
        </w:rPr>
        <w:t>GeoVax Labs, Inc. is a clinical-stage biotechnology company developing novel therapies and vaccines for solid tumor cancers and many of the world’s most threatening infectious diseases. The company’s lead program in oncology is a novel oncolytic solid tumor gene-directed therapy, Gedeptin</w:t>
      </w:r>
      <w:r w:rsidRPr="006254EA">
        <w:rPr>
          <w:rFonts w:eastAsia="SimSun"/>
          <w:bCs/>
          <w:sz w:val="20"/>
          <w:szCs w:val="20"/>
          <w:vertAlign w:val="superscript"/>
        </w:rPr>
        <w:t>®</w:t>
      </w:r>
      <w:r w:rsidRPr="006254EA">
        <w:rPr>
          <w:rFonts w:eastAsia="SimSun"/>
          <w:bCs/>
          <w:sz w:val="20"/>
          <w:szCs w:val="20"/>
        </w:rPr>
        <w:t>, presently in a multicenter Phase 1/2 clinical trial for advanced head and neck cancers. GeoVax’s lead infectious disease candidate is GEO-CM04S1, a next-generation COVID-19 vaccine targeting high-risk immunocompromised patient populations. Currently in three Phase 2 clinical trials, GEO-CM04S1 is being evaluated as a primary vaccine for immunocompromised patients such as those suffering from hematologic cancers and other patient populations for whom the current authorized COVID-19 vaccines are insufficient, and as a booster vaccine in patients with chronic lymphocytic leukemia (CLL). In addition, GEO-CM04S1 is in a Phase 2 clinical trial evaluating the vaccine as a more robust, durable COVID-19 booster among healthy patients who previously received the mRNA vaccines. GeoVax has a leadership team who have driven significant value creation across multiple life science companies over the past several decades. For more information, visit our website: www.geovax.com.</w:t>
      </w:r>
    </w:p>
    <w:p w14:paraId="220EA49F" w14:textId="77777777" w:rsidR="006254EA" w:rsidRPr="006254EA" w:rsidRDefault="006254EA" w:rsidP="006254EA">
      <w:pPr>
        <w:widowControl w:val="0"/>
        <w:autoSpaceDE w:val="0"/>
        <w:autoSpaceDN w:val="0"/>
        <w:adjustRightInd w:val="0"/>
        <w:jc w:val="both"/>
        <w:rPr>
          <w:rFonts w:eastAsia="SimSun"/>
          <w:bCs/>
          <w:sz w:val="20"/>
          <w:szCs w:val="20"/>
        </w:rPr>
      </w:pPr>
    </w:p>
    <w:bookmarkEnd w:id="5"/>
    <w:p w14:paraId="26CE2222" w14:textId="77777777" w:rsidR="006254EA" w:rsidRPr="006254EA" w:rsidRDefault="006254EA" w:rsidP="006254EA">
      <w:pPr>
        <w:jc w:val="both"/>
        <w:rPr>
          <w:rFonts w:eastAsia="SimSun"/>
          <w:i/>
          <w:iCs/>
          <w:sz w:val="20"/>
          <w:szCs w:val="20"/>
        </w:rPr>
      </w:pPr>
      <w:r w:rsidRPr="006254EA">
        <w:rPr>
          <w:rFonts w:eastAsia="SimSun"/>
          <w:i/>
          <w:iCs/>
          <w:sz w:val="20"/>
          <w:szCs w:val="20"/>
        </w:rPr>
        <w:t>Forward-Looking Statements</w:t>
      </w:r>
    </w:p>
    <w:p w14:paraId="4D0038EF" w14:textId="77777777" w:rsidR="006254EA" w:rsidRPr="006254EA" w:rsidRDefault="006254EA" w:rsidP="006254EA">
      <w:pPr>
        <w:shd w:val="clear" w:color="auto" w:fill="FFFFFF"/>
        <w:jc w:val="both"/>
        <w:rPr>
          <w:rFonts w:eastAsia="SimSun"/>
          <w:i/>
          <w:iCs/>
          <w:sz w:val="20"/>
          <w:szCs w:val="20"/>
        </w:rPr>
      </w:pPr>
    </w:p>
    <w:p w14:paraId="1C9506B6" w14:textId="77777777" w:rsidR="006254EA" w:rsidRPr="006254EA" w:rsidRDefault="006254EA" w:rsidP="006254EA">
      <w:pPr>
        <w:shd w:val="clear" w:color="auto" w:fill="FFFFFF"/>
        <w:jc w:val="both"/>
        <w:rPr>
          <w:rFonts w:eastAsia="SimSun"/>
          <w:i/>
          <w:iCs/>
          <w:sz w:val="20"/>
          <w:szCs w:val="20"/>
        </w:rPr>
      </w:pPr>
      <w:r w:rsidRPr="006254EA">
        <w:rPr>
          <w:rFonts w:eastAsia="SimSun"/>
          <w:i/>
          <w:iCs/>
          <w:sz w:val="20"/>
          <w:szCs w:val="20"/>
        </w:rPr>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 obtain acceptable results from ongoing or future clinical trials of its investigational products, GeoVax’s immuno-oncology products and preventative vaccines can provoke the desired responses, and those products or vaccines can be used effectively, GeoVax’s viral vector technology adequately amplifies immune responses to cancer antigens, GeoVax can develop and manufacture its immuno-oncology products and preventative vaccines with the desired characteristics in a timely manner, GeoVax’s immuno-oncology products and preventative vaccines will be safe for human use, GeoVax’s vaccines will effectively prevent targeted infections in humans, GeoVax’s immuno-oncology products and preventative vaccines will receive regulatory approvals necessary to be licensed and marketed, GeoVax raises required capital to complete development, there is development of competitive products that may be more effective or easier to use than GeoVax’s products, GeoVax will be able to enter into favorable manufacturing and distribution agreements, and other factors, over which GeoVax has no control. </w:t>
      </w:r>
    </w:p>
    <w:p w14:paraId="1C2F3E73" w14:textId="77777777" w:rsidR="006254EA" w:rsidRPr="006254EA" w:rsidRDefault="006254EA" w:rsidP="006254EA">
      <w:pPr>
        <w:shd w:val="clear" w:color="auto" w:fill="FFFFFF"/>
        <w:jc w:val="both"/>
        <w:rPr>
          <w:rFonts w:eastAsia="SimSun"/>
          <w:i/>
          <w:iCs/>
          <w:sz w:val="20"/>
          <w:szCs w:val="20"/>
        </w:rPr>
      </w:pPr>
    </w:p>
    <w:p w14:paraId="5B7B7C72" w14:textId="77777777" w:rsidR="006254EA" w:rsidRPr="006254EA" w:rsidRDefault="006254EA" w:rsidP="006254EA">
      <w:pPr>
        <w:shd w:val="clear" w:color="auto" w:fill="FFFFFF"/>
        <w:jc w:val="both"/>
        <w:rPr>
          <w:rFonts w:eastAsia="SimSun"/>
          <w:i/>
          <w:iCs/>
          <w:sz w:val="20"/>
          <w:szCs w:val="20"/>
        </w:rPr>
      </w:pPr>
      <w:r w:rsidRPr="006254EA">
        <w:rPr>
          <w:rFonts w:eastAsia="SimSun"/>
          <w:i/>
          <w:iCs/>
          <w:sz w:val="20"/>
          <w:szCs w:val="20"/>
        </w:rPr>
        <w:t xml:space="preserve">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6254EA">
        <w:rPr>
          <w:rFonts w:eastAsia="SimSun"/>
          <w:i/>
          <w:iCs/>
          <w:sz w:val="20"/>
          <w:szCs w:val="20"/>
        </w:rPr>
        <w:t>as a result of</w:t>
      </w:r>
      <w:proofErr w:type="gramEnd"/>
      <w:r w:rsidRPr="006254EA">
        <w:rPr>
          <w:rFonts w:eastAsia="SimSun"/>
          <w:i/>
          <w:iCs/>
          <w:sz w:val="20"/>
          <w:szCs w:val="20"/>
        </w:rPr>
        <w:t xml:space="preserve"> new information, future developments or otherwise, except as may be required by law. </w:t>
      </w:r>
    </w:p>
    <w:p w14:paraId="2B6203DF" w14:textId="77777777" w:rsidR="006254EA" w:rsidRPr="006254EA" w:rsidRDefault="006254EA" w:rsidP="006254EA">
      <w:pPr>
        <w:rPr>
          <w:rFonts w:eastAsia="SimSun"/>
          <w:b/>
          <w:i/>
          <w:iCs/>
          <w:sz w:val="20"/>
          <w:szCs w:val="20"/>
        </w:rPr>
      </w:pPr>
    </w:p>
    <w:p w14:paraId="6A3B4F69" w14:textId="77777777" w:rsidR="006254EA" w:rsidRPr="006254EA" w:rsidRDefault="006254EA" w:rsidP="006254EA">
      <w:pPr>
        <w:rPr>
          <w:rFonts w:eastAsia="SimSun"/>
          <w:b/>
          <w:sz w:val="20"/>
          <w:szCs w:val="20"/>
        </w:rPr>
      </w:pPr>
    </w:p>
    <w:p w14:paraId="00626157" w14:textId="77777777" w:rsidR="006254EA" w:rsidRPr="006254EA" w:rsidRDefault="006254EA" w:rsidP="006254EA">
      <w:pPr>
        <w:rPr>
          <w:rFonts w:eastAsia="SimSun"/>
          <w:b/>
          <w:sz w:val="20"/>
          <w:szCs w:val="20"/>
        </w:rPr>
      </w:pPr>
      <w:r w:rsidRPr="006254EA">
        <w:rPr>
          <w:rFonts w:eastAsia="SimSun"/>
          <w:b/>
          <w:sz w:val="20"/>
          <w:szCs w:val="20"/>
        </w:rPr>
        <w:t>Investor Relations Contact:</w:t>
      </w:r>
    </w:p>
    <w:p w14:paraId="593CF330" w14:textId="77777777" w:rsidR="006254EA" w:rsidRPr="006254EA" w:rsidRDefault="006254EA" w:rsidP="006254EA">
      <w:pPr>
        <w:rPr>
          <w:rFonts w:eastAsia="SimSun"/>
          <w:sz w:val="20"/>
          <w:szCs w:val="20"/>
        </w:rPr>
      </w:pPr>
      <w:r w:rsidRPr="006254EA">
        <w:rPr>
          <w:rFonts w:eastAsia="SimSun"/>
          <w:sz w:val="20"/>
          <w:szCs w:val="20"/>
        </w:rPr>
        <w:t>Rich Cockrell</w:t>
      </w:r>
    </w:p>
    <w:p w14:paraId="124A5534" w14:textId="77777777" w:rsidR="006254EA" w:rsidRPr="006254EA" w:rsidRDefault="006254EA" w:rsidP="006254EA">
      <w:pPr>
        <w:rPr>
          <w:rFonts w:eastAsia="SimSun"/>
          <w:sz w:val="20"/>
          <w:szCs w:val="20"/>
        </w:rPr>
      </w:pPr>
      <w:r w:rsidRPr="006254EA">
        <w:rPr>
          <w:rFonts w:eastAsia="SimSun"/>
          <w:sz w:val="20"/>
          <w:szCs w:val="20"/>
        </w:rPr>
        <w:t>CG Capital</w:t>
      </w:r>
    </w:p>
    <w:p w14:paraId="48B368CF" w14:textId="77777777" w:rsidR="006254EA" w:rsidRPr="006254EA" w:rsidRDefault="006254EA" w:rsidP="006254EA">
      <w:pPr>
        <w:rPr>
          <w:rFonts w:eastAsia="SimSun"/>
          <w:sz w:val="20"/>
          <w:szCs w:val="20"/>
        </w:rPr>
      </w:pPr>
      <w:r w:rsidRPr="006254EA">
        <w:rPr>
          <w:rFonts w:eastAsia="SimSun"/>
          <w:sz w:val="20"/>
          <w:szCs w:val="20"/>
        </w:rPr>
        <w:t xml:space="preserve">404-736-3838 </w:t>
      </w:r>
    </w:p>
    <w:p w14:paraId="25C89A87" w14:textId="77777777" w:rsidR="006254EA" w:rsidRPr="006254EA" w:rsidRDefault="006254EA" w:rsidP="006254EA">
      <w:pPr>
        <w:rPr>
          <w:rFonts w:eastAsia="SimSun"/>
          <w:color w:val="0000FF"/>
          <w:sz w:val="20"/>
          <w:szCs w:val="20"/>
          <w:u w:val="single"/>
        </w:rPr>
      </w:pPr>
      <w:hyperlink r:id="rId16" w:history="1">
        <w:r w:rsidRPr="006254EA">
          <w:rPr>
            <w:rFonts w:eastAsia="SimSun"/>
            <w:color w:val="0000FF"/>
            <w:sz w:val="20"/>
            <w:szCs w:val="20"/>
            <w:u w:val="single"/>
          </w:rPr>
          <w:t>govx@cg.capital</w:t>
        </w:r>
      </w:hyperlink>
    </w:p>
    <w:p w14:paraId="1BDCF1E8" w14:textId="77777777" w:rsidR="006254EA" w:rsidRPr="006254EA" w:rsidRDefault="006254EA" w:rsidP="006254EA">
      <w:pPr>
        <w:widowControl w:val="0"/>
        <w:autoSpaceDE w:val="0"/>
        <w:autoSpaceDN w:val="0"/>
        <w:adjustRightInd w:val="0"/>
        <w:jc w:val="center"/>
        <w:rPr>
          <w:b/>
          <w:sz w:val="20"/>
          <w:szCs w:val="20"/>
        </w:rPr>
      </w:pPr>
    </w:p>
    <w:p w14:paraId="063901FD" w14:textId="77777777" w:rsidR="006254EA" w:rsidRPr="006254EA" w:rsidRDefault="006254EA" w:rsidP="006254EA">
      <w:pPr>
        <w:rPr>
          <w:sz w:val="20"/>
          <w:szCs w:val="20"/>
        </w:rPr>
      </w:pPr>
      <w:r w:rsidRPr="006254EA">
        <w:rPr>
          <w:sz w:val="20"/>
          <w:szCs w:val="20"/>
        </w:rPr>
        <w:t> </w:t>
      </w:r>
    </w:p>
    <w:p w14:paraId="540DFCEF" w14:textId="77777777" w:rsidR="006254EA" w:rsidRPr="006254EA" w:rsidRDefault="006254EA" w:rsidP="006254EA">
      <w:pPr>
        <w:widowControl w:val="0"/>
        <w:autoSpaceDE w:val="0"/>
        <w:autoSpaceDN w:val="0"/>
        <w:adjustRightInd w:val="0"/>
        <w:jc w:val="both"/>
        <w:rPr>
          <w:sz w:val="20"/>
          <w:szCs w:val="20"/>
        </w:rPr>
      </w:pPr>
    </w:p>
    <w:p w14:paraId="37AD353E" w14:textId="77777777" w:rsidR="006254EA" w:rsidRPr="006254EA" w:rsidRDefault="006254EA" w:rsidP="006254EA">
      <w:pPr>
        <w:widowControl w:val="0"/>
        <w:autoSpaceDE w:val="0"/>
        <w:autoSpaceDN w:val="0"/>
        <w:adjustRightInd w:val="0"/>
        <w:jc w:val="center"/>
        <w:rPr>
          <w:sz w:val="20"/>
          <w:szCs w:val="20"/>
        </w:rPr>
      </w:pPr>
      <w:r w:rsidRPr="006254EA">
        <w:rPr>
          <w:b/>
          <w:sz w:val="20"/>
          <w:szCs w:val="20"/>
        </w:rPr>
        <w:t>FINANCIAL TABLES FOLLOW</w:t>
      </w:r>
    </w:p>
    <w:p w14:paraId="0AE04BE4" w14:textId="77777777" w:rsidR="006254EA" w:rsidRPr="006254EA" w:rsidRDefault="006254EA" w:rsidP="006254EA">
      <w:pPr>
        <w:widowControl w:val="0"/>
        <w:autoSpaceDE w:val="0"/>
        <w:autoSpaceDN w:val="0"/>
        <w:adjustRightInd w:val="0"/>
        <w:rPr>
          <w:sz w:val="20"/>
          <w:szCs w:val="20"/>
        </w:rPr>
        <w:sectPr w:rsidR="006254EA" w:rsidRPr="006254EA" w:rsidSect="006254EA">
          <w:footerReference w:type="default" r:id="rId17"/>
          <w:headerReference w:type="first" r:id="rId18"/>
          <w:footerReference w:type="first" r:id="rId19"/>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30"/>
        <w:gridCol w:w="448"/>
        <w:gridCol w:w="1208"/>
        <w:gridCol w:w="1208"/>
        <w:gridCol w:w="1208"/>
        <w:gridCol w:w="1208"/>
      </w:tblGrid>
      <w:tr w:rsidR="006254EA" w:rsidRPr="006254EA" w14:paraId="06B82912" w14:textId="77777777" w:rsidTr="007C1C5C">
        <w:trPr>
          <w:cantSplit/>
          <w:trHeight w:val="293"/>
        </w:trPr>
        <w:tc>
          <w:tcPr>
            <w:tcW w:w="9930" w:type="dxa"/>
            <w:gridSpan w:val="9"/>
          </w:tcPr>
          <w:p w14:paraId="59CC1E6D" w14:textId="77777777" w:rsidR="006254EA" w:rsidRPr="006254EA" w:rsidRDefault="006254EA" w:rsidP="006254EA">
            <w:pPr>
              <w:widowControl w:val="0"/>
              <w:autoSpaceDE w:val="0"/>
              <w:autoSpaceDN w:val="0"/>
              <w:adjustRightInd w:val="0"/>
              <w:jc w:val="center"/>
              <w:rPr>
                <w:snapToGrid w:val="0"/>
                <w:sz w:val="20"/>
                <w:szCs w:val="20"/>
              </w:rPr>
            </w:pPr>
            <w:r w:rsidRPr="006254EA">
              <w:rPr>
                <w:b/>
                <w:bCs/>
                <w:snapToGrid w:val="0"/>
                <w:sz w:val="20"/>
                <w:szCs w:val="20"/>
              </w:rPr>
              <w:lastRenderedPageBreak/>
              <w:t>GEOVAX LABS, INC.</w:t>
            </w:r>
          </w:p>
        </w:tc>
      </w:tr>
      <w:tr w:rsidR="006254EA" w:rsidRPr="006254EA" w14:paraId="0ED1712B" w14:textId="77777777" w:rsidTr="007C1C5C">
        <w:trPr>
          <w:cantSplit/>
          <w:trHeight w:val="293"/>
        </w:trPr>
        <w:tc>
          <w:tcPr>
            <w:tcW w:w="9930" w:type="dxa"/>
            <w:gridSpan w:val="9"/>
          </w:tcPr>
          <w:p w14:paraId="620C5979" w14:textId="77777777" w:rsidR="006254EA" w:rsidRPr="006254EA" w:rsidRDefault="006254EA" w:rsidP="006254EA">
            <w:pPr>
              <w:widowControl w:val="0"/>
              <w:autoSpaceDE w:val="0"/>
              <w:autoSpaceDN w:val="0"/>
              <w:adjustRightInd w:val="0"/>
              <w:jc w:val="center"/>
              <w:rPr>
                <w:snapToGrid w:val="0"/>
                <w:sz w:val="20"/>
                <w:szCs w:val="20"/>
              </w:rPr>
            </w:pPr>
            <w:r w:rsidRPr="006254EA">
              <w:rPr>
                <w:b/>
                <w:bCs/>
                <w:snapToGrid w:val="0"/>
                <w:sz w:val="20"/>
                <w:szCs w:val="20"/>
              </w:rPr>
              <w:t>Condensed Consolidated Statements of Operations Information</w:t>
            </w:r>
          </w:p>
        </w:tc>
      </w:tr>
      <w:tr w:rsidR="006254EA" w:rsidRPr="006254EA" w14:paraId="5BDA49D0" w14:textId="77777777" w:rsidTr="007C1C5C">
        <w:trPr>
          <w:cantSplit/>
          <w:trHeight w:val="293"/>
        </w:trPr>
        <w:tc>
          <w:tcPr>
            <w:tcW w:w="9930" w:type="dxa"/>
            <w:gridSpan w:val="9"/>
          </w:tcPr>
          <w:p w14:paraId="13EF3BEA" w14:textId="77777777" w:rsidR="006254EA" w:rsidRPr="006254EA" w:rsidRDefault="006254EA" w:rsidP="006254EA">
            <w:pPr>
              <w:widowControl w:val="0"/>
              <w:autoSpaceDE w:val="0"/>
              <w:autoSpaceDN w:val="0"/>
              <w:adjustRightInd w:val="0"/>
              <w:jc w:val="center"/>
              <w:rPr>
                <w:i/>
                <w:snapToGrid w:val="0"/>
                <w:sz w:val="20"/>
                <w:szCs w:val="20"/>
              </w:rPr>
            </w:pPr>
            <w:r w:rsidRPr="006254EA">
              <w:rPr>
                <w:bCs/>
                <w:i/>
                <w:snapToGrid w:val="0"/>
                <w:sz w:val="20"/>
                <w:szCs w:val="20"/>
              </w:rPr>
              <w:t>(amounts in thousands, except common share information)</w:t>
            </w:r>
          </w:p>
        </w:tc>
      </w:tr>
      <w:tr w:rsidR="006254EA" w:rsidRPr="006254EA" w14:paraId="3FA4C8A7" w14:textId="77777777" w:rsidTr="007C1C5C">
        <w:trPr>
          <w:cantSplit/>
          <w:trHeight w:val="293"/>
        </w:trPr>
        <w:tc>
          <w:tcPr>
            <w:tcW w:w="9930" w:type="dxa"/>
            <w:gridSpan w:val="9"/>
          </w:tcPr>
          <w:p w14:paraId="604E872E" w14:textId="77777777" w:rsidR="006254EA" w:rsidRPr="006254EA" w:rsidRDefault="006254EA" w:rsidP="006254EA">
            <w:pPr>
              <w:widowControl w:val="0"/>
              <w:autoSpaceDE w:val="0"/>
              <w:autoSpaceDN w:val="0"/>
              <w:adjustRightInd w:val="0"/>
              <w:rPr>
                <w:i/>
                <w:snapToGrid w:val="0"/>
                <w:sz w:val="20"/>
                <w:szCs w:val="20"/>
              </w:rPr>
            </w:pPr>
          </w:p>
        </w:tc>
      </w:tr>
      <w:tr w:rsidR="006254EA" w:rsidRPr="006254EA" w14:paraId="436B1DE5" w14:textId="77777777" w:rsidTr="007C1C5C">
        <w:trPr>
          <w:trHeight w:val="276"/>
        </w:trPr>
        <w:tc>
          <w:tcPr>
            <w:tcW w:w="237" w:type="dxa"/>
          </w:tcPr>
          <w:p w14:paraId="2FB27973"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462" w:type="dxa"/>
          </w:tcPr>
          <w:p w14:paraId="6CE9EEE4"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921" w:type="dxa"/>
          </w:tcPr>
          <w:p w14:paraId="657E90EB"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78" w:type="dxa"/>
            <w:gridSpan w:val="2"/>
          </w:tcPr>
          <w:p w14:paraId="438A7D62"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416" w:type="dxa"/>
            <w:gridSpan w:val="2"/>
          </w:tcPr>
          <w:p w14:paraId="32F8F5AA" w14:textId="77777777" w:rsidR="006254EA" w:rsidRPr="006254EA" w:rsidRDefault="006254EA" w:rsidP="006254EA">
            <w:pPr>
              <w:widowControl w:val="0"/>
              <w:autoSpaceDE w:val="0"/>
              <w:autoSpaceDN w:val="0"/>
              <w:adjustRightInd w:val="0"/>
              <w:spacing w:line="276" w:lineRule="auto"/>
              <w:ind w:right="-210"/>
              <w:jc w:val="center"/>
              <w:rPr>
                <w:snapToGrid w:val="0"/>
                <w:sz w:val="20"/>
                <w:szCs w:val="20"/>
              </w:rPr>
            </w:pPr>
            <w:r w:rsidRPr="006254EA">
              <w:rPr>
                <w:snapToGrid w:val="0"/>
                <w:sz w:val="20"/>
                <w:szCs w:val="20"/>
              </w:rPr>
              <w:t>Three Months Ended</w:t>
            </w:r>
          </w:p>
        </w:tc>
        <w:tc>
          <w:tcPr>
            <w:tcW w:w="2416" w:type="dxa"/>
            <w:gridSpan w:val="2"/>
          </w:tcPr>
          <w:p w14:paraId="13F5452A" w14:textId="77777777" w:rsidR="006254EA" w:rsidRPr="006254EA" w:rsidRDefault="006254EA" w:rsidP="006254EA">
            <w:pPr>
              <w:widowControl w:val="0"/>
              <w:autoSpaceDE w:val="0"/>
              <w:autoSpaceDN w:val="0"/>
              <w:adjustRightInd w:val="0"/>
              <w:spacing w:line="276" w:lineRule="auto"/>
              <w:jc w:val="center"/>
              <w:rPr>
                <w:snapToGrid w:val="0"/>
                <w:sz w:val="20"/>
                <w:szCs w:val="20"/>
              </w:rPr>
            </w:pPr>
            <w:r w:rsidRPr="006254EA">
              <w:rPr>
                <w:snapToGrid w:val="0"/>
                <w:sz w:val="20"/>
                <w:szCs w:val="20"/>
              </w:rPr>
              <w:t>Six Months Ended</w:t>
            </w:r>
          </w:p>
        </w:tc>
      </w:tr>
      <w:tr w:rsidR="006254EA" w:rsidRPr="006254EA" w14:paraId="60DA4D54" w14:textId="77777777" w:rsidTr="007C1C5C">
        <w:trPr>
          <w:trHeight w:val="276"/>
        </w:trPr>
        <w:tc>
          <w:tcPr>
            <w:tcW w:w="237" w:type="dxa"/>
          </w:tcPr>
          <w:p w14:paraId="7F66B886"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462" w:type="dxa"/>
          </w:tcPr>
          <w:p w14:paraId="22C1E0D2"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921" w:type="dxa"/>
          </w:tcPr>
          <w:p w14:paraId="02DAA0C0"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78" w:type="dxa"/>
            <w:gridSpan w:val="2"/>
          </w:tcPr>
          <w:p w14:paraId="18558BAB"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416" w:type="dxa"/>
            <w:gridSpan w:val="2"/>
            <w:tcBorders>
              <w:bottom w:val="single" w:sz="4" w:space="0" w:color="auto"/>
            </w:tcBorders>
          </w:tcPr>
          <w:p w14:paraId="24DBCF28" w14:textId="77777777" w:rsidR="006254EA" w:rsidRPr="006254EA" w:rsidRDefault="006254EA" w:rsidP="006254EA">
            <w:pPr>
              <w:widowControl w:val="0"/>
              <w:autoSpaceDE w:val="0"/>
              <w:autoSpaceDN w:val="0"/>
              <w:adjustRightInd w:val="0"/>
              <w:spacing w:line="276" w:lineRule="auto"/>
              <w:jc w:val="center"/>
              <w:rPr>
                <w:snapToGrid w:val="0"/>
                <w:sz w:val="20"/>
                <w:szCs w:val="20"/>
              </w:rPr>
            </w:pPr>
            <w:r w:rsidRPr="006254EA">
              <w:rPr>
                <w:snapToGrid w:val="0"/>
                <w:sz w:val="20"/>
                <w:szCs w:val="20"/>
              </w:rPr>
              <w:t>June 30,</w:t>
            </w:r>
          </w:p>
        </w:tc>
        <w:tc>
          <w:tcPr>
            <w:tcW w:w="2416" w:type="dxa"/>
            <w:gridSpan w:val="2"/>
            <w:tcBorders>
              <w:bottom w:val="single" w:sz="6" w:space="0" w:color="auto"/>
            </w:tcBorders>
          </w:tcPr>
          <w:p w14:paraId="1FA6E635" w14:textId="77777777" w:rsidR="006254EA" w:rsidRPr="006254EA" w:rsidRDefault="006254EA" w:rsidP="006254EA">
            <w:pPr>
              <w:widowControl w:val="0"/>
              <w:autoSpaceDE w:val="0"/>
              <w:autoSpaceDN w:val="0"/>
              <w:adjustRightInd w:val="0"/>
              <w:spacing w:line="276" w:lineRule="auto"/>
              <w:jc w:val="center"/>
              <w:rPr>
                <w:snapToGrid w:val="0"/>
                <w:sz w:val="20"/>
                <w:szCs w:val="20"/>
              </w:rPr>
            </w:pPr>
            <w:r w:rsidRPr="006254EA">
              <w:rPr>
                <w:snapToGrid w:val="0"/>
                <w:sz w:val="20"/>
                <w:szCs w:val="20"/>
              </w:rPr>
              <w:t xml:space="preserve">June 30, </w:t>
            </w:r>
          </w:p>
        </w:tc>
      </w:tr>
      <w:tr w:rsidR="006254EA" w:rsidRPr="006254EA" w14:paraId="2129FEF6" w14:textId="77777777" w:rsidTr="007C1C5C">
        <w:trPr>
          <w:trHeight w:val="276"/>
        </w:trPr>
        <w:tc>
          <w:tcPr>
            <w:tcW w:w="237" w:type="dxa"/>
          </w:tcPr>
          <w:p w14:paraId="31D573B2"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462" w:type="dxa"/>
          </w:tcPr>
          <w:p w14:paraId="64C447E2"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921" w:type="dxa"/>
          </w:tcPr>
          <w:p w14:paraId="5906893C"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78" w:type="dxa"/>
            <w:gridSpan w:val="2"/>
          </w:tcPr>
          <w:p w14:paraId="6ACB9E5B"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Borders>
              <w:top w:val="single" w:sz="4" w:space="0" w:color="auto"/>
              <w:bottom w:val="single" w:sz="4" w:space="0" w:color="auto"/>
            </w:tcBorders>
          </w:tcPr>
          <w:p w14:paraId="208707EA" w14:textId="77777777" w:rsidR="006254EA" w:rsidRPr="006254EA" w:rsidRDefault="006254EA" w:rsidP="006254EA">
            <w:pPr>
              <w:widowControl w:val="0"/>
              <w:autoSpaceDE w:val="0"/>
              <w:autoSpaceDN w:val="0"/>
              <w:adjustRightInd w:val="0"/>
              <w:spacing w:line="276" w:lineRule="auto"/>
              <w:jc w:val="center"/>
              <w:rPr>
                <w:snapToGrid w:val="0"/>
                <w:sz w:val="20"/>
                <w:szCs w:val="20"/>
              </w:rPr>
            </w:pPr>
            <w:r w:rsidRPr="006254EA">
              <w:rPr>
                <w:snapToGrid w:val="0"/>
                <w:sz w:val="20"/>
                <w:szCs w:val="20"/>
              </w:rPr>
              <w:t>2023</w:t>
            </w:r>
          </w:p>
        </w:tc>
        <w:tc>
          <w:tcPr>
            <w:tcW w:w="1208" w:type="dxa"/>
            <w:tcBorders>
              <w:top w:val="single" w:sz="4" w:space="0" w:color="auto"/>
              <w:bottom w:val="single" w:sz="4" w:space="0" w:color="auto"/>
            </w:tcBorders>
          </w:tcPr>
          <w:p w14:paraId="77476369" w14:textId="77777777" w:rsidR="006254EA" w:rsidRPr="006254EA" w:rsidRDefault="006254EA" w:rsidP="006254EA">
            <w:pPr>
              <w:widowControl w:val="0"/>
              <w:autoSpaceDE w:val="0"/>
              <w:autoSpaceDN w:val="0"/>
              <w:adjustRightInd w:val="0"/>
              <w:spacing w:line="276" w:lineRule="auto"/>
              <w:jc w:val="center"/>
              <w:rPr>
                <w:snapToGrid w:val="0"/>
                <w:sz w:val="20"/>
                <w:szCs w:val="20"/>
              </w:rPr>
            </w:pPr>
            <w:r w:rsidRPr="006254EA">
              <w:rPr>
                <w:snapToGrid w:val="0"/>
                <w:sz w:val="20"/>
                <w:szCs w:val="20"/>
              </w:rPr>
              <w:t>2022</w:t>
            </w:r>
          </w:p>
        </w:tc>
        <w:tc>
          <w:tcPr>
            <w:tcW w:w="1208" w:type="dxa"/>
            <w:tcBorders>
              <w:bottom w:val="single" w:sz="4" w:space="0" w:color="auto"/>
            </w:tcBorders>
          </w:tcPr>
          <w:p w14:paraId="08BDB752" w14:textId="77777777" w:rsidR="006254EA" w:rsidRPr="006254EA" w:rsidRDefault="006254EA" w:rsidP="006254EA">
            <w:pPr>
              <w:widowControl w:val="0"/>
              <w:autoSpaceDE w:val="0"/>
              <w:autoSpaceDN w:val="0"/>
              <w:adjustRightInd w:val="0"/>
              <w:spacing w:line="276" w:lineRule="auto"/>
              <w:jc w:val="center"/>
              <w:rPr>
                <w:snapToGrid w:val="0"/>
                <w:sz w:val="20"/>
                <w:szCs w:val="20"/>
              </w:rPr>
            </w:pPr>
            <w:r w:rsidRPr="006254EA">
              <w:rPr>
                <w:snapToGrid w:val="0"/>
                <w:sz w:val="20"/>
                <w:szCs w:val="20"/>
              </w:rPr>
              <w:t>2023</w:t>
            </w:r>
          </w:p>
        </w:tc>
        <w:tc>
          <w:tcPr>
            <w:tcW w:w="1208" w:type="dxa"/>
            <w:tcBorders>
              <w:bottom w:val="single" w:sz="4" w:space="0" w:color="auto"/>
            </w:tcBorders>
          </w:tcPr>
          <w:p w14:paraId="712E8826" w14:textId="77777777" w:rsidR="006254EA" w:rsidRPr="006254EA" w:rsidRDefault="006254EA" w:rsidP="006254EA">
            <w:pPr>
              <w:widowControl w:val="0"/>
              <w:autoSpaceDE w:val="0"/>
              <w:autoSpaceDN w:val="0"/>
              <w:adjustRightInd w:val="0"/>
              <w:spacing w:line="276" w:lineRule="auto"/>
              <w:jc w:val="center"/>
              <w:rPr>
                <w:snapToGrid w:val="0"/>
                <w:sz w:val="20"/>
                <w:szCs w:val="20"/>
              </w:rPr>
            </w:pPr>
            <w:r w:rsidRPr="006254EA">
              <w:rPr>
                <w:snapToGrid w:val="0"/>
                <w:sz w:val="20"/>
                <w:szCs w:val="20"/>
              </w:rPr>
              <w:t>2022</w:t>
            </w:r>
          </w:p>
        </w:tc>
      </w:tr>
      <w:tr w:rsidR="006254EA" w:rsidRPr="006254EA" w14:paraId="007994A5" w14:textId="77777777" w:rsidTr="007C1C5C">
        <w:trPr>
          <w:trHeight w:val="276"/>
        </w:trPr>
        <w:tc>
          <w:tcPr>
            <w:tcW w:w="4620" w:type="dxa"/>
            <w:gridSpan w:val="3"/>
          </w:tcPr>
          <w:p w14:paraId="6326DF3C" w14:textId="77777777" w:rsidR="006254EA" w:rsidRPr="006254EA" w:rsidRDefault="006254EA" w:rsidP="006254EA">
            <w:pPr>
              <w:widowControl w:val="0"/>
              <w:autoSpaceDE w:val="0"/>
              <w:autoSpaceDN w:val="0"/>
              <w:adjustRightInd w:val="0"/>
              <w:spacing w:line="276" w:lineRule="auto"/>
              <w:rPr>
                <w:snapToGrid w:val="0"/>
                <w:sz w:val="20"/>
                <w:szCs w:val="20"/>
              </w:rPr>
            </w:pPr>
            <w:r w:rsidRPr="006254EA">
              <w:rPr>
                <w:snapToGrid w:val="0"/>
                <w:sz w:val="20"/>
                <w:szCs w:val="20"/>
              </w:rPr>
              <w:t>Grant and collaboration revenue</w:t>
            </w:r>
          </w:p>
        </w:tc>
        <w:tc>
          <w:tcPr>
            <w:tcW w:w="478" w:type="dxa"/>
            <w:gridSpan w:val="2"/>
          </w:tcPr>
          <w:p w14:paraId="654EDFA7"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Pr>
          <w:p w14:paraId="1DE70839" w14:textId="77777777" w:rsidR="006254EA" w:rsidRPr="006254EA" w:rsidRDefault="006254EA" w:rsidP="006254EA">
            <w:pPr>
              <w:widowControl w:val="0"/>
              <w:tabs>
                <w:tab w:val="left" w:pos="150"/>
                <w:tab w:val="decimal" w:pos="96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w:t>
            </w:r>
          </w:p>
        </w:tc>
        <w:tc>
          <w:tcPr>
            <w:tcW w:w="1208" w:type="dxa"/>
          </w:tcPr>
          <w:p w14:paraId="43334487" w14:textId="77777777" w:rsidR="006254EA" w:rsidRPr="006254EA" w:rsidRDefault="006254EA" w:rsidP="006254EA">
            <w:pPr>
              <w:widowControl w:val="0"/>
              <w:tabs>
                <w:tab w:val="left" w:pos="190"/>
                <w:tab w:val="decimal" w:pos="91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w:t>
            </w:r>
          </w:p>
        </w:tc>
        <w:tc>
          <w:tcPr>
            <w:tcW w:w="1208" w:type="dxa"/>
          </w:tcPr>
          <w:p w14:paraId="20D8D65F" w14:textId="77777777" w:rsidR="006254EA" w:rsidRPr="006254EA" w:rsidRDefault="006254EA" w:rsidP="006254EA">
            <w:pPr>
              <w:widowControl w:val="0"/>
              <w:tabs>
                <w:tab w:val="left" w:pos="140"/>
                <w:tab w:val="decimal" w:pos="86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w:t>
            </w:r>
          </w:p>
        </w:tc>
        <w:tc>
          <w:tcPr>
            <w:tcW w:w="1208" w:type="dxa"/>
          </w:tcPr>
          <w:p w14:paraId="39A4C07F" w14:textId="77777777" w:rsidR="006254EA" w:rsidRPr="006254EA" w:rsidRDefault="006254EA" w:rsidP="006254EA">
            <w:pPr>
              <w:widowControl w:val="0"/>
              <w:tabs>
                <w:tab w:val="left" w:pos="97"/>
                <w:tab w:val="decimal" w:pos="907"/>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82</w:t>
            </w:r>
          </w:p>
        </w:tc>
      </w:tr>
      <w:tr w:rsidR="006254EA" w:rsidRPr="006254EA" w14:paraId="5D7F86C1" w14:textId="77777777" w:rsidTr="007C1C5C">
        <w:trPr>
          <w:trHeight w:val="276"/>
        </w:trPr>
        <w:tc>
          <w:tcPr>
            <w:tcW w:w="237" w:type="dxa"/>
          </w:tcPr>
          <w:p w14:paraId="53481C83"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462" w:type="dxa"/>
          </w:tcPr>
          <w:p w14:paraId="107AABA1"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921" w:type="dxa"/>
          </w:tcPr>
          <w:p w14:paraId="4D16FCDB"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78" w:type="dxa"/>
            <w:gridSpan w:val="2"/>
          </w:tcPr>
          <w:p w14:paraId="05EF2E56"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Pr>
          <w:p w14:paraId="43D14560" w14:textId="77777777" w:rsidR="006254EA" w:rsidRPr="006254EA" w:rsidRDefault="006254EA" w:rsidP="006254EA">
            <w:pPr>
              <w:widowControl w:val="0"/>
              <w:tabs>
                <w:tab w:val="decimal" w:pos="960"/>
              </w:tabs>
              <w:autoSpaceDE w:val="0"/>
              <w:autoSpaceDN w:val="0"/>
              <w:adjustRightInd w:val="0"/>
              <w:spacing w:line="276" w:lineRule="auto"/>
              <w:rPr>
                <w:snapToGrid w:val="0"/>
                <w:sz w:val="20"/>
                <w:szCs w:val="20"/>
              </w:rPr>
            </w:pPr>
          </w:p>
        </w:tc>
        <w:tc>
          <w:tcPr>
            <w:tcW w:w="1208" w:type="dxa"/>
          </w:tcPr>
          <w:p w14:paraId="4E5F4D30" w14:textId="77777777" w:rsidR="006254EA" w:rsidRPr="006254EA" w:rsidRDefault="006254EA" w:rsidP="006254EA">
            <w:pPr>
              <w:widowControl w:val="0"/>
              <w:tabs>
                <w:tab w:val="decimal" w:pos="910"/>
              </w:tabs>
              <w:autoSpaceDE w:val="0"/>
              <w:autoSpaceDN w:val="0"/>
              <w:adjustRightInd w:val="0"/>
              <w:spacing w:line="276" w:lineRule="auto"/>
              <w:rPr>
                <w:snapToGrid w:val="0"/>
                <w:sz w:val="20"/>
                <w:szCs w:val="20"/>
              </w:rPr>
            </w:pPr>
          </w:p>
        </w:tc>
        <w:tc>
          <w:tcPr>
            <w:tcW w:w="1208" w:type="dxa"/>
          </w:tcPr>
          <w:p w14:paraId="3921180F" w14:textId="77777777" w:rsidR="006254EA" w:rsidRPr="006254EA" w:rsidRDefault="006254EA" w:rsidP="006254EA">
            <w:pPr>
              <w:widowControl w:val="0"/>
              <w:tabs>
                <w:tab w:val="decimal" w:pos="860"/>
              </w:tabs>
              <w:autoSpaceDE w:val="0"/>
              <w:autoSpaceDN w:val="0"/>
              <w:adjustRightInd w:val="0"/>
              <w:spacing w:line="276" w:lineRule="auto"/>
              <w:jc w:val="center"/>
              <w:rPr>
                <w:snapToGrid w:val="0"/>
                <w:sz w:val="20"/>
                <w:szCs w:val="20"/>
              </w:rPr>
            </w:pPr>
          </w:p>
        </w:tc>
        <w:tc>
          <w:tcPr>
            <w:tcW w:w="1208" w:type="dxa"/>
          </w:tcPr>
          <w:p w14:paraId="45A4C753" w14:textId="77777777" w:rsidR="006254EA" w:rsidRPr="006254EA" w:rsidRDefault="006254EA" w:rsidP="006254EA">
            <w:pPr>
              <w:widowControl w:val="0"/>
              <w:tabs>
                <w:tab w:val="decimal" w:pos="907"/>
              </w:tabs>
              <w:autoSpaceDE w:val="0"/>
              <w:autoSpaceDN w:val="0"/>
              <w:adjustRightInd w:val="0"/>
              <w:spacing w:line="276" w:lineRule="auto"/>
              <w:jc w:val="center"/>
              <w:rPr>
                <w:snapToGrid w:val="0"/>
                <w:sz w:val="20"/>
                <w:szCs w:val="20"/>
              </w:rPr>
            </w:pPr>
          </w:p>
        </w:tc>
      </w:tr>
      <w:tr w:rsidR="006254EA" w:rsidRPr="006254EA" w14:paraId="54FB97C8" w14:textId="77777777" w:rsidTr="007C1C5C">
        <w:trPr>
          <w:trHeight w:val="276"/>
        </w:trPr>
        <w:tc>
          <w:tcPr>
            <w:tcW w:w="4620" w:type="dxa"/>
            <w:gridSpan w:val="3"/>
          </w:tcPr>
          <w:p w14:paraId="00617E85" w14:textId="77777777" w:rsidR="006254EA" w:rsidRPr="006254EA" w:rsidRDefault="006254EA" w:rsidP="006254EA">
            <w:pPr>
              <w:widowControl w:val="0"/>
              <w:autoSpaceDE w:val="0"/>
              <w:autoSpaceDN w:val="0"/>
              <w:adjustRightInd w:val="0"/>
              <w:spacing w:line="276" w:lineRule="auto"/>
              <w:rPr>
                <w:snapToGrid w:val="0"/>
                <w:sz w:val="20"/>
                <w:szCs w:val="20"/>
              </w:rPr>
            </w:pPr>
            <w:r w:rsidRPr="006254EA">
              <w:rPr>
                <w:snapToGrid w:val="0"/>
                <w:sz w:val="20"/>
                <w:szCs w:val="20"/>
              </w:rPr>
              <w:t>Operating expenses:</w:t>
            </w:r>
          </w:p>
        </w:tc>
        <w:tc>
          <w:tcPr>
            <w:tcW w:w="478" w:type="dxa"/>
            <w:gridSpan w:val="2"/>
          </w:tcPr>
          <w:p w14:paraId="373F7714"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Pr>
          <w:p w14:paraId="18C80E0A" w14:textId="77777777" w:rsidR="006254EA" w:rsidRPr="006254EA" w:rsidRDefault="006254EA" w:rsidP="006254EA">
            <w:pPr>
              <w:widowControl w:val="0"/>
              <w:tabs>
                <w:tab w:val="decimal" w:pos="960"/>
              </w:tabs>
              <w:autoSpaceDE w:val="0"/>
              <w:autoSpaceDN w:val="0"/>
              <w:adjustRightInd w:val="0"/>
              <w:spacing w:line="276" w:lineRule="auto"/>
              <w:rPr>
                <w:snapToGrid w:val="0"/>
                <w:sz w:val="20"/>
                <w:szCs w:val="20"/>
              </w:rPr>
            </w:pPr>
          </w:p>
        </w:tc>
        <w:tc>
          <w:tcPr>
            <w:tcW w:w="1208" w:type="dxa"/>
          </w:tcPr>
          <w:p w14:paraId="4DCF5A57" w14:textId="77777777" w:rsidR="006254EA" w:rsidRPr="006254EA" w:rsidRDefault="006254EA" w:rsidP="006254EA">
            <w:pPr>
              <w:widowControl w:val="0"/>
              <w:tabs>
                <w:tab w:val="decimal" w:pos="910"/>
              </w:tabs>
              <w:autoSpaceDE w:val="0"/>
              <w:autoSpaceDN w:val="0"/>
              <w:adjustRightInd w:val="0"/>
              <w:spacing w:line="276" w:lineRule="auto"/>
              <w:rPr>
                <w:snapToGrid w:val="0"/>
                <w:sz w:val="20"/>
                <w:szCs w:val="20"/>
              </w:rPr>
            </w:pPr>
          </w:p>
        </w:tc>
        <w:tc>
          <w:tcPr>
            <w:tcW w:w="1208" w:type="dxa"/>
          </w:tcPr>
          <w:p w14:paraId="26C9AB1A" w14:textId="77777777" w:rsidR="006254EA" w:rsidRPr="006254EA" w:rsidRDefault="006254EA" w:rsidP="006254EA">
            <w:pPr>
              <w:widowControl w:val="0"/>
              <w:tabs>
                <w:tab w:val="decimal" w:pos="860"/>
              </w:tabs>
              <w:autoSpaceDE w:val="0"/>
              <w:autoSpaceDN w:val="0"/>
              <w:adjustRightInd w:val="0"/>
              <w:spacing w:line="276" w:lineRule="auto"/>
              <w:jc w:val="center"/>
              <w:rPr>
                <w:snapToGrid w:val="0"/>
                <w:sz w:val="20"/>
                <w:szCs w:val="20"/>
              </w:rPr>
            </w:pPr>
          </w:p>
        </w:tc>
        <w:tc>
          <w:tcPr>
            <w:tcW w:w="1208" w:type="dxa"/>
          </w:tcPr>
          <w:p w14:paraId="21B5C2B7" w14:textId="77777777" w:rsidR="006254EA" w:rsidRPr="006254EA" w:rsidRDefault="006254EA" w:rsidP="006254EA">
            <w:pPr>
              <w:widowControl w:val="0"/>
              <w:tabs>
                <w:tab w:val="decimal" w:pos="907"/>
              </w:tabs>
              <w:autoSpaceDE w:val="0"/>
              <w:autoSpaceDN w:val="0"/>
              <w:adjustRightInd w:val="0"/>
              <w:spacing w:line="276" w:lineRule="auto"/>
              <w:jc w:val="center"/>
              <w:rPr>
                <w:snapToGrid w:val="0"/>
                <w:sz w:val="20"/>
                <w:szCs w:val="20"/>
              </w:rPr>
            </w:pPr>
          </w:p>
        </w:tc>
      </w:tr>
      <w:tr w:rsidR="006254EA" w:rsidRPr="006254EA" w14:paraId="1F77FE9C" w14:textId="77777777" w:rsidTr="007C1C5C">
        <w:trPr>
          <w:trHeight w:val="276"/>
        </w:trPr>
        <w:tc>
          <w:tcPr>
            <w:tcW w:w="237" w:type="dxa"/>
          </w:tcPr>
          <w:p w14:paraId="52FAC16D"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383" w:type="dxa"/>
            <w:gridSpan w:val="2"/>
          </w:tcPr>
          <w:p w14:paraId="78DB5068" w14:textId="77777777" w:rsidR="006254EA" w:rsidRPr="006254EA" w:rsidRDefault="006254EA" w:rsidP="006254EA">
            <w:pPr>
              <w:widowControl w:val="0"/>
              <w:autoSpaceDE w:val="0"/>
              <w:autoSpaceDN w:val="0"/>
              <w:adjustRightInd w:val="0"/>
              <w:spacing w:line="276" w:lineRule="auto"/>
              <w:rPr>
                <w:snapToGrid w:val="0"/>
                <w:sz w:val="20"/>
                <w:szCs w:val="20"/>
              </w:rPr>
            </w:pPr>
            <w:r w:rsidRPr="006254EA">
              <w:rPr>
                <w:snapToGrid w:val="0"/>
                <w:sz w:val="20"/>
                <w:szCs w:val="20"/>
              </w:rPr>
              <w:t>Research and development</w:t>
            </w:r>
          </w:p>
        </w:tc>
        <w:tc>
          <w:tcPr>
            <w:tcW w:w="478" w:type="dxa"/>
            <w:gridSpan w:val="2"/>
          </w:tcPr>
          <w:p w14:paraId="10A88F82"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Pr>
          <w:p w14:paraId="2D962D18" w14:textId="77777777" w:rsidR="006254EA" w:rsidRPr="006254EA" w:rsidRDefault="006254EA" w:rsidP="006254EA">
            <w:pPr>
              <w:widowControl w:val="0"/>
              <w:tabs>
                <w:tab w:val="decimal" w:pos="960"/>
              </w:tabs>
              <w:autoSpaceDE w:val="0"/>
              <w:autoSpaceDN w:val="0"/>
              <w:adjustRightInd w:val="0"/>
              <w:spacing w:line="276" w:lineRule="auto"/>
              <w:rPr>
                <w:snapToGrid w:val="0"/>
                <w:sz w:val="20"/>
                <w:szCs w:val="20"/>
              </w:rPr>
            </w:pPr>
            <w:r w:rsidRPr="006254EA">
              <w:rPr>
                <w:snapToGrid w:val="0"/>
                <w:sz w:val="20"/>
                <w:szCs w:val="20"/>
              </w:rPr>
              <w:t>4,720</w:t>
            </w:r>
          </w:p>
        </w:tc>
        <w:tc>
          <w:tcPr>
            <w:tcW w:w="1208" w:type="dxa"/>
          </w:tcPr>
          <w:p w14:paraId="754CB467" w14:textId="77777777" w:rsidR="006254EA" w:rsidRPr="006254EA" w:rsidRDefault="006254EA" w:rsidP="006254EA">
            <w:pPr>
              <w:widowControl w:val="0"/>
              <w:tabs>
                <w:tab w:val="decimal" w:pos="910"/>
              </w:tabs>
              <w:autoSpaceDE w:val="0"/>
              <w:autoSpaceDN w:val="0"/>
              <w:adjustRightInd w:val="0"/>
              <w:spacing w:line="276" w:lineRule="auto"/>
              <w:rPr>
                <w:snapToGrid w:val="0"/>
                <w:sz w:val="20"/>
                <w:szCs w:val="20"/>
              </w:rPr>
            </w:pPr>
            <w:r w:rsidRPr="006254EA">
              <w:rPr>
                <w:snapToGrid w:val="0"/>
                <w:sz w:val="20"/>
                <w:szCs w:val="20"/>
              </w:rPr>
              <w:t>1,307</w:t>
            </w:r>
          </w:p>
        </w:tc>
        <w:tc>
          <w:tcPr>
            <w:tcW w:w="1208" w:type="dxa"/>
          </w:tcPr>
          <w:p w14:paraId="1AB1C696" w14:textId="77777777" w:rsidR="006254EA" w:rsidRPr="006254EA" w:rsidRDefault="006254EA" w:rsidP="006254EA">
            <w:pPr>
              <w:widowControl w:val="0"/>
              <w:tabs>
                <w:tab w:val="decimal" w:pos="860"/>
              </w:tabs>
              <w:autoSpaceDE w:val="0"/>
              <w:autoSpaceDN w:val="0"/>
              <w:adjustRightInd w:val="0"/>
              <w:spacing w:line="276" w:lineRule="auto"/>
              <w:rPr>
                <w:snapToGrid w:val="0"/>
                <w:sz w:val="20"/>
                <w:szCs w:val="20"/>
              </w:rPr>
            </w:pPr>
            <w:r w:rsidRPr="006254EA">
              <w:rPr>
                <w:snapToGrid w:val="0"/>
                <w:sz w:val="20"/>
                <w:szCs w:val="20"/>
              </w:rPr>
              <w:t>7,539</w:t>
            </w:r>
          </w:p>
        </w:tc>
        <w:tc>
          <w:tcPr>
            <w:tcW w:w="1208" w:type="dxa"/>
          </w:tcPr>
          <w:p w14:paraId="311C2303" w14:textId="77777777" w:rsidR="006254EA" w:rsidRPr="006254EA" w:rsidRDefault="006254EA" w:rsidP="006254EA">
            <w:pPr>
              <w:widowControl w:val="0"/>
              <w:tabs>
                <w:tab w:val="decimal" w:pos="907"/>
              </w:tabs>
              <w:autoSpaceDE w:val="0"/>
              <w:autoSpaceDN w:val="0"/>
              <w:adjustRightInd w:val="0"/>
              <w:spacing w:line="276" w:lineRule="auto"/>
              <w:rPr>
                <w:snapToGrid w:val="0"/>
                <w:sz w:val="20"/>
                <w:szCs w:val="20"/>
              </w:rPr>
            </w:pPr>
            <w:r w:rsidRPr="006254EA">
              <w:rPr>
                <w:snapToGrid w:val="0"/>
                <w:sz w:val="20"/>
                <w:szCs w:val="20"/>
              </w:rPr>
              <w:t>2,638</w:t>
            </w:r>
          </w:p>
        </w:tc>
      </w:tr>
      <w:tr w:rsidR="006254EA" w:rsidRPr="006254EA" w14:paraId="69D05175" w14:textId="77777777" w:rsidTr="007C1C5C">
        <w:trPr>
          <w:trHeight w:val="276"/>
        </w:trPr>
        <w:tc>
          <w:tcPr>
            <w:tcW w:w="237" w:type="dxa"/>
          </w:tcPr>
          <w:p w14:paraId="596F7C50"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383" w:type="dxa"/>
            <w:gridSpan w:val="2"/>
          </w:tcPr>
          <w:p w14:paraId="2500FA82" w14:textId="77777777" w:rsidR="006254EA" w:rsidRPr="006254EA" w:rsidRDefault="006254EA" w:rsidP="006254EA">
            <w:pPr>
              <w:widowControl w:val="0"/>
              <w:autoSpaceDE w:val="0"/>
              <w:autoSpaceDN w:val="0"/>
              <w:adjustRightInd w:val="0"/>
              <w:spacing w:line="276" w:lineRule="auto"/>
              <w:rPr>
                <w:snapToGrid w:val="0"/>
                <w:sz w:val="20"/>
                <w:szCs w:val="20"/>
              </w:rPr>
            </w:pPr>
            <w:r w:rsidRPr="006254EA">
              <w:rPr>
                <w:snapToGrid w:val="0"/>
                <w:sz w:val="20"/>
                <w:szCs w:val="20"/>
              </w:rPr>
              <w:t>General and administrative</w:t>
            </w:r>
          </w:p>
        </w:tc>
        <w:tc>
          <w:tcPr>
            <w:tcW w:w="478" w:type="dxa"/>
            <w:gridSpan w:val="2"/>
          </w:tcPr>
          <w:p w14:paraId="319700DA"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Borders>
              <w:bottom w:val="single" w:sz="4" w:space="0" w:color="auto"/>
            </w:tcBorders>
          </w:tcPr>
          <w:p w14:paraId="09088ACF" w14:textId="77777777" w:rsidR="006254EA" w:rsidRPr="006254EA" w:rsidRDefault="006254EA" w:rsidP="006254EA">
            <w:pPr>
              <w:widowControl w:val="0"/>
              <w:tabs>
                <w:tab w:val="decimal" w:pos="960"/>
              </w:tabs>
              <w:autoSpaceDE w:val="0"/>
              <w:autoSpaceDN w:val="0"/>
              <w:adjustRightInd w:val="0"/>
              <w:spacing w:line="276" w:lineRule="auto"/>
              <w:rPr>
                <w:snapToGrid w:val="0"/>
                <w:sz w:val="20"/>
                <w:szCs w:val="20"/>
              </w:rPr>
            </w:pPr>
            <w:r w:rsidRPr="006254EA">
              <w:rPr>
                <w:snapToGrid w:val="0"/>
                <w:sz w:val="20"/>
                <w:szCs w:val="20"/>
              </w:rPr>
              <w:t>1,459</w:t>
            </w:r>
          </w:p>
        </w:tc>
        <w:tc>
          <w:tcPr>
            <w:tcW w:w="1208" w:type="dxa"/>
            <w:tcBorders>
              <w:bottom w:val="single" w:sz="4" w:space="0" w:color="auto"/>
            </w:tcBorders>
          </w:tcPr>
          <w:p w14:paraId="27C1D1FC" w14:textId="77777777" w:rsidR="006254EA" w:rsidRPr="006254EA" w:rsidRDefault="006254EA" w:rsidP="006254EA">
            <w:pPr>
              <w:widowControl w:val="0"/>
              <w:tabs>
                <w:tab w:val="decimal" w:pos="910"/>
              </w:tabs>
              <w:autoSpaceDE w:val="0"/>
              <w:autoSpaceDN w:val="0"/>
              <w:adjustRightInd w:val="0"/>
              <w:spacing w:line="276" w:lineRule="auto"/>
              <w:rPr>
                <w:snapToGrid w:val="0"/>
                <w:sz w:val="20"/>
                <w:szCs w:val="20"/>
              </w:rPr>
            </w:pPr>
            <w:r w:rsidRPr="006254EA">
              <w:rPr>
                <w:snapToGrid w:val="0"/>
                <w:sz w:val="20"/>
                <w:szCs w:val="20"/>
              </w:rPr>
              <w:t>935</w:t>
            </w:r>
          </w:p>
        </w:tc>
        <w:tc>
          <w:tcPr>
            <w:tcW w:w="1208" w:type="dxa"/>
          </w:tcPr>
          <w:p w14:paraId="51A17F85" w14:textId="77777777" w:rsidR="006254EA" w:rsidRPr="006254EA" w:rsidRDefault="006254EA" w:rsidP="006254EA">
            <w:pPr>
              <w:widowControl w:val="0"/>
              <w:tabs>
                <w:tab w:val="decimal" w:pos="860"/>
              </w:tabs>
              <w:autoSpaceDE w:val="0"/>
              <w:autoSpaceDN w:val="0"/>
              <w:adjustRightInd w:val="0"/>
              <w:spacing w:line="276" w:lineRule="auto"/>
              <w:rPr>
                <w:snapToGrid w:val="0"/>
                <w:sz w:val="20"/>
                <w:szCs w:val="20"/>
              </w:rPr>
            </w:pPr>
            <w:r w:rsidRPr="006254EA">
              <w:rPr>
                <w:snapToGrid w:val="0"/>
                <w:sz w:val="20"/>
                <w:szCs w:val="20"/>
              </w:rPr>
              <w:t>2,910</w:t>
            </w:r>
          </w:p>
        </w:tc>
        <w:tc>
          <w:tcPr>
            <w:tcW w:w="1208" w:type="dxa"/>
          </w:tcPr>
          <w:p w14:paraId="3BA5FC64" w14:textId="77777777" w:rsidR="006254EA" w:rsidRPr="006254EA" w:rsidRDefault="006254EA" w:rsidP="006254EA">
            <w:pPr>
              <w:widowControl w:val="0"/>
              <w:tabs>
                <w:tab w:val="decimal" w:pos="907"/>
              </w:tabs>
              <w:autoSpaceDE w:val="0"/>
              <w:autoSpaceDN w:val="0"/>
              <w:adjustRightInd w:val="0"/>
              <w:spacing w:line="276" w:lineRule="auto"/>
              <w:rPr>
                <w:snapToGrid w:val="0"/>
                <w:sz w:val="20"/>
                <w:szCs w:val="20"/>
              </w:rPr>
            </w:pPr>
            <w:r w:rsidRPr="006254EA">
              <w:rPr>
                <w:snapToGrid w:val="0"/>
                <w:sz w:val="20"/>
                <w:szCs w:val="20"/>
              </w:rPr>
              <w:t>2,114</w:t>
            </w:r>
          </w:p>
        </w:tc>
      </w:tr>
      <w:tr w:rsidR="006254EA" w:rsidRPr="006254EA" w14:paraId="3B3F7E3E" w14:textId="77777777" w:rsidTr="007C1C5C">
        <w:trPr>
          <w:trHeight w:val="276"/>
        </w:trPr>
        <w:tc>
          <w:tcPr>
            <w:tcW w:w="237" w:type="dxa"/>
          </w:tcPr>
          <w:p w14:paraId="77D1DA21"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462" w:type="dxa"/>
          </w:tcPr>
          <w:p w14:paraId="48AA2204"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921" w:type="dxa"/>
          </w:tcPr>
          <w:p w14:paraId="41E7E160"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78" w:type="dxa"/>
            <w:gridSpan w:val="2"/>
          </w:tcPr>
          <w:p w14:paraId="77BDE541"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Borders>
              <w:top w:val="single" w:sz="4" w:space="0" w:color="auto"/>
              <w:bottom w:val="single" w:sz="4" w:space="0" w:color="auto"/>
            </w:tcBorders>
          </w:tcPr>
          <w:p w14:paraId="4B10F675" w14:textId="77777777" w:rsidR="006254EA" w:rsidRPr="006254EA" w:rsidRDefault="006254EA" w:rsidP="006254EA">
            <w:pPr>
              <w:widowControl w:val="0"/>
              <w:tabs>
                <w:tab w:val="decimal" w:pos="960"/>
              </w:tabs>
              <w:autoSpaceDE w:val="0"/>
              <w:autoSpaceDN w:val="0"/>
              <w:adjustRightInd w:val="0"/>
              <w:spacing w:line="276" w:lineRule="auto"/>
              <w:rPr>
                <w:snapToGrid w:val="0"/>
                <w:sz w:val="20"/>
                <w:szCs w:val="20"/>
              </w:rPr>
            </w:pPr>
            <w:r w:rsidRPr="006254EA">
              <w:rPr>
                <w:snapToGrid w:val="0"/>
                <w:sz w:val="20"/>
                <w:szCs w:val="20"/>
              </w:rPr>
              <w:t>6,179</w:t>
            </w:r>
          </w:p>
        </w:tc>
        <w:tc>
          <w:tcPr>
            <w:tcW w:w="1208" w:type="dxa"/>
            <w:tcBorders>
              <w:top w:val="single" w:sz="4" w:space="0" w:color="auto"/>
              <w:bottom w:val="single" w:sz="4" w:space="0" w:color="auto"/>
            </w:tcBorders>
          </w:tcPr>
          <w:p w14:paraId="64CBCC7B" w14:textId="77777777" w:rsidR="006254EA" w:rsidRPr="006254EA" w:rsidRDefault="006254EA" w:rsidP="006254EA">
            <w:pPr>
              <w:widowControl w:val="0"/>
              <w:tabs>
                <w:tab w:val="decimal" w:pos="910"/>
              </w:tabs>
              <w:autoSpaceDE w:val="0"/>
              <w:autoSpaceDN w:val="0"/>
              <w:adjustRightInd w:val="0"/>
              <w:spacing w:line="276" w:lineRule="auto"/>
              <w:rPr>
                <w:snapToGrid w:val="0"/>
                <w:sz w:val="20"/>
                <w:szCs w:val="20"/>
              </w:rPr>
            </w:pPr>
            <w:r w:rsidRPr="006254EA">
              <w:rPr>
                <w:snapToGrid w:val="0"/>
                <w:sz w:val="20"/>
                <w:szCs w:val="20"/>
              </w:rPr>
              <w:t>2,242</w:t>
            </w:r>
          </w:p>
        </w:tc>
        <w:tc>
          <w:tcPr>
            <w:tcW w:w="1208" w:type="dxa"/>
            <w:tcBorders>
              <w:top w:val="single" w:sz="6" w:space="0" w:color="auto"/>
            </w:tcBorders>
          </w:tcPr>
          <w:p w14:paraId="79706CB0" w14:textId="77777777" w:rsidR="006254EA" w:rsidRPr="006254EA" w:rsidRDefault="006254EA" w:rsidP="006254EA">
            <w:pPr>
              <w:widowControl w:val="0"/>
              <w:tabs>
                <w:tab w:val="decimal" w:pos="860"/>
              </w:tabs>
              <w:autoSpaceDE w:val="0"/>
              <w:autoSpaceDN w:val="0"/>
              <w:adjustRightInd w:val="0"/>
              <w:spacing w:line="276" w:lineRule="auto"/>
              <w:rPr>
                <w:snapToGrid w:val="0"/>
                <w:sz w:val="20"/>
                <w:szCs w:val="20"/>
              </w:rPr>
            </w:pPr>
            <w:r w:rsidRPr="006254EA">
              <w:rPr>
                <w:snapToGrid w:val="0"/>
                <w:sz w:val="20"/>
                <w:szCs w:val="20"/>
              </w:rPr>
              <w:t>10,449</w:t>
            </w:r>
          </w:p>
        </w:tc>
        <w:tc>
          <w:tcPr>
            <w:tcW w:w="1208" w:type="dxa"/>
            <w:tcBorders>
              <w:top w:val="single" w:sz="6" w:space="0" w:color="auto"/>
            </w:tcBorders>
          </w:tcPr>
          <w:p w14:paraId="69068C41" w14:textId="77777777" w:rsidR="006254EA" w:rsidRPr="006254EA" w:rsidRDefault="006254EA" w:rsidP="006254EA">
            <w:pPr>
              <w:widowControl w:val="0"/>
              <w:tabs>
                <w:tab w:val="decimal" w:pos="907"/>
              </w:tabs>
              <w:autoSpaceDE w:val="0"/>
              <w:autoSpaceDN w:val="0"/>
              <w:adjustRightInd w:val="0"/>
              <w:spacing w:line="276" w:lineRule="auto"/>
              <w:rPr>
                <w:snapToGrid w:val="0"/>
                <w:sz w:val="20"/>
                <w:szCs w:val="20"/>
              </w:rPr>
            </w:pPr>
            <w:r w:rsidRPr="006254EA">
              <w:rPr>
                <w:snapToGrid w:val="0"/>
                <w:sz w:val="20"/>
                <w:szCs w:val="20"/>
              </w:rPr>
              <w:t>4,752</w:t>
            </w:r>
          </w:p>
        </w:tc>
      </w:tr>
      <w:tr w:rsidR="006254EA" w:rsidRPr="006254EA" w14:paraId="5196B6EC" w14:textId="77777777" w:rsidTr="007C1C5C">
        <w:trPr>
          <w:trHeight w:val="276"/>
        </w:trPr>
        <w:tc>
          <w:tcPr>
            <w:tcW w:w="4620" w:type="dxa"/>
            <w:gridSpan w:val="3"/>
          </w:tcPr>
          <w:p w14:paraId="0DDAE831" w14:textId="77777777" w:rsidR="006254EA" w:rsidRPr="006254EA" w:rsidRDefault="006254EA" w:rsidP="006254EA">
            <w:pPr>
              <w:widowControl w:val="0"/>
              <w:autoSpaceDE w:val="0"/>
              <w:autoSpaceDN w:val="0"/>
              <w:adjustRightInd w:val="0"/>
              <w:spacing w:line="276" w:lineRule="auto"/>
              <w:rPr>
                <w:snapToGrid w:val="0"/>
                <w:sz w:val="20"/>
                <w:szCs w:val="20"/>
              </w:rPr>
            </w:pPr>
            <w:r w:rsidRPr="006254EA">
              <w:rPr>
                <w:snapToGrid w:val="0"/>
                <w:sz w:val="20"/>
                <w:szCs w:val="20"/>
              </w:rPr>
              <w:t>Loss from operations</w:t>
            </w:r>
          </w:p>
        </w:tc>
        <w:tc>
          <w:tcPr>
            <w:tcW w:w="478" w:type="dxa"/>
            <w:gridSpan w:val="2"/>
          </w:tcPr>
          <w:p w14:paraId="220A6736"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Borders>
              <w:top w:val="single" w:sz="4" w:space="0" w:color="auto"/>
            </w:tcBorders>
          </w:tcPr>
          <w:p w14:paraId="04263A11" w14:textId="77777777" w:rsidR="006254EA" w:rsidRPr="006254EA" w:rsidRDefault="006254EA" w:rsidP="006254EA">
            <w:pPr>
              <w:widowControl w:val="0"/>
              <w:tabs>
                <w:tab w:val="decimal" w:pos="960"/>
              </w:tabs>
              <w:autoSpaceDE w:val="0"/>
              <w:autoSpaceDN w:val="0"/>
              <w:adjustRightInd w:val="0"/>
              <w:spacing w:line="276" w:lineRule="auto"/>
              <w:rPr>
                <w:snapToGrid w:val="0"/>
                <w:sz w:val="20"/>
                <w:szCs w:val="20"/>
              </w:rPr>
            </w:pPr>
            <w:r w:rsidRPr="006254EA">
              <w:rPr>
                <w:snapToGrid w:val="0"/>
                <w:sz w:val="20"/>
                <w:szCs w:val="20"/>
              </w:rPr>
              <w:t>(6,179)</w:t>
            </w:r>
          </w:p>
        </w:tc>
        <w:tc>
          <w:tcPr>
            <w:tcW w:w="1208" w:type="dxa"/>
            <w:tcBorders>
              <w:top w:val="single" w:sz="4" w:space="0" w:color="auto"/>
            </w:tcBorders>
          </w:tcPr>
          <w:p w14:paraId="498E6189" w14:textId="77777777" w:rsidR="006254EA" w:rsidRPr="006254EA" w:rsidRDefault="006254EA" w:rsidP="006254EA">
            <w:pPr>
              <w:widowControl w:val="0"/>
              <w:tabs>
                <w:tab w:val="decimal" w:pos="910"/>
              </w:tabs>
              <w:autoSpaceDE w:val="0"/>
              <w:autoSpaceDN w:val="0"/>
              <w:adjustRightInd w:val="0"/>
              <w:spacing w:line="276" w:lineRule="auto"/>
              <w:rPr>
                <w:snapToGrid w:val="0"/>
                <w:sz w:val="20"/>
                <w:szCs w:val="20"/>
              </w:rPr>
            </w:pPr>
            <w:r w:rsidRPr="006254EA">
              <w:rPr>
                <w:snapToGrid w:val="0"/>
                <w:sz w:val="20"/>
                <w:szCs w:val="20"/>
              </w:rPr>
              <w:t>(2,242)</w:t>
            </w:r>
          </w:p>
        </w:tc>
        <w:tc>
          <w:tcPr>
            <w:tcW w:w="1208" w:type="dxa"/>
            <w:tcBorders>
              <w:top w:val="single" w:sz="6" w:space="0" w:color="auto"/>
            </w:tcBorders>
          </w:tcPr>
          <w:p w14:paraId="7640A9EB" w14:textId="77777777" w:rsidR="006254EA" w:rsidRPr="006254EA" w:rsidRDefault="006254EA" w:rsidP="006254EA">
            <w:pPr>
              <w:widowControl w:val="0"/>
              <w:tabs>
                <w:tab w:val="decimal" w:pos="860"/>
              </w:tabs>
              <w:autoSpaceDE w:val="0"/>
              <w:autoSpaceDN w:val="0"/>
              <w:adjustRightInd w:val="0"/>
              <w:spacing w:line="276" w:lineRule="auto"/>
              <w:rPr>
                <w:snapToGrid w:val="0"/>
                <w:sz w:val="20"/>
                <w:szCs w:val="20"/>
              </w:rPr>
            </w:pPr>
            <w:r w:rsidRPr="006254EA">
              <w:rPr>
                <w:snapToGrid w:val="0"/>
                <w:sz w:val="20"/>
                <w:szCs w:val="20"/>
              </w:rPr>
              <w:t>(10,449)</w:t>
            </w:r>
          </w:p>
        </w:tc>
        <w:tc>
          <w:tcPr>
            <w:tcW w:w="1208" w:type="dxa"/>
            <w:tcBorders>
              <w:top w:val="single" w:sz="6" w:space="0" w:color="auto"/>
            </w:tcBorders>
          </w:tcPr>
          <w:p w14:paraId="29C3A4D1" w14:textId="77777777" w:rsidR="006254EA" w:rsidRPr="006254EA" w:rsidRDefault="006254EA" w:rsidP="006254EA">
            <w:pPr>
              <w:widowControl w:val="0"/>
              <w:tabs>
                <w:tab w:val="decimal" w:pos="907"/>
              </w:tabs>
              <w:autoSpaceDE w:val="0"/>
              <w:autoSpaceDN w:val="0"/>
              <w:adjustRightInd w:val="0"/>
              <w:spacing w:line="276" w:lineRule="auto"/>
              <w:rPr>
                <w:snapToGrid w:val="0"/>
                <w:sz w:val="20"/>
                <w:szCs w:val="20"/>
              </w:rPr>
            </w:pPr>
            <w:r w:rsidRPr="006254EA">
              <w:rPr>
                <w:snapToGrid w:val="0"/>
                <w:sz w:val="20"/>
                <w:szCs w:val="20"/>
              </w:rPr>
              <w:t>(4,670)</w:t>
            </w:r>
          </w:p>
        </w:tc>
      </w:tr>
      <w:tr w:rsidR="006254EA" w:rsidRPr="006254EA" w14:paraId="2B881973" w14:textId="77777777" w:rsidTr="007C1C5C">
        <w:trPr>
          <w:trHeight w:val="276"/>
        </w:trPr>
        <w:tc>
          <w:tcPr>
            <w:tcW w:w="4650" w:type="dxa"/>
            <w:gridSpan w:val="4"/>
          </w:tcPr>
          <w:p w14:paraId="1DF46323" w14:textId="77777777" w:rsidR="006254EA" w:rsidRPr="006254EA" w:rsidRDefault="006254EA" w:rsidP="006254EA">
            <w:pPr>
              <w:widowControl w:val="0"/>
              <w:autoSpaceDE w:val="0"/>
              <w:autoSpaceDN w:val="0"/>
              <w:adjustRightInd w:val="0"/>
              <w:spacing w:line="276" w:lineRule="auto"/>
              <w:rPr>
                <w:snapToGrid w:val="0"/>
                <w:sz w:val="20"/>
                <w:szCs w:val="20"/>
              </w:rPr>
            </w:pPr>
            <w:r w:rsidRPr="006254EA">
              <w:rPr>
                <w:snapToGrid w:val="0"/>
                <w:sz w:val="20"/>
                <w:szCs w:val="20"/>
              </w:rPr>
              <w:t>Interest income</w:t>
            </w:r>
          </w:p>
        </w:tc>
        <w:tc>
          <w:tcPr>
            <w:tcW w:w="448" w:type="dxa"/>
          </w:tcPr>
          <w:p w14:paraId="438C02AB" w14:textId="77777777" w:rsidR="006254EA" w:rsidRPr="006254EA" w:rsidRDefault="006254EA" w:rsidP="006254EA">
            <w:pPr>
              <w:widowControl w:val="0"/>
              <w:autoSpaceDE w:val="0"/>
              <w:autoSpaceDN w:val="0"/>
              <w:adjustRightInd w:val="0"/>
              <w:spacing w:line="276" w:lineRule="auto"/>
              <w:rPr>
                <w:snapToGrid w:val="0"/>
                <w:sz w:val="20"/>
                <w:szCs w:val="20"/>
              </w:rPr>
            </w:pPr>
          </w:p>
        </w:tc>
        <w:tc>
          <w:tcPr>
            <w:tcW w:w="1208" w:type="dxa"/>
          </w:tcPr>
          <w:p w14:paraId="6D4F2280" w14:textId="77777777" w:rsidR="006254EA" w:rsidRPr="006254EA" w:rsidRDefault="006254EA" w:rsidP="006254EA">
            <w:pPr>
              <w:widowControl w:val="0"/>
              <w:tabs>
                <w:tab w:val="decimal" w:pos="960"/>
              </w:tabs>
              <w:autoSpaceDE w:val="0"/>
              <w:autoSpaceDN w:val="0"/>
              <w:adjustRightInd w:val="0"/>
              <w:spacing w:line="276" w:lineRule="auto"/>
              <w:rPr>
                <w:snapToGrid w:val="0"/>
                <w:sz w:val="20"/>
                <w:szCs w:val="20"/>
              </w:rPr>
            </w:pPr>
            <w:r w:rsidRPr="006254EA">
              <w:rPr>
                <w:snapToGrid w:val="0"/>
                <w:sz w:val="20"/>
                <w:szCs w:val="20"/>
              </w:rPr>
              <w:t>251</w:t>
            </w:r>
          </w:p>
        </w:tc>
        <w:tc>
          <w:tcPr>
            <w:tcW w:w="1208" w:type="dxa"/>
          </w:tcPr>
          <w:p w14:paraId="0FEB742D" w14:textId="77777777" w:rsidR="006254EA" w:rsidRPr="006254EA" w:rsidRDefault="006254EA" w:rsidP="006254EA">
            <w:pPr>
              <w:widowControl w:val="0"/>
              <w:tabs>
                <w:tab w:val="decimal" w:pos="910"/>
              </w:tabs>
              <w:autoSpaceDE w:val="0"/>
              <w:autoSpaceDN w:val="0"/>
              <w:adjustRightInd w:val="0"/>
              <w:spacing w:line="276" w:lineRule="auto"/>
              <w:rPr>
                <w:snapToGrid w:val="0"/>
                <w:sz w:val="20"/>
                <w:szCs w:val="20"/>
              </w:rPr>
            </w:pPr>
            <w:r w:rsidRPr="006254EA">
              <w:rPr>
                <w:snapToGrid w:val="0"/>
                <w:sz w:val="20"/>
                <w:szCs w:val="20"/>
              </w:rPr>
              <w:t>-</w:t>
            </w:r>
          </w:p>
        </w:tc>
        <w:tc>
          <w:tcPr>
            <w:tcW w:w="1208" w:type="dxa"/>
          </w:tcPr>
          <w:p w14:paraId="56D49692" w14:textId="77777777" w:rsidR="006254EA" w:rsidRPr="006254EA" w:rsidRDefault="006254EA" w:rsidP="006254EA">
            <w:pPr>
              <w:widowControl w:val="0"/>
              <w:tabs>
                <w:tab w:val="decimal" w:pos="860"/>
              </w:tabs>
              <w:autoSpaceDE w:val="0"/>
              <w:autoSpaceDN w:val="0"/>
              <w:adjustRightInd w:val="0"/>
              <w:spacing w:line="276" w:lineRule="auto"/>
              <w:rPr>
                <w:snapToGrid w:val="0"/>
                <w:sz w:val="20"/>
                <w:szCs w:val="20"/>
              </w:rPr>
            </w:pPr>
            <w:r w:rsidRPr="006254EA">
              <w:rPr>
                <w:snapToGrid w:val="0"/>
                <w:sz w:val="20"/>
                <w:szCs w:val="20"/>
              </w:rPr>
              <w:t>484</w:t>
            </w:r>
          </w:p>
        </w:tc>
        <w:tc>
          <w:tcPr>
            <w:tcW w:w="1208" w:type="dxa"/>
          </w:tcPr>
          <w:p w14:paraId="34A15008" w14:textId="77777777" w:rsidR="006254EA" w:rsidRPr="006254EA" w:rsidRDefault="006254EA" w:rsidP="006254EA">
            <w:pPr>
              <w:widowControl w:val="0"/>
              <w:tabs>
                <w:tab w:val="decimal" w:pos="907"/>
              </w:tabs>
              <w:autoSpaceDE w:val="0"/>
              <w:autoSpaceDN w:val="0"/>
              <w:adjustRightInd w:val="0"/>
              <w:spacing w:line="276" w:lineRule="auto"/>
              <w:rPr>
                <w:snapToGrid w:val="0"/>
                <w:sz w:val="20"/>
                <w:szCs w:val="20"/>
              </w:rPr>
            </w:pPr>
            <w:r w:rsidRPr="006254EA">
              <w:rPr>
                <w:snapToGrid w:val="0"/>
                <w:sz w:val="20"/>
                <w:szCs w:val="20"/>
              </w:rPr>
              <w:t>1</w:t>
            </w:r>
          </w:p>
        </w:tc>
      </w:tr>
      <w:tr w:rsidR="006254EA" w:rsidRPr="006254EA" w14:paraId="6953A118" w14:textId="77777777" w:rsidTr="007C1C5C">
        <w:trPr>
          <w:trHeight w:val="276"/>
        </w:trPr>
        <w:tc>
          <w:tcPr>
            <w:tcW w:w="237" w:type="dxa"/>
          </w:tcPr>
          <w:p w14:paraId="1F4522C0"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462" w:type="dxa"/>
          </w:tcPr>
          <w:p w14:paraId="3A52EEA6"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921" w:type="dxa"/>
          </w:tcPr>
          <w:p w14:paraId="1A9A3A69"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78" w:type="dxa"/>
            <w:gridSpan w:val="2"/>
          </w:tcPr>
          <w:p w14:paraId="29BF9B66"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Borders>
              <w:top w:val="single" w:sz="4" w:space="0" w:color="auto"/>
            </w:tcBorders>
          </w:tcPr>
          <w:p w14:paraId="36B955F2" w14:textId="77777777" w:rsidR="006254EA" w:rsidRPr="006254EA" w:rsidRDefault="006254EA" w:rsidP="006254EA">
            <w:pPr>
              <w:widowControl w:val="0"/>
              <w:tabs>
                <w:tab w:val="decimal" w:pos="960"/>
              </w:tabs>
              <w:autoSpaceDE w:val="0"/>
              <w:autoSpaceDN w:val="0"/>
              <w:adjustRightInd w:val="0"/>
              <w:spacing w:line="276" w:lineRule="auto"/>
              <w:rPr>
                <w:snapToGrid w:val="0"/>
                <w:sz w:val="20"/>
                <w:szCs w:val="20"/>
              </w:rPr>
            </w:pPr>
          </w:p>
        </w:tc>
        <w:tc>
          <w:tcPr>
            <w:tcW w:w="1208" w:type="dxa"/>
            <w:tcBorders>
              <w:top w:val="single" w:sz="4" w:space="0" w:color="auto"/>
            </w:tcBorders>
          </w:tcPr>
          <w:p w14:paraId="7F230019" w14:textId="77777777" w:rsidR="006254EA" w:rsidRPr="006254EA" w:rsidRDefault="006254EA" w:rsidP="006254EA">
            <w:pPr>
              <w:widowControl w:val="0"/>
              <w:tabs>
                <w:tab w:val="decimal" w:pos="910"/>
              </w:tabs>
              <w:autoSpaceDE w:val="0"/>
              <w:autoSpaceDN w:val="0"/>
              <w:adjustRightInd w:val="0"/>
              <w:spacing w:line="276" w:lineRule="auto"/>
              <w:rPr>
                <w:snapToGrid w:val="0"/>
                <w:sz w:val="20"/>
                <w:szCs w:val="20"/>
              </w:rPr>
            </w:pPr>
          </w:p>
        </w:tc>
        <w:tc>
          <w:tcPr>
            <w:tcW w:w="1208" w:type="dxa"/>
            <w:tcBorders>
              <w:top w:val="single" w:sz="6" w:space="0" w:color="auto"/>
            </w:tcBorders>
          </w:tcPr>
          <w:p w14:paraId="7CC7C174" w14:textId="77777777" w:rsidR="006254EA" w:rsidRPr="006254EA" w:rsidRDefault="006254EA" w:rsidP="006254EA">
            <w:pPr>
              <w:widowControl w:val="0"/>
              <w:tabs>
                <w:tab w:val="decimal" w:pos="860"/>
              </w:tabs>
              <w:autoSpaceDE w:val="0"/>
              <w:autoSpaceDN w:val="0"/>
              <w:adjustRightInd w:val="0"/>
              <w:spacing w:line="276" w:lineRule="auto"/>
              <w:jc w:val="center"/>
              <w:rPr>
                <w:snapToGrid w:val="0"/>
                <w:sz w:val="20"/>
                <w:szCs w:val="20"/>
              </w:rPr>
            </w:pPr>
          </w:p>
        </w:tc>
        <w:tc>
          <w:tcPr>
            <w:tcW w:w="1208" w:type="dxa"/>
            <w:tcBorders>
              <w:top w:val="single" w:sz="6" w:space="0" w:color="auto"/>
            </w:tcBorders>
          </w:tcPr>
          <w:p w14:paraId="16558172" w14:textId="77777777" w:rsidR="006254EA" w:rsidRPr="006254EA" w:rsidRDefault="006254EA" w:rsidP="006254EA">
            <w:pPr>
              <w:widowControl w:val="0"/>
              <w:tabs>
                <w:tab w:val="decimal" w:pos="907"/>
              </w:tabs>
              <w:autoSpaceDE w:val="0"/>
              <w:autoSpaceDN w:val="0"/>
              <w:adjustRightInd w:val="0"/>
              <w:spacing w:line="276" w:lineRule="auto"/>
              <w:jc w:val="center"/>
              <w:rPr>
                <w:snapToGrid w:val="0"/>
                <w:sz w:val="20"/>
                <w:szCs w:val="20"/>
              </w:rPr>
            </w:pPr>
          </w:p>
        </w:tc>
      </w:tr>
      <w:tr w:rsidR="006254EA" w:rsidRPr="006254EA" w14:paraId="0012EA09" w14:textId="77777777" w:rsidTr="007C1C5C">
        <w:trPr>
          <w:cantSplit/>
          <w:trHeight w:val="293"/>
        </w:trPr>
        <w:tc>
          <w:tcPr>
            <w:tcW w:w="4620" w:type="dxa"/>
            <w:gridSpan w:val="3"/>
          </w:tcPr>
          <w:p w14:paraId="4857F5C7" w14:textId="77777777" w:rsidR="006254EA" w:rsidRPr="006254EA" w:rsidRDefault="006254EA" w:rsidP="006254EA">
            <w:pPr>
              <w:widowControl w:val="0"/>
              <w:autoSpaceDE w:val="0"/>
              <w:autoSpaceDN w:val="0"/>
              <w:adjustRightInd w:val="0"/>
              <w:spacing w:line="276" w:lineRule="auto"/>
              <w:rPr>
                <w:snapToGrid w:val="0"/>
                <w:sz w:val="20"/>
                <w:szCs w:val="20"/>
              </w:rPr>
            </w:pPr>
            <w:r w:rsidRPr="006254EA">
              <w:rPr>
                <w:snapToGrid w:val="0"/>
                <w:sz w:val="20"/>
                <w:szCs w:val="20"/>
              </w:rPr>
              <w:t>Net loss</w:t>
            </w:r>
          </w:p>
        </w:tc>
        <w:tc>
          <w:tcPr>
            <w:tcW w:w="478" w:type="dxa"/>
            <w:gridSpan w:val="2"/>
          </w:tcPr>
          <w:p w14:paraId="717CA7E2"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Borders>
              <w:bottom w:val="double" w:sz="4" w:space="0" w:color="auto"/>
            </w:tcBorders>
          </w:tcPr>
          <w:p w14:paraId="56418C13" w14:textId="77777777" w:rsidR="006254EA" w:rsidRPr="006254EA" w:rsidRDefault="006254EA" w:rsidP="006254EA">
            <w:pPr>
              <w:widowControl w:val="0"/>
              <w:tabs>
                <w:tab w:val="left" w:pos="150"/>
                <w:tab w:val="decimal" w:pos="96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(5,928)</w:t>
            </w:r>
          </w:p>
        </w:tc>
        <w:tc>
          <w:tcPr>
            <w:tcW w:w="1208" w:type="dxa"/>
            <w:tcBorders>
              <w:bottom w:val="double" w:sz="4" w:space="0" w:color="auto"/>
            </w:tcBorders>
          </w:tcPr>
          <w:p w14:paraId="2BA7A239" w14:textId="77777777" w:rsidR="006254EA" w:rsidRPr="006254EA" w:rsidRDefault="006254EA" w:rsidP="006254EA">
            <w:pPr>
              <w:widowControl w:val="0"/>
              <w:tabs>
                <w:tab w:val="left" w:pos="100"/>
                <w:tab w:val="decimal" w:pos="91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(2,242)</w:t>
            </w:r>
          </w:p>
        </w:tc>
        <w:tc>
          <w:tcPr>
            <w:tcW w:w="1208" w:type="dxa"/>
            <w:tcBorders>
              <w:bottom w:val="double" w:sz="6" w:space="0" w:color="auto"/>
            </w:tcBorders>
          </w:tcPr>
          <w:p w14:paraId="59073F12" w14:textId="77777777" w:rsidR="006254EA" w:rsidRPr="006254EA" w:rsidRDefault="006254EA" w:rsidP="006254EA">
            <w:pPr>
              <w:widowControl w:val="0"/>
              <w:tabs>
                <w:tab w:val="left" w:pos="50"/>
                <w:tab w:val="decimal" w:pos="86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(9,965)</w:t>
            </w:r>
          </w:p>
        </w:tc>
        <w:tc>
          <w:tcPr>
            <w:tcW w:w="1208" w:type="dxa"/>
            <w:tcBorders>
              <w:bottom w:val="double" w:sz="6" w:space="0" w:color="auto"/>
            </w:tcBorders>
          </w:tcPr>
          <w:p w14:paraId="060B71A1" w14:textId="77777777" w:rsidR="006254EA" w:rsidRPr="006254EA" w:rsidRDefault="006254EA" w:rsidP="006254EA">
            <w:pPr>
              <w:widowControl w:val="0"/>
              <w:tabs>
                <w:tab w:val="left" w:pos="97"/>
                <w:tab w:val="decimal" w:pos="907"/>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(4,669)</w:t>
            </w:r>
          </w:p>
        </w:tc>
      </w:tr>
      <w:tr w:rsidR="006254EA" w:rsidRPr="006254EA" w14:paraId="3993973A" w14:textId="77777777" w:rsidTr="007C1C5C">
        <w:trPr>
          <w:trHeight w:val="293"/>
        </w:trPr>
        <w:tc>
          <w:tcPr>
            <w:tcW w:w="237" w:type="dxa"/>
          </w:tcPr>
          <w:p w14:paraId="70A905C0"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462" w:type="dxa"/>
          </w:tcPr>
          <w:p w14:paraId="1F4E9695"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2921" w:type="dxa"/>
          </w:tcPr>
          <w:p w14:paraId="24F38EBF"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478" w:type="dxa"/>
            <w:gridSpan w:val="2"/>
          </w:tcPr>
          <w:p w14:paraId="2EB80D34"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Pr>
          <w:p w14:paraId="65DF593B" w14:textId="77777777" w:rsidR="006254EA" w:rsidRPr="006254EA" w:rsidRDefault="006254EA" w:rsidP="006254EA">
            <w:pPr>
              <w:widowControl w:val="0"/>
              <w:autoSpaceDE w:val="0"/>
              <w:autoSpaceDN w:val="0"/>
              <w:adjustRightInd w:val="0"/>
              <w:spacing w:line="276" w:lineRule="auto"/>
              <w:jc w:val="center"/>
              <w:rPr>
                <w:snapToGrid w:val="0"/>
                <w:sz w:val="20"/>
                <w:szCs w:val="20"/>
              </w:rPr>
            </w:pPr>
          </w:p>
        </w:tc>
        <w:tc>
          <w:tcPr>
            <w:tcW w:w="1208" w:type="dxa"/>
          </w:tcPr>
          <w:p w14:paraId="446F285D" w14:textId="77777777" w:rsidR="006254EA" w:rsidRPr="006254EA" w:rsidRDefault="006254EA" w:rsidP="006254EA">
            <w:pPr>
              <w:widowControl w:val="0"/>
              <w:autoSpaceDE w:val="0"/>
              <w:autoSpaceDN w:val="0"/>
              <w:adjustRightInd w:val="0"/>
              <w:spacing w:line="276" w:lineRule="auto"/>
              <w:jc w:val="center"/>
              <w:rPr>
                <w:snapToGrid w:val="0"/>
                <w:sz w:val="20"/>
                <w:szCs w:val="20"/>
              </w:rPr>
            </w:pPr>
          </w:p>
        </w:tc>
        <w:tc>
          <w:tcPr>
            <w:tcW w:w="1208" w:type="dxa"/>
          </w:tcPr>
          <w:p w14:paraId="776C6241" w14:textId="77777777" w:rsidR="006254EA" w:rsidRPr="006254EA" w:rsidRDefault="006254EA" w:rsidP="006254EA">
            <w:pPr>
              <w:widowControl w:val="0"/>
              <w:autoSpaceDE w:val="0"/>
              <w:autoSpaceDN w:val="0"/>
              <w:adjustRightInd w:val="0"/>
              <w:spacing w:line="276" w:lineRule="auto"/>
              <w:jc w:val="center"/>
              <w:rPr>
                <w:snapToGrid w:val="0"/>
                <w:sz w:val="20"/>
                <w:szCs w:val="20"/>
              </w:rPr>
            </w:pPr>
          </w:p>
        </w:tc>
        <w:tc>
          <w:tcPr>
            <w:tcW w:w="1208" w:type="dxa"/>
          </w:tcPr>
          <w:p w14:paraId="14025C17" w14:textId="77777777" w:rsidR="006254EA" w:rsidRPr="006254EA" w:rsidRDefault="006254EA" w:rsidP="006254EA">
            <w:pPr>
              <w:widowControl w:val="0"/>
              <w:autoSpaceDE w:val="0"/>
              <w:autoSpaceDN w:val="0"/>
              <w:adjustRightInd w:val="0"/>
              <w:spacing w:line="276" w:lineRule="auto"/>
              <w:jc w:val="center"/>
              <w:rPr>
                <w:snapToGrid w:val="0"/>
                <w:sz w:val="20"/>
                <w:szCs w:val="20"/>
              </w:rPr>
            </w:pPr>
          </w:p>
        </w:tc>
      </w:tr>
      <w:tr w:rsidR="006254EA" w:rsidRPr="006254EA" w14:paraId="4AE1A8EA" w14:textId="77777777" w:rsidTr="007C1C5C">
        <w:trPr>
          <w:trHeight w:val="276"/>
        </w:trPr>
        <w:tc>
          <w:tcPr>
            <w:tcW w:w="4620" w:type="dxa"/>
            <w:gridSpan w:val="3"/>
          </w:tcPr>
          <w:p w14:paraId="6E1D60BD" w14:textId="77777777" w:rsidR="006254EA" w:rsidRPr="006254EA" w:rsidRDefault="006254EA" w:rsidP="006254EA">
            <w:pPr>
              <w:widowControl w:val="0"/>
              <w:autoSpaceDE w:val="0"/>
              <w:autoSpaceDN w:val="0"/>
              <w:adjustRightInd w:val="0"/>
              <w:spacing w:line="276" w:lineRule="auto"/>
              <w:rPr>
                <w:snapToGrid w:val="0"/>
                <w:sz w:val="20"/>
                <w:szCs w:val="20"/>
              </w:rPr>
            </w:pPr>
            <w:r w:rsidRPr="006254EA">
              <w:rPr>
                <w:snapToGrid w:val="0"/>
                <w:sz w:val="20"/>
                <w:szCs w:val="20"/>
              </w:rPr>
              <w:t>Loss per common share</w:t>
            </w:r>
          </w:p>
        </w:tc>
        <w:tc>
          <w:tcPr>
            <w:tcW w:w="478" w:type="dxa"/>
            <w:gridSpan w:val="2"/>
          </w:tcPr>
          <w:p w14:paraId="7815163D" w14:textId="77777777" w:rsidR="006254EA" w:rsidRPr="006254EA" w:rsidRDefault="006254EA" w:rsidP="006254EA">
            <w:pPr>
              <w:widowControl w:val="0"/>
              <w:autoSpaceDE w:val="0"/>
              <w:autoSpaceDN w:val="0"/>
              <w:adjustRightInd w:val="0"/>
              <w:spacing w:line="276" w:lineRule="auto"/>
              <w:jc w:val="right"/>
              <w:rPr>
                <w:snapToGrid w:val="0"/>
                <w:sz w:val="20"/>
                <w:szCs w:val="20"/>
              </w:rPr>
            </w:pPr>
          </w:p>
        </w:tc>
        <w:tc>
          <w:tcPr>
            <w:tcW w:w="1208" w:type="dxa"/>
            <w:tcBorders>
              <w:bottom w:val="double" w:sz="4" w:space="0" w:color="auto"/>
            </w:tcBorders>
          </w:tcPr>
          <w:p w14:paraId="5C030B6F" w14:textId="77777777" w:rsidR="006254EA" w:rsidRPr="006254EA" w:rsidRDefault="006254EA" w:rsidP="006254EA">
            <w:pPr>
              <w:widowControl w:val="0"/>
              <w:tabs>
                <w:tab w:val="left" w:pos="150"/>
                <w:tab w:val="decimal" w:pos="69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(0.22)</w:t>
            </w:r>
          </w:p>
        </w:tc>
        <w:tc>
          <w:tcPr>
            <w:tcW w:w="1208" w:type="dxa"/>
            <w:tcBorders>
              <w:bottom w:val="double" w:sz="4" w:space="0" w:color="auto"/>
            </w:tcBorders>
          </w:tcPr>
          <w:p w14:paraId="7BDA831A" w14:textId="77777777" w:rsidR="006254EA" w:rsidRPr="006254EA" w:rsidRDefault="006254EA" w:rsidP="006254EA">
            <w:pPr>
              <w:widowControl w:val="0"/>
              <w:tabs>
                <w:tab w:val="left" w:pos="100"/>
                <w:tab w:val="decimal" w:pos="64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(0.18)</w:t>
            </w:r>
          </w:p>
        </w:tc>
        <w:tc>
          <w:tcPr>
            <w:tcW w:w="1208" w:type="dxa"/>
            <w:tcBorders>
              <w:bottom w:val="double" w:sz="4" w:space="0" w:color="auto"/>
            </w:tcBorders>
          </w:tcPr>
          <w:p w14:paraId="08E47E3A" w14:textId="77777777" w:rsidR="006254EA" w:rsidRPr="006254EA" w:rsidRDefault="006254EA" w:rsidP="006254EA">
            <w:pPr>
              <w:widowControl w:val="0"/>
              <w:tabs>
                <w:tab w:val="left" w:pos="140"/>
                <w:tab w:val="decimal" w:pos="590"/>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(0.38)</w:t>
            </w:r>
          </w:p>
        </w:tc>
        <w:tc>
          <w:tcPr>
            <w:tcW w:w="1208" w:type="dxa"/>
            <w:tcBorders>
              <w:bottom w:val="double" w:sz="4" w:space="0" w:color="auto"/>
            </w:tcBorders>
          </w:tcPr>
          <w:p w14:paraId="40CB1B43" w14:textId="77777777" w:rsidR="006254EA" w:rsidRPr="006254EA" w:rsidRDefault="006254EA" w:rsidP="006254EA">
            <w:pPr>
              <w:widowControl w:val="0"/>
              <w:tabs>
                <w:tab w:val="left" w:pos="97"/>
                <w:tab w:val="decimal" w:pos="637"/>
              </w:tabs>
              <w:autoSpaceDE w:val="0"/>
              <w:autoSpaceDN w:val="0"/>
              <w:adjustRightInd w:val="0"/>
              <w:spacing w:line="276" w:lineRule="auto"/>
              <w:rPr>
                <w:snapToGrid w:val="0"/>
                <w:sz w:val="20"/>
                <w:szCs w:val="20"/>
              </w:rPr>
            </w:pPr>
            <w:r w:rsidRPr="006254EA">
              <w:rPr>
                <w:snapToGrid w:val="0"/>
                <w:sz w:val="20"/>
                <w:szCs w:val="20"/>
              </w:rPr>
              <w:tab/>
              <w:t>$</w:t>
            </w:r>
            <w:r w:rsidRPr="006254EA">
              <w:rPr>
                <w:snapToGrid w:val="0"/>
                <w:sz w:val="20"/>
                <w:szCs w:val="20"/>
              </w:rPr>
              <w:tab/>
              <w:t>(0.47)</w:t>
            </w:r>
          </w:p>
        </w:tc>
      </w:tr>
    </w:tbl>
    <w:p w14:paraId="4E19EF1A" w14:textId="77777777" w:rsidR="006254EA" w:rsidRPr="006254EA" w:rsidRDefault="006254EA" w:rsidP="006254EA">
      <w:pPr>
        <w:widowControl w:val="0"/>
        <w:autoSpaceDE w:val="0"/>
        <w:autoSpaceDN w:val="0"/>
        <w:adjustRightInd w:val="0"/>
        <w:jc w:val="both"/>
        <w:rPr>
          <w:sz w:val="20"/>
          <w:szCs w:val="20"/>
        </w:rPr>
      </w:pPr>
    </w:p>
    <w:p w14:paraId="53F686F8" w14:textId="77777777" w:rsidR="006254EA" w:rsidRPr="006254EA" w:rsidRDefault="006254EA" w:rsidP="006254EA">
      <w:pPr>
        <w:widowControl w:val="0"/>
        <w:autoSpaceDE w:val="0"/>
        <w:autoSpaceDN w:val="0"/>
        <w:adjustRightInd w:val="0"/>
        <w:jc w:val="both"/>
        <w:rPr>
          <w:sz w:val="20"/>
          <w:szCs w:val="20"/>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6254EA" w:rsidRPr="006254EA" w14:paraId="3E3E1294" w14:textId="77777777" w:rsidTr="007C1C5C">
        <w:trPr>
          <w:cantSplit/>
          <w:trHeight w:val="293"/>
        </w:trPr>
        <w:tc>
          <w:tcPr>
            <w:tcW w:w="9930" w:type="dxa"/>
            <w:gridSpan w:val="8"/>
          </w:tcPr>
          <w:p w14:paraId="33A4BFB8" w14:textId="77777777" w:rsidR="006254EA" w:rsidRPr="006254EA" w:rsidRDefault="006254EA" w:rsidP="006254EA">
            <w:pPr>
              <w:widowControl w:val="0"/>
              <w:autoSpaceDE w:val="0"/>
              <w:autoSpaceDN w:val="0"/>
              <w:adjustRightInd w:val="0"/>
              <w:jc w:val="center"/>
              <w:rPr>
                <w:b/>
                <w:bCs/>
                <w:snapToGrid w:val="0"/>
                <w:sz w:val="20"/>
                <w:szCs w:val="20"/>
              </w:rPr>
            </w:pPr>
          </w:p>
          <w:p w14:paraId="525BD7B3" w14:textId="77777777" w:rsidR="006254EA" w:rsidRPr="006254EA" w:rsidRDefault="006254EA" w:rsidP="006254EA">
            <w:pPr>
              <w:widowControl w:val="0"/>
              <w:autoSpaceDE w:val="0"/>
              <w:autoSpaceDN w:val="0"/>
              <w:adjustRightInd w:val="0"/>
              <w:jc w:val="center"/>
              <w:rPr>
                <w:b/>
                <w:bCs/>
                <w:snapToGrid w:val="0"/>
                <w:sz w:val="20"/>
                <w:szCs w:val="20"/>
              </w:rPr>
            </w:pPr>
          </w:p>
          <w:p w14:paraId="286ED069" w14:textId="77777777" w:rsidR="006254EA" w:rsidRPr="006254EA" w:rsidRDefault="006254EA" w:rsidP="006254EA">
            <w:pPr>
              <w:widowControl w:val="0"/>
              <w:autoSpaceDE w:val="0"/>
              <w:autoSpaceDN w:val="0"/>
              <w:adjustRightInd w:val="0"/>
              <w:jc w:val="center"/>
              <w:rPr>
                <w:snapToGrid w:val="0"/>
                <w:sz w:val="20"/>
                <w:szCs w:val="20"/>
              </w:rPr>
            </w:pPr>
            <w:r w:rsidRPr="006254EA">
              <w:rPr>
                <w:b/>
                <w:bCs/>
                <w:snapToGrid w:val="0"/>
                <w:sz w:val="20"/>
                <w:szCs w:val="20"/>
              </w:rPr>
              <w:t>Condensed Consolidated Balance Sheet Information</w:t>
            </w:r>
          </w:p>
        </w:tc>
      </w:tr>
      <w:tr w:rsidR="006254EA" w:rsidRPr="006254EA" w14:paraId="48724A0D" w14:textId="77777777" w:rsidTr="007C1C5C">
        <w:trPr>
          <w:cantSplit/>
          <w:trHeight w:val="293"/>
        </w:trPr>
        <w:tc>
          <w:tcPr>
            <w:tcW w:w="9930" w:type="dxa"/>
            <w:gridSpan w:val="8"/>
          </w:tcPr>
          <w:p w14:paraId="6E5B87B6" w14:textId="77777777" w:rsidR="006254EA" w:rsidRPr="006254EA" w:rsidRDefault="006254EA" w:rsidP="006254EA">
            <w:pPr>
              <w:widowControl w:val="0"/>
              <w:autoSpaceDE w:val="0"/>
              <w:autoSpaceDN w:val="0"/>
              <w:adjustRightInd w:val="0"/>
              <w:jc w:val="center"/>
              <w:rPr>
                <w:i/>
                <w:snapToGrid w:val="0"/>
                <w:sz w:val="20"/>
                <w:szCs w:val="20"/>
              </w:rPr>
            </w:pPr>
            <w:r w:rsidRPr="006254EA">
              <w:rPr>
                <w:bCs/>
                <w:i/>
                <w:snapToGrid w:val="0"/>
                <w:sz w:val="20"/>
                <w:szCs w:val="20"/>
              </w:rPr>
              <w:t>(amounts in thousands, except common share information)</w:t>
            </w:r>
          </w:p>
        </w:tc>
      </w:tr>
      <w:tr w:rsidR="006254EA" w:rsidRPr="006254EA" w14:paraId="1B25909B" w14:textId="77777777" w:rsidTr="007C1C5C">
        <w:trPr>
          <w:cantSplit/>
          <w:trHeight w:val="293"/>
        </w:trPr>
        <w:tc>
          <w:tcPr>
            <w:tcW w:w="9930" w:type="dxa"/>
            <w:gridSpan w:val="8"/>
          </w:tcPr>
          <w:p w14:paraId="638FB527" w14:textId="77777777" w:rsidR="006254EA" w:rsidRPr="006254EA" w:rsidRDefault="006254EA" w:rsidP="006254EA">
            <w:pPr>
              <w:widowControl w:val="0"/>
              <w:autoSpaceDE w:val="0"/>
              <w:autoSpaceDN w:val="0"/>
              <w:adjustRightInd w:val="0"/>
              <w:jc w:val="center"/>
              <w:rPr>
                <w:bCs/>
                <w:i/>
                <w:snapToGrid w:val="0"/>
                <w:sz w:val="20"/>
                <w:szCs w:val="20"/>
              </w:rPr>
            </w:pPr>
          </w:p>
        </w:tc>
      </w:tr>
      <w:tr w:rsidR="006254EA" w:rsidRPr="006254EA" w14:paraId="404C7E4C" w14:textId="77777777" w:rsidTr="007C1C5C">
        <w:trPr>
          <w:trHeight w:val="276"/>
        </w:trPr>
        <w:tc>
          <w:tcPr>
            <w:tcW w:w="1699" w:type="dxa"/>
            <w:gridSpan w:val="2"/>
          </w:tcPr>
          <w:p w14:paraId="0B295251" w14:textId="77777777" w:rsidR="006254EA" w:rsidRPr="006254EA" w:rsidRDefault="006254EA" w:rsidP="006254EA">
            <w:pPr>
              <w:widowControl w:val="0"/>
              <w:autoSpaceDE w:val="0"/>
              <w:autoSpaceDN w:val="0"/>
              <w:adjustRightInd w:val="0"/>
              <w:rPr>
                <w:snapToGrid w:val="0"/>
                <w:sz w:val="20"/>
                <w:szCs w:val="20"/>
              </w:rPr>
            </w:pPr>
          </w:p>
        </w:tc>
        <w:tc>
          <w:tcPr>
            <w:tcW w:w="2921" w:type="dxa"/>
          </w:tcPr>
          <w:p w14:paraId="4B47B641" w14:textId="77777777" w:rsidR="006254EA" w:rsidRPr="006254EA" w:rsidRDefault="006254EA" w:rsidP="006254EA">
            <w:pPr>
              <w:widowControl w:val="0"/>
              <w:autoSpaceDE w:val="0"/>
              <w:autoSpaceDN w:val="0"/>
              <w:adjustRightInd w:val="0"/>
              <w:jc w:val="right"/>
              <w:rPr>
                <w:snapToGrid w:val="0"/>
                <w:sz w:val="20"/>
                <w:szCs w:val="20"/>
              </w:rPr>
            </w:pPr>
          </w:p>
        </w:tc>
        <w:tc>
          <w:tcPr>
            <w:tcW w:w="478" w:type="dxa"/>
          </w:tcPr>
          <w:p w14:paraId="1927CABC"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26995016"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62A221E6"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Borders>
              <w:bottom w:val="single" w:sz="4" w:space="0" w:color="auto"/>
            </w:tcBorders>
          </w:tcPr>
          <w:p w14:paraId="00FB6075" w14:textId="77777777" w:rsidR="006254EA" w:rsidRPr="006254EA" w:rsidRDefault="006254EA" w:rsidP="006254EA">
            <w:pPr>
              <w:widowControl w:val="0"/>
              <w:autoSpaceDE w:val="0"/>
              <w:autoSpaceDN w:val="0"/>
              <w:adjustRightInd w:val="0"/>
              <w:jc w:val="center"/>
              <w:rPr>
                <w:snapToGrid w:val="0"/>
                <w:sz w:val="20"/>
                <w:szCs w:val="20"/>
              </w:rPr>
            </w:pPr>
            <w:r w:rsidRPr="006254EA">
              <w:rPr>
                <w:snapToGrid w:val="0"/>
                <w:sz w:val="20"/>
                <w:szCs w:val="20"/>
              </w:rPr>
              <w:t>June 30,</w:t>
            </w:r>
          </w:p>
          <w:p w14:paraId="46B00B32" w14:textId="77777777" w:rsidR="006254EA" w:rsidRPr="006254EA" w:rsidRDefault="006254EA" w:rsidP="006254EA">
            <w:pPr>
              <w:widowControl w:val="0"/>
              <w:autoSpaceDE w:val="0"/>
              <w:autoSpaceDN w:val="0"/>
              <w:adjustRightInd w:val="0"/>
              <w:jc w:val="center"/>
              <w:rPr>
                <w:snapToGrid w:val="0"/>
                <w:sz w:val="20"/>
                <w:szCs w:val="20"/>
              </w:rPr>
            </w:pPr>
            <w:r w:rsidRPr="006254EA">
              <w:rPr>
                <w:snapToGrid w:val="0"/>
                <w:sz w:val="20"/>
                <w:szCs w:val="20"/>
              </w:rPr>
              <w:t>2023</w:t>
            </w:r>
          </w:p>
        </w:tc>
        <w:tc>
          <w:tcPr>
            <w:tcW w:w="1208" w:type="dxa"/>
            <w:tcBorders>
              <w:bottom w:val="single" w:sz="4" w:space="0" w:color="auto"/>
            </w:tcBorders>
          </w:tcPr>
          <w:p w14:paraId="6AAA5AD3" w14:textId="77777777" w:rsidR="006254EA" w:rsidRPr="006254EA" w:rsidRDefault="006254EA" w:rsidP="006254EA">
            <w:pPr>
              <w:widowControl w:val="0"/>
              <w:autoSpaceDE w:val="0"/>
              <w:autoSpaceDN w:val="0"/>
              <w:adjustRightInd w:val="0"/>
              <w:jc w:val="center"/>
              <w:rPr>
                <w:snapToGrid w:val="0"/>
                <w:sz w:val="20"/>
                <w:szCs w:val="20"/>
              </w:rPr>
            </w:pPr>
            <w:r w:rsidRPr="006254EA">
              <w:rPr>
                <w:snapToGrid w:val="0"/>
                <w:sz w:val="20"/>
                <w:szCs w:val="20"/>
              </w:rPr>
              <w:t>Dec. 31,</w:t>
            </w:r>
          </w:p>
          <w:p w14:paraId="246B37E8" w14:textId="77777777" w:rsidR="006254EA" w:rsidRPr="006254EA" w:rsidRDefault="006254EA" w:rsidP="006254EA">
            <w:pPr>
              <w:widowControl w:val="0"/>
              <w:autoSpaceDE w:val="0"/>
              <w:autoSpaceDN w:val="0"/>
              <w:adjustRightInd w:val="0"/>
              <w:jc w:val="center"/>
              <w:rPr>
                <w:snapToGrid w:val="0"/>
                <w:sz w:val="20"/>
                <w:szCs w:val="20"/>
              </w:rPr>
            </w:pPr>
            <w:r w:rsidRPr="006254EA">
              <w:rPr>
                <w:snapToGrid w:val="0"/>
                <w:sz w:val="20"/>
                <w:szCs w:val="20"/>
              </w:rPr>
              <w:t>2022</w:t>
            </w:r>
          </w:p>
        </w:tc>
      </w:tr>
      <w:tr w:rsidR="006254EA" w:rsidRPr="006254EA" w14:paraId="5ECB0B8C" w14:textId="77777777" w:rsidTr="007C1C5C">
        <w:trPr>
          <w:trHeight w:val="276"/>
        </w:trPr>
        <w:tc>
          <w:tcPr>
            <w:tcW w:w="1699" w:type="dxa"/>
            <w:gridSpan w:val="2"/>
          </w:tcPr>
          <w:p w14:paraId="5195FA3B"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Assets:</w:t>
            </w:r>
          </w:p>
        </w:tc>
        <w:tc>
          <w:tcPr>
            <w:tcW w:w="2921" w:type="dxa"/>
          </w:tcPr>
          <w:p w14:paraId="01AD945C" w14:textId="77777777" w:rsidR="006254EA" w:rsidRPr="006254EA" w:rsidRDefault="006254EA" w:rsidP="006254EA">
            <w:pPr>
              <w:widowControl w:val="0"/>
              <w:autoSpaceDE w:val="0"/>
              <w:autoSpaceDN w:val="0"/>
              <w:adjustRightInd w:val="0"/>
              <w:jc w:val="right"/>
              <w:rPr>
                <w:snapToGrid w:val="0"/>
                <w:sz w:val="20"/>
                <w:szCs w:val="20"/>
              </w:rPr>
            </w:pPr>
          </w:p>
        </w:tc>
        <w:tc>
          <w:tcPr>
            <w:tcW w:w="478" w:type="dxa"/>
          </w:tcPr>
          <w:p w14:paraId="7B21489D"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46EB9BE9"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57C90133"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553FED46"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Borders>
              <w:top w:val="single" w:sz="4" w:space="0" w:color="auto"/>
            </w:tcBorders>
          </w:tcPr>
          <w:p w14:paraId="107E77EA" w14:textId="77777777" w:rsidR="006254EA" w:rsidRPr="006254EA" w:rsidRDefault="006254EA" w:rsidP="006254EA">
            <w:pPr>
              <w:widowControl w:val="0"/>
              <w:autoSpaceDE w:val="0"/>
              <w:autoSpaceDN w:val="0"/>
              <w:adjustRightInd w:val="0"/>
              <w:jc w:val="right"/>
              <w:rPr>
                <w:snapToGrid w:val="0"/>
                <w:sz w:val="20"/>
                <w:szCs w:val="20"/>
              </w:rPr>
            </w:pPr>
          </w:p>
        </w:tc>
      </w:tr>
      <w:tr w:rsidR="006254EA" w:rsidRPr="006254EA" w14:paraId="7BCE96DB" w14:textId="77777777" w:rsidTr="007C1C5C">
        <w:trPr>
          <w:trHeight w:val="276"/>
        </w:trPr>
        <w:tc>
          <w:tcPr>
            <w:tcW w:w="237" w:type="dxa"/>
          </w:tcPr>
          <w:p w14:paraId="2E86D4E6" w14:textId="77777777" w:rsidR="006254EA" w:rsidRPr="006254EA" w:rsidRDefault="006254EA" w:rsidP="006254EA">
            <w:pPr>
              <w:widowControl w:val="0"/>
              <w:autoSpaceDE w:val="0"/>
              <w:autoSpaceDN w:val="0"/>
              <w:adjustRightInd w:val="0"/>
              <w:jc w:val="right"/>
              <w:rPr>
                <w:snapToGrid w:val="0"/>
                <w:sz w:val="20"/>
                <w:szCs w:val="20"/>
              </w:rPr>
            </w:pPr>
            <w:bookmarkStart w:id="7" w:name="_Hlk69717749"/>
          </w:p>
        </w:tc>
        <w:tc>
          <w:tcPr>
            <w:tcW w:w="4383" w:type="dxa"/>
            <w:gridSpan w:val="2"/>
          </w:tcPr>
          <w:p w14:paraId="05A249A2"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Cash and cash equivalents</w:t>
            </w:r>
          </w:p>
        </w:tc>
        <w:tc>
          <w:tcPr>
            <w:tcW w:w="478" w:type="dxa"/>
          </w:tcPr>
          <w:p w14:paraId="3DEF89AB"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29813958" w14:textId="77777777" w:rsidR="006254EA" w:rsidRPr="006254EA" w:rsidRDefault="006254EA" w:rsidP="006254EA">
            <w:pPr>
              <w:widowControl w:val="0"/>
              <w:tabs>
                <w:tab w:val="left" w:pos="150"/>
                <w:tab w:val="decimal" w:pos="960"/>
              </w:tabs>
              <w:autoSpaceDE w:val="0"/>
              <w:autoSpaceDN w:val="0"/>
              <w:adjustRightInd w:val="0"/>
              <w:rPr>
                <w:snapToGrid w:val="0"/>
                <w:sz w:val="20"/>
                <w:szCs w:val="20"/>
              </w:rPr>
            </w:pPr>
          </w:p>
        </w:tc>
        <w:tc>
          <w:tcPr>
            <w:tcW w:w="1208" w:type="dxa"/>
          </w:tcPr>
          <w:p w14:paraId="5D819EBD" w14:textId="77777777" w:rsidR="006254EA" w:rsidRPr="006254EA" w:rsidRDefault="006254EA" w:rsidP="006254EA">
            <w:pPr>
              <w:widowControl w:val="0"/>
              <w:tabs>
                <w:tab w:val="left" w:pos="180"/>
                <w:tab w:val="decimal" w:pos="910"/>
              </w:tabs>
              <w:autoSpaceDE w:val="0"/>
              <w:autoSpaceDN w:val="0"/>
              <w:adjustRightInd w:val="0"/>
              <w:rPr>
                <w:snapToGrid w:val="0"/>
                <w:sz w:val="20"/>
                <w:szCs w:val="20"/>
              </w:rPr>
            </w:pPr>
          </w:p>
        </w:tc>
        <w:tc>
          <w:tcPr>
            <w:tcW w:w="1208" w:type="dxa"/>
          </w:tcPr>
          <w:p w14:paraId="50B39439" w14:textId="77777777" w:rsidR="006254EA" w:rsidRPr="006254EA" w:rsidRDefault="006254EA" w:rsidP="006254EA">
            <w:pPr>
              <w:widowControl w:val="0"/>
              <w:tabs>
                <w:tab w:val="left" w:pos="165"/>
                <w:tab w:val="decimal" w:pos="960"/>
              </w:tabs>
              <w:autoSpaceDE w:val="0"/>
              <w:autoSpaceDN w:val="0"/>
              <w:adjustRightInd w:val="0"/>
              <w:rPr>
                <w:snapToGrid w:val="0"/>
                <w:sz w:val="20"/>
                <w:szCs w:val="20"/>
              </w:rPr>
            </w:pPr>
            <w:r w:rsidRPr="006254EA">
              <w:rPr>
                <w:snapToGrid w:val="0"/>
                <w:sz w:val="20"/>
                <w:szCs w:val="20"/>
              </w:rPr>
              <w:t>$</w:t>
            </w:r>
            <w:r w:rsidRPr="006254EA">
              <w:rPr>
                <w:snapToGrid w:val="0"/>
                <w:sz w:val="20"/>
                <w:szCs w:val="20"/>
              </w:rPr>
              <w:tab/>
            </w:r>
            <w:r w:rsidRPr="006254EA">
              <w:rPr>
                <w:snapToGrid w:val="0"/>
                <w:sz w:val="20"/>
                <w:szCs w:val="20"/>
              </w:rPr>
              <w:tab/>
              <w:t>17,789</w:t>
            </w:r>
          </w:p>
        </w:tc>
        <w:tc>
          <w:tcPr>
            <w:tcW w:w="1208" w:type="dxa"/>
          </w:tcPr>
          <w:p w14:paraId="144A2733" w14:textId="77777777" w:rsidR="006254EA" w:rsidRPr="006254EA" w:rsidRDefault="006254EA" w:rsidP="006254EA">
            <w:pPr>
              <w:widowControl w:val="0"/>
              <w:tabs>
                <w:tab w:val="left" w:pos="150"/>
                <w:tab w:val="decimal" w:pos="1005"/>
              </w:tabs>
              <w:autoSpaceDE w:val="0"/>
              <w:autoSpaceDN w:val="0"/>
              <w:adjustRightInd w:val="0"/>
              <w:rPr>
                <w:snapToGrid w:val="0"/>
                <w:sz w:val="20"/>
                <w:szCs w:val="20"/>
              </w:rPr>
            </w:pPr>
            <w:r w:rsidRPr="006254EA">
              <w:rPr>
                <w:snapToGrid w:val="0"/>
                <w:sz w:val="20"/>
                <w:szCs w:val="20"/>
              </w:rPr>
              <w:t>$</w:t>
            </w:r>
            <w:r w:rsidRPr="006254EA">
              <w:rPr>
                <w:snapToGrid w:val="0"/>
                <w:sz w:val="20"/>
                <w:szCs w:val="20"/>
              </w:rPr>
              <w:tab/>
            </w:r>
            <w:r w:rsidRPr="006254EA">
              <w:rPr>
                <w:snapToGrid w:val="0"/>
                <w:sz w:val="20"/>
                <w:szCs w:val="20"/>
              </w:rPr>
              <w:tab/>
              <w:t>27,613</w:t>
            </w:r>
          </w:p>
        </w:tc>
      </w:tr>
      <w:tr w:rsidR="006254EA" w:rsidRPr="006254EA" w14:paraId="744D4F5E" w14:textId="77777777" w:rsidTr="007C1C5C">
        <w:trPr>
          <w:trHeight w:val="276"/>
        </w:trPr>
        <w:tc>
          <w:tcPr>
            <w:tcW w:w="237" w:type="dxa"/>
          </w:tcPr>
          <w:p w14:paraId="3F7E4CC4" w14:textId="77777777" w:rsidR="006254EA" w:rsidRPr="006254EA" w:rsidRDefault="006254EA" w:rsidP="006254EA">
            <w:pPr>
              <w:widowControl w:val="0"/>
              <w:autoSpaceDE w:val="0"/>
              <w:autoSpaceDN w:val="0"/>
              <w:adjustRightInd w:val="0"/>
              <w:jc w:val="right"/>
              <w:rPr>
                <w:snapToGrid w:val="0"/>
                <w:sz w:val="20"/>
                <w:szCs w:val="20"/>
              </w:rPr>
            </w:pPr>
            <w:bookmarkStart w:id="8" w:name="_Hlk69717696"/>
            <w:bookmarkEnd w:id="7"/>
          </w:p>
        </w:tc>
        <w:tc>
          <w:tcPr>
            <w:tcW w:w="4383" w:type="dxa"/>
            <w:gridSpan w:val="2"/>
          </w:tcPr>
          <w:p w14:paraId="6B53C2C2"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Other current assets</w:t>
            </w:r>
          </w:p>
        </w:tc>
        <w:tc>
          <w:tcPr>
            <w:tcW w:w="478" w:type="dxa"/>
          </w:tcPr>
          <w:p w14:paraId="0763783A"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0E080458" w14:textId="77777777" w:rsidR="006254EA" w:rsidRPr="006254EA" w:rsidRDefault="006254EA" w:rsidP="006254EA">
            <w:pPr>
              <w:widowControl w:val="0"/>
              <w:autoSpaceDE w:val="0"/>
              <w:autoSpaceDN w:val="0"/>
              <w:adjustRightInd w:val="0"/>
              <w:rPr>
                <w:snapToGrid w:val="0"/>
                <w:sz w:val="20"/>
                <w:szCs w:val="20"/>
              </w:rPr>
            </w:pPr>
          </w:p>
        </w:tc>
        <w:tc>
          <w:tcPr>
            <w:tcW w:w="1208" w:type="dxa"/>
          </w:tcPr>
          <w:p w14:paraId="649B4B14" w14:textId="77777777" w:rsidR="006254EA" w:rsidRPr="006254EA" w:rsidRDefault="006254EA" w:rsidP="006254EA">
            <w:pPr>
              <w:widowControl w:val="0"/>
              <w:autoSpaceDE w:val="0"/>
              <w:autoSpaceDN w:val="0"/>
              <w:adjustRightInd w:val="0"/>
              <w:rPr>
                <w:snapToGrid w:val="0"/>
                <w:sz w:val="20"/>
                <w:szCs w:val="20"/>
              </w:rPr>
            </w:pPr>
          </w:p>
        </w:tc>
        <w:tc>
          <w:tcPr>
            <w:tcW w:w="1208" w:type="dxa"/>
            <w:tcBorders>
              <w:bottom w:val="single" w:sz="4" w:space="0" w:color="auto"/>
            </w:tcBorders>
          </w:tcPr>
          <w:p w14:paraId="349C376D" w14:textId="77777777" w:rsidR="006254EA" w:rsidRPr="006254EA" w:rsidRDefault="006254EA" w:rsidP="006254EA">
            <w:pPr>
              <w:widowControl w:val="0"/>
              <w:tabs>
                <w:tab w:val="decimal" w:pos="960"/>
              </w:tabs>
              <w:autoSpaceDE w:val="0"/>
              <w:autoSpaceDN w:val="0"/>
              <w:adjustRightInd w:val="0"/>
              <w:rPr>
                <w:snapToGrid w:val="0"/>
                <w:sz w:val="20"/>
                <w:szCs w:val="20"/>
              </w:rPr>
            </w:pPr>
            <w:r w:rsidRPr="006254EA">
              <w:rPr>
                <w:snapToGrid w:val="0"/>
                <w:sz w:val="20"/>
                <w:szCs w:val="20"/>
              </w:rPr>
              <w:t>2,038</w:t>
            </w:r>
          </w:p>
        </w:tc>
        <w:tc>
          <w:tcPr>
            <w:tcW w:w="1208" w:type="dxa"/>
            <w:tcBorders>
              <w:bottom w:val="single" w:sz="4" w:space="0" w:color="auto"/>
            </w:tcBorders>
          </w:tcPr>
          <w:p w14:paraId="68071F6C" w14:textId="77777777" w:rsidR="006254EA" w:rsidRPr="006254EA" w:rsidRDefault="006254EA" w:rsidP="006254EA">
            <w:pPr>
              <w:widowControl w:val="0"/>
              <w:tabs>
                <w:tab w:val="decimal" w:pos="1005"/>
              </w:tabs>
              <w:autoSpaceDE w:val="0"/>
              <w:autoSpaceDN w:val="0"/>
              <w:adjustRightInd w:val="0"/>
              <w:rPr>
                <w:snapToGrid w:val="0"/>
                <w:sz w:val="20"/>
                <w:szCs w:val="20"/>
              </w:rPr>
            </w:pPr>
            <w:r w:rsidRPr="006254EA">
              <w:rPr>
                <w:snapToGrid w:val="0"/>
                <w:sz w:val="20"/>
                <w:szCs w:val="20"/>
              </w:rPr>
              <w:t>1,326</w:t>
            </w:r>
          </w:p>
        </w:tc>
      </w:tr>
      <w:bookmarkEnd w:id="8"/>
      <w:tr w:rsidR="006254EA" w:rsidRPr="006254EA" w14:paraId="324B7000" w14:textId="77777777" w:rsidTr="007C1C5C">
        <w:trPr>
          <w:trHeight w:val="276"/>
        </w:trPr>
        <w:tc>
          <w:tcPr>
            <w:tcW w:w="237" w:type="dxa"/>
          </w:tcPr>
          <w:p w14:paraId="54EAC0E2" w14:textId="77777777" w:rsidR="006254EA" w:rsidRPr="006254EA" w:rsidRDefault="006254EA" w:rsidP="006254EA">
            <w:pPr>
              <w:widowControl w:val="0"/>
              <w:autoSpaceDE w:val="0"/>
              <w:autoSpaceDN w:val="0"/>
              <w:adjustRightInd w:val="0"/>
              <w:jc w:val="right"/>
              <w:rPr>
                <w:snapToGrid w:val="0"/>
                <w:sz w:val="20"/>
                <w:szCs w:val="20"/>
              </w:rPr>
            </w:pPr>
          </w:p>
        </w:tc>
        <w:tc>
          <w:tcPr>
            <w:tcW w:w="4383" w:type="dxa"/>
            <w:gridSpan w:val="2"/>
          </w:tcPr>
          <w:p w14:paraId="4CF68221"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Total current assets</w:t>
            </w:r>
          </w:p>
        </w:tc>
        <w:tc>
          <w:tcPr>
            <w:tcW w:w="478" w:type="dxa"/>
          </w:tcPr>
          <w:p w14:paraId="27EB18A3"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011CE73B"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4CDF76E2"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Borders>
              <w:top w:val="single" w:sz="4" w:space="0" w:color="auto"/>
            </w:tcBorders>
          </w:tcPr>
          <w:p w14:paraId="33E09BA3" w14:textId="77777777" w:rsidR="006254EA" w:rsidRPr="006254EA" w:rsidRDefault="006254EA" w:rsidP="006254EA">
            <w:pPr>
              <w:widowControl w:val="0"/>
              <w:tabs>
                <w:tab w:val="left" w:pos="150"/>
                <w:tab w:val="decimal" w:pos="960"/>
              </w:tabs>
              <w:autoSpaceDE w:val="0"/>
              <w:autoSpaceDN w:val="0"/>
              <w:adjustRightInd w:val="0"/>
              <w:rPr>
                <w:snapToGrid w:val="0"/>
                <w:sz w:val="20"/>
                <w:szCs w:val="20"/>
              </w:rPr>
            </w:pPr>
            <w:r w:rsidRPr="006254EA">
              <w:rPr>
                <w:snapToGrid w:val="0"/>
                <w:sz w:val="20"/>
                <w:szCs w:val="20"/>
              </w:rPr>
              <w:tab/>
            </w:r>
            <w:r w:rsidRPr="006254EA">
              <w:rPr>
                <w:snapToGrid w:val="0"/>
                <w:sz w:val="20"/>
                <w:szCs w:val="20"/>
              </w:rPr>
              <w:tab/>
              <w:t>19,827</w:t>
            </w:r>
          </w:p>
        </w:tc>
        <w:tc>
          <w:tcPr>
            <w:tcW w:w="1208" w:type="dxa"/>
            <w:tcBorders>
              <w:top w:val="single" w:sz="4" w:space="0" w:color="auto"/>
            </w:tcBorders>
          </w:tcPr>
          <w:p w14:paraId="4ABF91DC" w14:textId="77777777" w:rsidR="006254EA" w:rsidRPr="006254EA" w:rsidRDefault="006254EA" w:rsidP="006254EA">
            <w:pPr>
              <w:widowControl w:val="0"/>
              <w:tabs>
                <w:tab w:val="left" w:pos="195"/>
                <w:tab w:val="decimal" w:pos="1005"/>
              </w:tabs>
              <w:autoSpaceDE w:val="0"/>
              <w:autoSpaceDN w:val="0"/>
              <w:adjustRightInd w:val="0"/>
              <w:rPr>
                <w:snapToGrid w:val="0"/>
                <w:sz w:val="20"/>
                <w:szCs w:val="20"/>
              </w:rPr>
            </w:pPr>
            <w:r w:rsidRPr="006254EA">
              <w:rPr>
                <w:snapToGrid w:val="0"/>
                <w:sz w:val="20"/>
                <w:szCs w:val="20"/>
              </w:rPr>
              <w:tab/>
            </w:r>
            <w:r w:rsidRPr="006254EA">
              <w:rPr>
                <w:snapToGrid w:val="0"/>
                <w:sz w:val="20"/>
                <w:szCs w:val="20"/>
              </w:rPr>
              <w:tab/>
              <w:t>28,939</w:t>
            </w:r>
          </w:p>
        </w:tc>
      </w:tr>
      <w:tr w:rsidR="006254EA" w:rsidRPr="006254EA" w14:paraId="200E98C8" w14:textId="77777777" w:rsidTr="007C1C5C">
        <w:trPr>
          <w:trHeight w:val="276"/>
        </w:trPr>
        <w:tc>
          <w:tcPr>
            <w:tcW w:w="237" w:type="dxa"/>
          </w:tcPr>
          <w:p w14:paraId="131489FE" w14:textId="77777777" w:rsidR="006254EA" w:rsidRPr="006254EA" w:rsidRDefault="006254EA" w:rsidP="006254EA">
            <w:pPr>
              <w:widowControl w:val="0"/>
              <w:autoSpaceDE w:val="0"/>
              <w:autoSpaceDN w:val="0"/>
              <w:adjustRightInd w:val="0"/>
              <w:jc w:val="right"/>
              <w:rPr>
                <w:snapToGrid w:val="0"/>
                <w:sz w:val="20"/>
                <w:szCs w:val="20"/>
              </w:rPr>
            </w:pPr>
          </w:p>
        </w:tc>
        <w:tc>
          <w:tcPr>
            <w:tcW w:w="4383" w:type="dxa"/>
            <w:gridSpan w:val="2"/>
          </w:tcPr>
          <w:p w14:paraId="15FE8E86"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Property and other assets, net</w:t>
            </w:r>
          </w:p>
        </w:tc>
        <w:tc>
          <w:tcPr>
            <w:tcW w:w="478" w:type="dxa"/>
          </w:tcPr>
          <w:p w14:paraId="61AE5576"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78118534" w14:textId="77777777" w:rsidR="006254EA" w:rsidRPr="006254EA" w:rsidRDefault="006254EA" w:rsidP="006254EA">
            <w:pPr>
              <w:widowControl w:val="0"/>
              <w:autoSpaceDE w:val="0"/>
              <w:autoSpaceDN w:val="0"/>
              <w:adjustRightInd w:val="0"/>
              <w:rPr>
                <w:snapToGrid w:val="0"/>
                <w:sz w:val="20"/>
                <w:szCs w:val="20"/>
              </w:rPr>
            </w:pPr>
          </w:p>
        </w:tc>
        <w:tc>
          <w:tcPr>
            <w:tcW w:w="1208" w:type="dxa"/>
          </w:tcPr>
          <w:p w14:paraId="533006F6" w14:textId="77777777" w:rsidR="006254EA" w:rsidRPr="006254EA" w:rsidRDefault="006254EA" w:rsidP="006254EA">
            <w:pPr>
              <w:widowControl w:val="0"/>
              <w:autoSpaceDE w:val="0"/>
              <w:autoSpaceDN w:val="0"/>
              <w:adjustRightInd w:val="0"/>
              <w:rPr>
                <w:snapToGrid w:val="0"/>
                <w:sz w:val="20"/>
                <w:szCs w:val="20"/>
              </w:rPr>
            </w:pPr>
          </w:p>
        </w:tc>
        <w:tc>
          <w:tcPr>
            <w:tcW w:w="1208" w:type="dxa"/>
            <w:tcBorders>
              <w:bottom w:val="single" w:sz="4" w:space="0" w:color="auto"/>
            </w:tcBorders>
          </w:tcPr>
          <w:p w14:paraId="7487FAEF" w14:textId="77777777" w:rsidR="006254EA" w:rsidRPr="006254EA" w:rsidRDefault="006254EA" w:rsidP="006254EA">
            <w:pPr>
              <w:widowControl w:val="0"/>
              <w:tabs>
                <w:tab w:val="decimal" w:pos="960"/>
              </w:tabs>
              <w:autoSpaceDE w:val="0"/>
              <w:autoSpaceDN w:val="0"/>
              <w:adjustRightInd w:val="0"/>
              <w:rPr>
                <w:snapToGrid w:val="0"/>
                <w:sz w:val="20"/>
                <w:szCs w:val="20"/>
              </w:rPr>
            </w:pPr>
            <w:r w:rsidRPr="006254EA">
              <w:rPr>
                <w:snapToGrid w:val="0"/>
                <w:sz w:val="20"/>
                <w:szCs w:val="20"/>
              </w:rPr>
              <w:t>1,422</w:t>
            </w:r>
          </w:p>
        </w:tc>
        <w:tc>
          <w:tcPr>
            <w:tcW w:w="1208" w:type="dxa"/>
            <w:tcBorders>
              <w:bottom w:val="single" w:sz="4" w:space="0" w:color="auto"/>
            </w:tcBorders>
          </w:tcPr>
          <w:p w14:paraId="1FB28E6C" w14:textId="77777777" w:rsidR="006254EA" w:rsidRPr="006254EA" w:rsidRDefault="006254EA" w:rsidP="006254EA">
            <w:pPr>
              <w:widowControl w:val="0"/>
              <w:tabs>
                <w:tab w:val="decimal" w:pos="1005"/>
              </w:tabs>
              <w:autoSpaceDE w:val="0"/>
              <w:autoSpaceDN w:val="0"/>
              <w:adjustRightInd w:val="0"/>
              <w:rPr>
                <w:snapToGrid w:val="0"/>
                <w:sz w:val="20"/>
                <w:szCs w:val="20"/>
              </w:rPr>
            </w:pPr>
            <w:r w:rsidRPr="006254EA">
              <w:rPr>
                <w:snapToGrid w:val="0"/>
                <w:sz w:val="20"/>
                <w:szCs w:val="20"/>
              </w:rPr>
              <w:t>2,409</w:t>
            </w:r>
          </w:p>
        </w:tc>
      </w:tr>
      <w:tr w:rsidR="006254EA" w:rsidRPr="006254EA" w14:paraId="51FAB343" w14:textId="77777777" w:rsidTr="007C1C5C">
        <w:trPr>
          <w:trHeight w:val="276"/>
        </w:trPr>
        <w:tc>
          <w:tcPr>
            <w:tcW w:w="237" w:type="dxa"/>
          </w:tcPr>
          <w:p w14:paraId="6B07F86F" w14:textId="77777777" w:rsidR="006254EA" w:rsidRPr="006254EA" w:rsidRDefault="006254EA" w:rsidP="006254EA">
            <w:pPr>
              <w:widowControl w:val="0"/>
              <w:autoSpaceDE w:val="0"/>
              <w:autoSpaceDN w:val="0"/>
              <w:adjustRightInd w:val="0"/>
              <w:jc w:val="right"/>
              <w:rPr>
                <w:snapToGrid w:val="0"/>
                <w:sz w:val="20"/>
                <w:szCs w:val="20"/>
              </w:rPr>
            </w:pPr>
          </w:p>
        </w:tc>
        <w:tc>
          <w:tcPr>
            <w:tcW w:w="4383" w:type="dxa"/>
            <w:gridSpan w:val="2"/>
          </w:tcPr>
          <w:p w14:paraId="2BD2BAFA"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Total assets</w:t>
            </w:r>
          </w:p>
        </w:tc>
        <w:tc>
          <w:tcPr>
            <w:tcW w:w="478" w:type="dxa"/>
          </w:tcPr>
          <w:p w14:paraId="4E5BDE03"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35610716" w14:textId="77777777" w:rsidR="006254EA" w:rsidRPr="006254EA" w:rsidRDefault="006254EA" w:rsidP="006254EA">
            <w:pPr>
              <w:widowControl w:val="0"/>
              <w:tabs>
                <w:tab w:val="left" w:pos="150"/>
                <w:tab w:val="decimal" w:pos="960"/>
              </w:tabs>
              <w:autoSpaceDE w:val="0"/>
              <w:autoSpaceDN w:val="0"/>
              <w:adjustRightInd w:val="0"/>
              <w:rPr>
                <w:snapToGrid w:val="0"/>
                <w:sz w:val="20"/>
                <w:szCs w:val="20"/>
              </w:rPr>
            </w:pPr>
          </w:p>
        </w:tc>
        <w:tc>
          <w:tcPr>
            <w:tcW w:w="1208" w:type="dxa"/>
          </w:tcPr>
          <w:p w14:paraId="6659A358" w14:textId="77777777" w:rsidR="006254EA" w:rsidRPr="006254EA" w:rsidRDefault="006254EA" w:rsidP="006254EA">
            <w:pPr>
              <w:widowControl w:val="0"/>
              <w:tabs>
                <w:tab w:val="left" w:pos="180"/>
                <w:tab w:val="decimal" w:pos="910"/>
              </w:tabs>
              <w:autoSpaceDE w:val="0"/>
              <w:autoSpaceDN w:val="0"/>
              <w:adjustRightInd w:val="0"/>
              <w:rPr>
                <w:snapToGrid w:val="0"/>
                <w:sz w:val="20"/>
                <w:szCs w:val="20"/>
              </w:rPr>
            </w:pPr>
          </w:p>
        </w:tc>
        <w:tc>
          <w:tcPr>
            <w:tcW w:w="1208" w:type="dxa"/>
          </w:tcPr>
          <w:p w14:paraId="17DC4455" w14:textId="77777777" w:rsidR="006254EA" w:rsidRPr="006254EA" w:rsidRDefault="006254EA" w:rsidP="006254EA">
            <w:pPr>
              <w:widowControl w:val="0"/>
              <w:tabs>
                <w:tab w:val="left" w:pos="165"/>
                <w:tab w:val="decimal" w:pos="960"/>
              </w:tabs>
              <w:autoSpaceDE w:val="0"/>
              <w:autoSpaceDN w:val="0"/>
              <w:adjustRightInd w:val="0"/>
              <w:rPr>
                <w:snapToGrid w:val="0"/>
                <w:sz w:val="20"/>
                <w:szCs w:val="20"/>
              </w:rPr>
            </w:pPr>
            <w:r w:rsidRPr="006254EA">
              <w:rPr>
                <w:snapToGrid w:val="0"/>
                <w:sz w:val="20"/>
                <w:szCs w:val="20"/>
              </w:rPr>
              <w:t>$</w:t>
            </w:r>
            <w:r w:rsidRPr="006254EA">
              <w:rPr>
                <w:snapToGrid w:val="0"/>
                <w:sz w:val="20"/>
                <w:szCs w:val="20"/>
              </w:rPr>
              <w:tab/>
            </w:r>
            <w:r w:rsidRPr="006254EA">
              <w:rPr>
                <w:snapToGrid w:val="0"/>
                <w:sz w:val="20"/>
                <w:szCs w:val="20"/>
              </w:rPr>
              <w:tab/>
              <w:t>21,249</w:t>
            </w:r>
          </w:p>
        </w:tc>
        <w:tc>
          <w:tcPr>
            <w:tcW w:w="1208" w:type="dxa"/>
          </w:tcPr>
          <w:p w14:paraId="783630CA" w14:textId="77777777" w:rsidR="006254EA" w:rsidRPr="006254EA" w:rsidRDefault="006254EA" w:rsidP="006254EA">
            <w:pPr>
              <w:widowControl w:val="0"/>
              <w:tabs>
                <w:tab w:val="left" w:pos="150"/>
                <w:tab w:val="decimal" w:pos="1005"/>
              </w:tabs>
              <w:autoSpaceDE w:val="0"/>
              <w:autoSpaceDN w:val="0"/>
              <w:adjustRightInd w:val="0"/>
              <w:rPr>
                <w:snapToGrid w:val="0"/>
                <w:sz w:val="20"/>
                <w:szCs w:val="20"/>
              </w:rPr>
            </w:pPr>
            <w:r w:rsidRPr="006254EA">
              <w:rPr>
                <w:snapToGrid w:val="0"/>
                <w:sz w:val="20"/>
                <w:szCs w:val="20"/>
              </w:rPr>
              <w:t>$</w:t>
            </w:r>
            <w:r w:rsidRPr="006254EA">
              <w:rPr>
                <w:snapToGrid w:val="0"/>
                <w:sz w:val="20"/>
                <w:szCs w:val="20"/>
              </w:rPr>
              <w:tab/>
            </w:r>
            <w:r w:rsidRPr="006254EA">
              <w:rPr>
                <w:snapToGrid w:val="0"/>
                <w:sz w:val="20"/>
                <w:szCs w:val="20"/>
              </w:rPr>
              <w:tab/>
              <w:t>31,348</w:t>
            </w:r>
          </w:p>
        </w:tc>
      </w:tr>
      <w:tr w:rsidR="006254EA" w:rsidRPr="006254EA" w14:paraId="1DAE4C2F" w14:textId="77777777" w:rsidTr="007C1C5C">
        <w:trPr>
          <w:trHeight w:val="276"/>
        </w:trPr>
        <w:tc>
          <w:tcPr>
            <w:tcW w:w="237" w:type="dxa"/>
          </w:tcPr>
          <w:p w14:paraId="19BBF12D" w14:textId="77777777" w:rsidR="006254EA" w:rsidRPr="006254EA" w:rsidRDefault="006254EA" w:rsidP="006254EA">
            <w:pPr>
              <w:widowControl w:val="0"/>
              <w:autoSpaceDE w:val="0"/>
              <w:autoSpaceDN w:val="0"/>
              <w:adjustRightInd w:val="0"/>
              <w:jc w:val="right"/>
              <w:rPr>
                <w:snapToGrid w:val="0"/>
                <w:sz w:val="20"/>
                <w:szCs w:val="20"/>
              </w:rPr>
            </w:pPr>
          </w:p>
        </w:tc>
        <w:tc>
          <w:tcPr>
            <w:tcW w:w="1462" w:type="dxa"/>
          </w:tcPr>
          <w:p w14:paraId="5A200B09" w14:textId="77777777" w:rsidR="006254EA" w:rsidRPr="006254EA" w:rsidRDefault="006254EA" w:rsidP="006254EA">
            <w:pPr>
              <w:widowControl w:val="0"/>
              <w:autoSpaceDE w:val="0"/>
              <w:autoSpaceDN w:val="0"/>
              <w:adjustRightInd w:val="0"/>
              <w:jc w:val="right"/>
              <w:rPr>
                <w:snapToGrid w:val="0"/>
                <w:sz w:val="20"/>
                <w:szCs w:val="20"/>
              </w:rPr>
            </w:pPr>
          </w:p>
        </w:tc>
        <w:tc>
          <w:tcPr>
            <w:tcW w:w="2921" w:type="dxa"/>
          </w:tcPr>
          <w:p w14:paraId="1A54413F" w14:textId="77777777" w:rsidR="006254EA" w:rsidRPr="006254EA" w:rsidRDefault="006254EA" w:rsidP="006254EA">
            <w:pPr>
              <w:widowControl w:val="0"/>
              <w:autoSpaceDE w:val="0"/>
              <w:autoSpaceDN w:val="0"/>
              <w:adjustRightInd w:val="0"/>
              <w:jc w:val="right"/>
              <w:rPr>
                <w:snapToGrid w:val="0"/>
                <w:sz w:val="20"/>
                <w:szCs w:val="20"/>
              </w:rPr>
            </w:pPr>
          </w:p>
        </w:tc>
        <w:tc>
          <w:tcPr>
            <w:tcW w:w="478" w:type="dxa"/>
          </w:tcPr>
          <w:p w14:paraId="2D57D3B9"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1D621EC6"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58435F1B"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Borders>
              <w:top w:val="double" w:sz="4" w:space="0" w:color="auto"/>
            </w:tcBorders>
          </w:tcPr>
          <w:p w14:paraId="2BA46C19"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Borders>
              <w:top w:val="double" w:sz="4" w:space="0" w:color="auto"/>
            </w:tcBorders>
          </w:tcPr>
          <w:p w14:paraId="5DD3B407" w14:textId="77777777" w:rsidR="006254EA" w:rsidRPr="006254EA" w:rsidRDefault="006254EA" w:rsidP="006254EA">
            <w:pPr>
              <w:widowControl w:val="0"/>
              <w:autoSpaceDE w:val="0"/>
              <w:autoSpaceDN w:val="0"/>
              <w:adjustRightInd w:val="0"/>
              <w:jc w:val="right"/>
              <w:rPr>
                <w:snapToGrid w:val="0"/>
                <w:sz w:val="20"/>
                <w:szCs w:val="20"/>
              </w:rPr>
            </w:pPr>
          </w:p>
        </w:tc>
      </w:tr>
      <w:tr w:rsidR="006254EA" w:rsidRPr="006254EA" w14:paraId="7EA8BB99" w14:textId="77777777" w:rsidTr="007C1C5C">
        <w:trPr>
          <w:trHeight w:val="276"/>
        </w:trPr>
        <w:tc>
          <w:tcPr>
            <w:tcW w:w="4620" w:type="dxa"/>
            <w:gridSpan w:val="3"/>
          </w:tcPr>
          <w:p w14:paraId="42AD602B"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Liabilities and stockholders’ equity</w:t>
            </w:r>
          </w:p>
        </w:tc>
        <w:tc>
          <w:tcPr>
            <w:tcW w:w="478" w:type="dxa"/>
          </w:tcPr>
          <w:p w14:paraId="104F3B33"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4A9EC461"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47E0A790"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10890F7D"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7523EF85" w14:textId="77777777" w:rsidR="006254EA" w:rsidRPr="006254EA" w:rsidRDefault="006254EA" w:rsidP="006254EA">
            <w:pPr>
              <w:widowControl w:val="0"/>
              <w:autoSpaceDE w:val="0"/>
              <w:autoSpaceDN w:val="0"/>
              <w:adjustRightInd w:val="0"/>
              <w:jc w:val="right"/>
              <w:rPr>
                <w:snapToGrid w:val="0"/>
                <w:sz w:val="20"/>
                <w:szCs w:val="20"/>
              </w:rPr>
            </w:pPr>
          </w:p>
        </w:tc>
      </w:tr>
      <w:tr w:rsidR="006254EA" w:rsidRPr="006254EA" w14:paraId="521B8732" w14:textId="77777777" w:rsidTr="007C1C5C">
        <w:trPr>
          <w:trHeight w:val="276"/>
        </w:trPr>
        <w:tc>
          <w:tcPr>
            <w:tcW w:w="237" w:type="dxa"/>
          </w:tcPr>
          <w:p w14:paraId="2A31C735" w14:textId="77777777" w:rsidR="006254EA" w:rsidRPr="006254EA" w:rsidRDefault="006254EA" w:rsidP="006254EA">
            <w:pPr>
              <w:widowControl w:val="0"/>
              <w:autoSpaceDE w:val="0"/>
              <w:autoSpaceDN w:val="0"/>
              <w:adjustRightInd w:val="0"/>
              <w:jc w:val="right"/>
              <w:rPr>
                <w:snapToGrid w:val="0"/>
                <w:sz w:val="20"/>
                <w:szCs w:val="20"/>
              </w:rPr>
            </w:pPr>
          </w:p>
        </w:tc>
        <w:tc>
          <w:tcPr>
            <w:tcW w:w="4383" w:type="dxa"/>
            <w:gridSpan w:val="2"/>
          </w:tcPr>
          <w:p w14:paraId="52B40203"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Total liabilities</w:t>
            </w:r>
          </w:p>
        </w:tc>
        <w:tc>
          <w:tcPr>
            <w:tcW w:w="478" w:type="dxa"/>
          </w:tcPr>
          <w:p w14:paraId="5EBE0B0C"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3BBAC305"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06D873BB"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38DC8967" w14:textId="77777777" w:rsidR="006254EA" w:rsidRPr="006254EA" w:rsidRDefault="006254EA" w:rsidP="006254EA">
            <w:pPr>
              <w:widowControl w:val="0"/>
              <w:tabs>
                <w:tab w:val="left" w:pos="150"/>
                <w:tab w:val="decimal" w:pos="960"/>
              </w:tabs>
              <w:autoSpaceDE w:val="0"/>
              <w:autoSpaceDN w:val="0"/>
              <w:adjustRightInd w:val="0"/>
              <w:rPr>
                <w:snapToGrid w:val="0"/>
                <w:sz w:val="20"/>
                <w:szCs w:val="20"/>
              </w:rPr>
            </w:pPr>
            <w:r w:rsidRPr="006254EA">
              <w:rPr>
                <w:snapToGrid w:val="0"/>
                <w:sz w:val="20"/>
                <w:szCs w:val="20"/>
              </w:rPr>
              <w:t>$</w:t>
            </w:r>
            <w:r w:rsidRPr="006254EA">
              <w:rPr>
                <w:snapToGrid w:val="0"/>
                <w:sz w:val="20"/>
                <w:szCs w:val="20"/>
              </w:rPr>
              <w:tab/>
            </w:r>
            <w:r w:rsidRPr="006254EA">
              <w:rPr>
                <w:snapToGrid w:val="0"/>
                <w:sz w:val="20"/>
                <w:szCs w:val="20"/>
              </w:rPr>
              <w:tab/>
              <w:t>4,085</w:t>
            </w:r>
          </w:p>
        </w:tc>
        <w:tc>
          <w:tcPr>
            <w:tcW w:w="1208" w:type="dxa"/>
          </w:tcPr>
          <w:p w14:paraId="7F8FFE4B" w14:textId="77777777" w:rsidR="006254EA" w:rsidRPr="006254EA" w:rsidRDefault="006254EA" w:rsidP="006254EA">
            <w:pPr>
              <w:widowControl w:val="0"/>
              <w:tabs>
                <w:tab w:val="left" w:pos="165"/>
                <w:tab w:val="decimal" w:pos="1005"/>
              </w:tabs>
              <w:autoSpaceDE w:val="0"/>
              <w:autoSpaceDN w:val="0"/>
              <w:adjustRightInd w:val="0"/>
              <w:rPr>
                <w:snapToGrid w:val="0"/>
                <w:sz w:val="20"/>
                <w:szCs w:val="20"/>
              </w:rPr>
            </w:pPr>
            <w:r w:rsidRPr="006254EA">
              <w:rPr>
                <w:snapToGrid w:val="0"/>
                <w:sz w:val="20"/>
                <w:szCs w:val="20"/>
              </w:rPr>
              <w:t>$</w:t>
            </w:r>
            <w:r w:rsidRPr="006254EA">
              <w:rPr>
                <w:snapToGrid w:val="0"/>
                <w:sz w:val="20"/>
                <w:szCs w:val="20"/>
              </w:rPr>
              <w:tab/>
            </w:r>
            <w:r w:rsidRPr="006254EA">
              <w:rPr>
                <w:snapToGrid w:val="0"/>
                <w:sz w:val="20"/>
                <w:szCs w:val="20"/>
              </w:rPr>
              <w:tab/>
              <w:t>4,748</w:t>
            </w:r>
          </w:p>
        </w:tc>
      </w:tr>
      <w:tr w:rsidR="006254EA" w:rsidRPr="006254EA" w14:paraId="589EB1B6" w14:textId="77777777" w:rsidTr="007C1C5C">
        <w:trPr>
          <w:trHeight w:val="276"/>
        </w:trPr>
        <w:tc>
          <w:tcPr>
            <w:tcW w:w="237" w:type="dxa"/>
          </w:tcPr>
          <w:p w14:paraId="051E5E10" w14:textId="77777777" w:rsidR="006254EA" w:rsidRPr="006254EA" w:rsidRDefault="006254EA" w:rsidP="006254EA">
            <w:pPr>
              <w:widowControl w:val="0"/>
              <w:autoSpaceDE w:val="0"/>
              <w:autoSpaceDN w:val="0"/>
              <w:adjustRightInd w:val="0"/>
              <w:jc w:val="right"/>
              <w:rPr>
                <w:snapToGrid w:val="0"/>
                <w:sz w:val="20"/>
                <w:szCs w:val="20"/>
              </w:rPr>
            </w:pPr>
          </w:p>
        </w:tc>
        <w:tc>
          <w:tcPr>
            <w:tcW w:w="4383" w:type="dxa"/>
            <w:gridSpan w:val="2"/>
          </w:tcPr>
          <w:p w14:paraId="790B3791"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Stockholders’ equity</w:t>
            </w:r>
          </w:p>
        </w:tc>
        <w:tc>
          <w:tcPr>
            <w:tcW w:w="478" w:type="dxa"/>
          </w:tcPr>
          <w:p w14:paraId="3E5FB8E0"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7944454F"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4B23E308"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Borders>
              <w:bottom w:val="single" w:sz="4" w:space="0" w:color="auto"/>
            </w:tcBorders>
          </w:tcPr>
          <w:p w14:paraId="3AC98326" w14:textId="77777777" w:rsidR="006254EA" w:rsidRPr="006254EA" w:rsidRDefault="006254EA" w:rsidP="006254EA">
            <w:pPr>
              <w:widowControl w:val="0"/>
              <w:tabs>
                <w:tab w:val="decimal" w:pos="960"/>
              </w:tabs>
              <w:autoSpaceDE w:val="0"/>
              <w:autoSpaceDN w:val="0"/>
              <w:adjustRightInd w:val="0"/>
              <w:rPr>
                <w:snapToGrid w:val="0"/>
                <w:sz w:val="20"/>
                <w:szCs w:val="20"/>
              </w:rPr>
            </w:pPr>
            <w:r w:rsidRPr="006254EA">
              <w:rPr>
                <w:snapToGrid w:val="0"/>
                <w:sz w:val="20"/>
                <w:szCs w:val="20"/>
              </w:rPr>
              <w:t>17,164</w:t>
            </w:r>
          </w:p>
        </w:tc>
        <w:tc>
          <w:tcPr>
            <w:tcW w:w="1208" w:type="dxa"/>
            <w:tcBorders>
              <w:bottom w:val="single" w:sz="4" w:space="0" w:color="auto"/>
            </w:tcBorders>
          </w:tcPr>
          <w:p w14:paraId="5FB90917" w14:textId="77777777" w:rsidR="006254EA" w:rsidRPr="006254EA" w:rsidRDefault="006254EA" w:rsidP="006254EA">
            <w:pPr>
              <w:widowControl w:val="0"/>
              <w:tabs>
                <w:tab w:val="decimal" w:pos="1005"/>
              </w:tabs>
              <w:autoSpaceDE w:val="0"/>
              <w:autoSpaceDN w:val="0"/>
              <w:adjustRightInd w:val="0"/>
              <w:rPr>
                <w:snapToGrid w:val="0"/>
                <w:sz w:val="20"/>
                <w:szCs w:val="20"/>
              </w:rPr>
            </w:pPr>
            <w:r w:rsidRPr="006254EA">
              <w:rPr>
                <w:snapToGrid w:val="0"/>
                <w:sz w:val="20"/>
                <w:szCs w:val="20"/>
              </w:rPr>
              <w:t>26,600</w:t>
            </w:r>
          </w:p>
        </w:tc>
      </w:tr>
      <w:tr w:rsidR="006254EA" w:rsidRPr="006254EA" w14:paraId="196F992A" w14:textId="77777777" w:rsidTr="007C1C5C">
        <w:trPr>
          <w:trHeight w:val="276"/>
        </w:trPr>
        <w:tc>
          <w:tcPr>
            <w:tcW w:w="237" w:type="dxa"/>
          </w:tcPr>
          <w:p w14:paraId="5B1484B5" w14:textId="77777777" w:rsidR="006254EA" w:rsidRPr="006254EA" w:rsidRDefault="006254EA" w:rsidP="006254EA">
            <w:pPr>
              <w:widowControl w:val="0"/>
              <w:autoSpaceDE w:val="0"/>
              <w:autoSpaceDN w:val="0"/>
              <w:adjustRightInd w:val="0"/>
              <w:jc w:val="right"/>
              <w:rPr>
                <w:snapToGrid w:val="0"/>
                <w:sz w:val="20"/>
                <w:szCs w:val="20"/>
              </w:rPr>
            </w:pPr>
          </w:p>
        </w:tc>
        <w:tc>
          <w:tcPr>
            <w:tcW w:w="6069" w:type="dxa"/>
            <w:gridSpan w:val="4"/>
          </w:tcPr>
          <w:p w14:paraId="3D33FBAE"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Total liabilities and stockholders’ equity</w:t>
            </w:r>
          </w:p>
        </w:tc>
        <w:tc>
          <w:tcPr>
            <w:tcW w:w="1208" w:type="dxa"/>
          </w:tcPr>
          <w:p w14:paraId="0E4B1995"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Borders>
              <w:top w:val="single" w:sz="4" w:space="0" w:color="auto"/>
              <w:bottom w:val="double" w:sz="4" w:space="0" w:color="auto"/>
            </w:tcBorders>
          </w:tcPr>
          <w:p w14:paraId="722114A9" w14:textId="77777777" w:rsidR="006254EA" w:rsidRPr="006254EA" w:rsidRDefault="006254EA" w:rsidP="006254EA">
            <w:pPr>
              <w:widowControl w:val="0"/>
              <w:tabs>
                <w:tab w:val="left" w:pos="165"/>
                <w:tab w:val="decimal" w:pos="960"/>
              </w:tabs>
              <w:autoSpaceDE w:val="0"/>
              <w:autoSpaceDN w:val="0"/>
              <w:adjustRightInd w:val="0"/>
              <w:rPr>
                <w:snapToGrid w:val="0"/>
                <w:sz w:val="20"/>
                <w:szCs w:val="20"/>
              </w:rPr>
            </w:pPr>
            <w:r w:rsidRPr="006254EA">
              <w:rPr>
                <w:snapToGrid w:val="0"/>
                <w:sz w:val="20"/>
                <w:szCs w:val="20"/>
              </w:rPr>
              <w:t>$</w:t>
            </w:r>
            <w:r w:rsidRPr="006254EA">
              <w:rPr>
                <w:snapToGrid w:val="0"/>
                <w:sz w:val="20"/>
                <w:szCs w:val="20"/>
              </w:rPr>
              <w:tab/>
            </w:r>
            <w:r w:rsidRPr="006254EA">
              <w:rPr>
                <w:snapToGrid w:val="0"/>
                <w:sz w:val="20"/>
                <w:szCs w:val="20"/>
              </w:rPr>
              <w:tab/>
              <w:t>21,249</w:t>
            </w:r>
          </w:p>
        </w:tc>
        <w:tc>
          <w:tcPr>
            <w:tcW w:w="1208" w:type="dxa"/>
            <w:tcBorders>
              <w:top w:val="single" w:sz="4" w:space="0" w:color="auto"/>
              <w:bottom w:val="double" w:sz="4" w:space="0" w:color="auto"/>
            </w:tcBorders>
          </w:tcPr>
          <w:p w14:paraId="7A2285B0" w14:textId="77777777" w:rsidR="006254EA" w:rsidRPr="006254EA" w:rsidRDefault="006254EA" w:rsidP="006254EA">
            <w:pPr>
              <w:widowControl w:val="0"/>
              <w:tabs>
                <w:tab w:val="left" w:pos="105"/>
                <w:tab w:val="decimal" w:pos="1005"/>
              </w:tabs>
              <w:autoSpaceDE w:val="0"/>
              <w:autoSpaceDN w:val="0"/>
              <w:adjustRightInd w:val="0"/>
              <w:rPr>
                <w:snapToGrid w:val="0"/>
                <w:sz w:val="20"/>
                <w:szCs w:val="20"/>
              </w:rPr>
            </w:pPr>
            <w:r w:rsidRPr="006254EA">
              <w:rPr>
                <w:snapToGrid w:val="0"/>
                <w:sz w:val="20"/>
                <w:szCs w:val="20"/>
              </w:rPr>
              <w:t>$</w:t>
            </w:r>
            <w:r w:rsidRPr="006254EA">
              <w:rPr>
                <w:snapToGrid w:val="0"/>
                <w:sz w:val="20"/>
                <w:szCs w:val="20"/>
              </w:rPr>
              <w:tab/>
            </w:r>
            <w:r w:rsidRPr="006254EA">
              <w:rPr>
                <w:snapToGrid w:val="0"/>
                <w:sz w:val="20"/>
                <w:szCs w:val="20"/>
              </w:rPr>
              <w:tab/>
              <w:t>31,348</w:t>
            </w:r>
          </w:p>
        </w:tc>
      </w:tr>
      <w:tr w:rsidR="006254EA" w:rsidRPr="006254EA" w14:paraId="7334052E" w14:textId="77777777" w:rsidTr="007C1C5C">
        <w:trPr>
          <w:trHeight w:val="276"/>
        </w:trPr>
        <w:tc>
          <w:tcPr>
            <w:tcW w:w="237" w:type="dxa"/>
          </w:tcPr>
          <w:p w14:paraId="6953AD35" w14:textId="77777777" w:rsidR="006254EA" w:rsidRPr="006254EA" w:rsidRDefault="006254EA" w:rsidP="006254EA">
            <w:pPr>
              <w:widowControl w:val="0"/>
              <w:autoSpaceDE w:val="0"/>
              <w:autoSpaceDN w:val="0"/>
              <w:adjustRightInd w:val="0"/>
              <w:jc w:val="right"/>
              <w:rPr>
                <w:snapToGrid w:val="0"/>
                <w:sz w:val="20"/>
                <w:szCs w:val="20"/>
              </w:rPr>
            </w:pPr>
          </w:p>
        </w:tc>
        <w:tc>
          <w:tcPr>
            <w:tcW w:w="4383" w:type="dxa"/>
            <w:gridSpan w:val="2"/>
          </w:tcPr>
          <w:p w14:paraId="4A28B8FF" w14:textId="77777777" w:rsidR="006254EA" w:rsidRPr="006254EA" w:rsidRDefault="006254EA" w:rsidP="006254EA">
            <w:pPr>
              <w:widowControl w:val="0"/>
              <w:autoSpaceDE w:val="0"/>
              <w:autoSpaceDN w:val="0"/>
              <w:adjustRightInd w:val="0"/>
              <w:rPr>
                <w:snapToGrid w:val="0"/>
                <w:sz w:val="20"/>
                <w:szCs w:val="20"/>
              </w:rPr>
            </w:pPr>
          </w:p>
        </w:tc>
        <w:tc>
          <w:tcPr>
            <w:tcW w:w="478" w:type="dxa"/>
          </w:tcPr>
          <w:p w14:paraId="174DFA50"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25888337"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011E98A5"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0DD2A63F"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65406A1F" w14:textId="77777777" w:rsidR="006254EA" w:rsidRPr="006254EA" w:rsidRDefault="006254EA" w:rsidP="006254EA">
            <w:pPr>
              <w:widowControl w:val="0"/>
              <w:autoSpaceDE w:val="0"/>
              <w:autoSpaceDN w:val="0"/>
              <w:adjustRightInd w:val="0"/>
              <w:jc w:val="right"/>
              <w:rPr>
                <w:snapToGrid w:val="0"/>
                <w:sz w:val="20"/>
                <w:szCs w:val="20"/>
              </w:rPr>
            </w:pPr>
          </w:p>
        </w:tc>
      </w:tr>
      <w:tr w:rsidR="006254EA" w:rsidRPr="006254EA" w14:paraId="18648A4B" w14:textId="77777777" w:rsidTr="007C1C5C">
        <w:trPr>
          <w:trHeight w:val="276"/>
        </w:trPr>
        <w:tc>
          <w:tcPr>
            <w:tcW w:w="237" w:type="dxa"/>
          </w:tcPr>
          <w:p w14:paraId="2DB7BD08" w14:textId="77777777" w:rsidR="006254EA" w:rsidRPr="006254EA" w:rsidRDefault="006254EA" w:rsidP="006254EA">
            <w:pPr>
              <w:widowControl w:val="0"/>
              <w:autoSpaceDE w:val="0"/>
              <w:autoSpaceDN w:val="0"/>
              <w:adjustRightInd w:val="0"/>
              <w:jc w:val="right"/>
              <w:rPr>
                <w:snapToGrid w:val="0"/>
                <w:sz w:val="20"/>
                <w:szCs w:val="20"/>
              </w:rPr>
            </w:pPr>
          </w:p>
        </w:tc>
        <w:tc>
          <w:tcPr>
            <w:tcW w:w="4383" w:type="dxa"/>
            <w:gridSpan w:val="2"/>
          </w:tcPr>
          <w:p w14:paraId="7CDBB78A" w14:textId="77777777" w:rsidR="006254EA" w:rsidRPr="006254EA" w:rsidRDefault="006254EA" w:rsidP="006254EA">
            <w:pPr>
              <w:widowControl w:val="0"/>
              <w:autoSpaceDE w:val="0"/>
              <w:autoSpaceDN w:val="0"/>
              <w:adjustRightInd w:val="0"/>
              <w:rPr>
                <w:snapToGrid w:val="0"/>
                <w:sz w:val="20"/>
                <w:szCs w:val="20"/>
              </w:rPr>
            </w:pPr>
            <w:r w:rsidRPr="006254EA">
              <w:rPr>
                <w:snapToGrid w:val="0"/>
                <w:sz w:val="20"/>
                <w:szCs w:val="20"/>
              </w:rPr>
              <w:t>Common shares outstanding</w:t>
            </w:r>
          </w:p>
        </w:tc>
        <w:tc>
          <w:tcPr>
            <w:tcW w:w="478" w:type="dxa"/>
          </w:tcPr>
          <w:p w14:paraId="141D2EF5"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3E9F305D"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7C0F44EF" w14:textId="77777777" w:rsidR="006254EA" w:rsidRPr="006254EA" w:rsidRDefault="006254EA" w:rsidP="006254EA">
            <w:pPr>
              <w:widowControl w:val="0"/>
              <w:autoSpaceDE w:val="0"/>
              <w:autoSpaceDN w:val="0"/>
              <w:adjustRightInd w:val="0"/>
              <w:jc w:val="right"/>
              <w:rPr>
                <w:snapToGrid w:val="0"/>
                <w:sz w:val="20"/>
                <w:szCs w:val="20"/>
              </w:rPr>
            </w:pPr>
          </w:p>
        </w:tc>
        <w:tc>
          <w:tcPr>
            <w:tcW w:w="1208" w:type="dxa"/>
          </w:tcPr>
          <w:p w14:paraId="70D48D44" w14:textId="77777777" w:rsidR="006254EA" w:rsidRPr="006254EA" w:rsidRDefault="006254EA" w:rsidP="006254EA">
            <w:pPr>
              <w:widowControl w:val="0"/>
              <w:tabs>
                <w:tab w:val="left" w:pos="150"/>
                <w:tab w:val="decimal" w:pos="960"/>
              </w:tabs>
              <w:autoSpaceDE w:val="0"/>
              <w:autoSpaceDN w:val="0"/>
              <w:adjustRightInd w:val="0"/>
              <w:rPr>
                <w:snapToGrid w:val="0"/>
                <w:sz w:val="20"/>
                <w:szCs w:val="20"/>
              </w:rPr>
            </w:pPr>
            <w:r w:rsidRPr="006254EA">
              <w:rPr>
                <w:snapToGrid w:val="0"/>
                <w:sz w:val="20"/>
                <w:szCs w:val="20"/>
              </w:rPr>
              <w:tab/>
            </w:r>
            <w:r w:rsidRPr="006254EA">
              <w:rPr>
                <w:snapToGrid w:val="0"/>
                <w:sz w:val="20"/>
                <w:szCs w:val="20"/>
              </w:rPr>
              <w:tab/>
              <w:t>26,443,649</w:t>
            </w:r>
          </w:p>
        </w:tc>
        <w:tc>
          <w:tcPr>
            <w:tcW w:w="1208" w:type="dxa"/>
          </w:tcPr>
          <w:p w14:paraId="253C6111" w14:textId="77777777" w:rsidR="006254EA" w:rsidRPr="006254EA" w:rsidRDefault="006254EA" w:rsidP="006254EA">
            <w:pPr>
              <w:widowControl w:val="0"/>
              <w:tabs>
                <w:tab w:val="left" w:pos="165"/>
                <w:tab w:val="decimal" w:pos="1005"/>
              </w:tabs>
              <w:autoSpaceDE w:val="0"/>
              <w:autoSpaceDN w:val="0"/>
              <w:adjustRightInd w:val="0"/>
              <w:rPr>
                <w:snapToGrid w:val="0"/>
                <w:sz w:val="20"/>
                <w:szCs w:val="20"/>
              </w:rPr>
            </w:pPr>
            <w:r w:rsidRPr="006254EA">
              <w:rPr>
                <w:snapToGrid w:val="0"/>
                <w:sz w:val="20"/>
                <w:szCs w:val="20"/>
              </w:rPr>
              <w:tab/>
            </w:r>
            <w:r w:rsidRPr="006254EA">
              <w:rPr>
                <w:snapToGrid w:val="0"/>
                <w:sz w:val="20"/>
                <w:szCs w:val="20"/>
              </w:rPr>
              <w:tab/>
              <w:t>26,334,953</w:t>
            </w:r>
          </w:p>
        </w:tc>
      </w:tr>
    </w:tbl>
    <w:p w14:paraId="641A0CCD" w14:textId="77777777" w:rsidR="006254EA" w:rsidRPr="006254EA" w:rsidRDefault="006254EA" w:rsidP="006254EA">
      <w:pPr>
        <w:widowControl w:val="0"/>
        <w:autoSpaceDE w:val="0"/>
        <w:autoSpaceDN w:val="0"/>
        <w:adjustRightInd w:val="0"/>
        <w:jc w:val="both"/>
        <w:rPr>
          <w:sz w:val="20"/>
          <w:szCs w:val="20"/>
        </w:rPr>
      </w:pPr>
    </w:p>
    <w:p w14:paraId="5669FF18" w14:textId="77777777" w:rsidR="006254EA" w:rsidRPr="006254EA" w:rsidRDefault="006254EA" w:rsidP="006254EA">
      <w:pPr>
        <w:widowControl w:val="0"/>
        <w:autoSpaceDE w:val="0"/>
        <w:autoSpaceDN w:val="0"/>
        <w:adjustRightInd w:val="0"/>
        <w:jc w:val="both"/>
        <w:rPr>
          <w:sz w:val="20"/>
          <w:szCs w:val="20"/>
        </w:rPr>
      </w:pPr>
    </w:p>
    <w:p w14:paraId="3B6C27C4" w14:textId="77777777" w:rsidR="006254EA" w:rsidRPr="006254EA" w:rsidRDefault="006254EA" w:rsidP="006254EA">
      <w:pPr>
        <w:widowControl w:val="0"/>
        <w:autoSpaceDE w:val="0"/>
        <w:autoSpaceDN w:val="0"/>
        <w:adjustRightInd w:val="0"/>
        <w:jc w:val="both"/>
        <w:rPr>
          <w:sz w:val="22"/>
          <w:szCs w:val="22"/>
        </w:rPr>
      </w:pPr>
    </w:p>
    <w:p w14:paraId="3F3E6132" w14:textId="77777777" w:rsidR="006254EA" w:rsidRPr="006254EA" w:rsidRDefault="006254EA" w:rsidP="006254EA">
      <w:pPr>
        <w:widowControl w:val="0"/>
        <w:autoSpaceDE w:val="0"/>
        <w:autoSpaceDN w:val="0"/>
        <w:adjustRightInd w:val="0"/>
        <w:jc w:val="both"/>
        <w:rPr>
          <w:sz w:val="20"/>
          <w:szCs w:val="20"/>
        </w:rPr>
      </w:pPr>
    </w:p>
    <w:p w14:paraId="2B519A86" w14:textId="578F510D" w:rsidR="004B3179" w:rsidRPr="008D7E3A" w:rsidRDefault="004B3179" w:rsidP="008D7E3A"/>
    <w:sectPr w:rsidR="004B3179" w:rsidRPr="008D7E3A" w:rsidSect="00F9336E">
      <w:headerReference w:type="first" r:id="rId20"/>
      <w:footerReference w:type="first" r:id="rId21"/>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132B" w14:textId="77777777" w:rsidR="003A4BB3" w:rsidRDefault="003A4BB3" w:rsidP="004422FB">
      <w:r>
        <w:separator/>
      </w:r>
    </w:p>
  </w:endnote>
  <w:endnote w:type="continuationSeparator" w:id="0">
    <w:p w14:paraId="0A0EFE67" w14:textId="77777777" w:rsidR="003A4BB3" w:rsidRDefault="003A4BB3"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C279" w14:textId="77777777" w:rsidR="006254EA" w:rsidRPr="00AA6838" w:rsidRDefault="006254EA"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C279" w14:textId="77777777" w:rsidR="006254EA" w:rsidRPr="00AA6838" w:rsidRDefault="006254EA"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101B" w14:textId="77777777" w:rsidR="00E12F34" w:rsidRDefault="00E12F34"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2CB7" w14:textId="77777777" w:rsidR="003A4BB3" w:rsidRDefault="003A4BB3" w:rsidP="004422FB">
      <w:r>
        <w:separator/>
      </w:r>
    </w:p>
  </w:footnote>
  <w:footnote w:type="continuationSeparator" w:id="0">
    <w:p w14:paraId="75DAADD4" w14:textId="77777777" w:rsidR="003A4BB3" w:rsidRDefault="003A4BB3"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C279" w14:textId="77777777" w:rsidR="006254EA" w:rsidRDefault="006254EA">
    <w:pPr>
      <w:pStyle w:val="Header"/>
    </w:pPr>
    <w:r w:rsidRPr="004F39CB">
      <w:rPr>
        <w:noProof/>
      </w:rPr>
      <w:drawing>
        <wp:inline distT="0" distB="0" distL="0" distR="0" wp14:anchorId="6F1A1C3A" wp14:editId="57B9DB07">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0669" w14:textId="77777777" w:rsidR="00E12F34" w:rsidRPr="00472920" w:rsidRDefault="00E12F34"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6B59"/>
    <w:multiLevelType w:val="hybridMultilevel"/>
    <w:tmpl w:val="2C72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D48BB"/>
    <w:multiLevelType w:val="hybridMultilevel"/>
    <w:tmpl w:val="627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977875">
    <w:abstractNumId w:val="2"/>
  </w:num>
  <w:num w:numId="2" w16cid:durableId="1845196331">
    <w:abstractNumId w:val="3"/>
  </w:num>
  <w:num w:numId="3" w16cid:durableId="1138835953">
    <w:abstractNumId w:val="1"/>
  </w:num>
  <w:num w:numId="4" w16cid:durableId="193901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6511"/>
    <w:rsid w:val="000E6508"/>
    <w:rsid w:val="00134BBC"/>
    <w:rsid w:val="00144D4F"/>
    <w:rsid w:val="00153CF3"/>
    <w:rsid w:val="00172B54"/>
    <w:rsid w:val="00186A50"/>
    <w:rsid w:val="001A687F"/>
    <w:rsid w:val="001D3520"/>
    <w:rsid w:val="002049D0"/>
    <w:rsid w:val="00220F69"/>
    <w:rsid w:val="00241DEF"/>
    <w:rsid w:val="00246139"/>
    <w:rsid w:val="00277674"/>
    <w:rsid w:val="00296BF7"/>
    <w:rsid w:val="002E7A44"/>
    <w:rsid w:val="002F020C"/>
    <w:rsid w:val="002F47BC"/>
    <w:rsid w:val="00304DE8"/>
    <w:rsid w:val="0036369E"/>
    <w:rsid w:val="003643C1"/>
    <w:rsid w:val="00376DEC"/>
    <w:rsid w:val="0038612B"/>
    <w:rsid w:val="003A4BB3"/>
    <w:rsid w:val="003B3474"/>
    <w:rsid w:val="003B670F"/>
    <w:rsid w:val="003F3DEB"/>
    <w:rsid w:val="00401F33"/>
    <w:rsid w:val="00404B0F"/>
    <w:rsid w:val="00414E31"/>
    <w:rsid w:val="004422FB"/>
    <w:rsid w:val="004433D8"/>
    <w:rsid w:val="004562CE"/>
    <w:rsid w:val="004641B9"/>
    <w:rsid w:val="00494777"/>
    <w:rsid w:val="004B3179"/>
    <w:rsid w:val="004C2859"/>
    <w:rsid w:val="004D4E0A"/>
    <w:rsid w:val="004F383B"/>
    <w:rsid w:val="00516CAC"/>
    <w:rsid w:val="00552D47"/>
    <w:rsid w:val="00583D37"/>
    <w:rsid w:val="005A1F60"/>
    <w:rsid w:val="006131D7"/>
    <w:rsid w:val="006254EA"/>
    <w:rsid w:val="00652DCC"/>
    <w:rsid w:val="00677F25"/>
    <w:rsid w:val="00691E45"/>
    <w:rsid w:val="006959EC"/>
    <w:rsid w:val="006A30B4"/>
    <w:rsid w:val="006B4011"/>
    <w:rsid w:val="006C4831"/>
    <w:rsid w:val="006E7AA3"/>
    <w:rsid w:val="007150B5"/>
    <w:rsid w:val="00716A75"/>
    <w:rsid w:val="00734084"/>
    <w:rsid w:val="00766EB9"/>
    <w:rsid w:val="0079268C"/>
    <w:rsid w:val="007B1C14"/>
    <w:rsid w:val="007B5113"/>
    <w:rsid w:val="007C095B"/>
    <w:rsid w:val="007E3D57"/>
    <w:rsid w:val="00833F99"/>
    <w:rsid w:val="00846F5B"/>
    <w:rsid w:val="0089446A"/>
    <w:rsid w:val="008A3A73"/>
    <w:rsid w:val="008A45B8"/>
    <w:rsid w:val="008A5F28"/>
    <w:rsid w:val="008B7616"/>
    <w:rsid w:val="008D7E3A"/>
    <w:rsid w:val="008E4E77"/>
    <w:rsid w:val="00903941"/>
    <w:rsid w:val="00922B4A"/>
    <w:rsid w:val="00922FCF"/>
    <w:rsid w:val="0095070C"/>
    <w:rsid w:val="00995863"/>
    <w:rsid w:val="009B15B2"/>
    <w:rsid w:val="009F16FD"/>
    <w:rsid w:val="009F32C7"/>
    <w:rsid w:val="009F7B30"/>
    <w:rsid w:val="00A213F5"/>
    <w:rsid w:val="00A30573"/>
    <w:rsid w:val="00A7343F"/>
    <w:rsid w:val="00A7489D"/>
    <w:rsid w:val="00A7711D"/>
    <w:rsid w:val="00AA2DDC"/>
    <w:rsid w:val="00AA3D35"/>
    <w:rsid w:val="00AC4D41"/>
    <w:rsid w:val="00B02C57"/>
    <w:rsid w:val="00B2632B"/>
    <w:rsid w:val="00B44E7B"/>
    <w:rsid w:val="00B4616E"/>
    <w:rsid w:val="00B4673C"/>
    <w:rsid w:val="00B51502"/>
    <w:rsid w:val="00B61191"/>
    <w:rsid w:val="00B66B45"/>
    <w:rsid w:val="00BB7014"/>
    <w:rsid w:val="00BC0F2B"/>
    <w:rsid w:val="00BC6263"/>
    <w:rsid w:val="00BC6551"/>
    <w:rsid w:val="00BF415F"/>
    <w:rsid w:val="00C36B57"/>
    <w:rsid w:val="00C528BC"/>
    <w:rsid w:val="00C53991"/>
    <w:rsid w:val="00C77462"/>
    <w:rsid w:val="00C815CE"/>
    <w:rsid w:val="00C936D4"/>
    <w:rsid w:val="00CB1EAA"/>
    <w:rsid w:val="00CB3D5C"/>
    <w:rsid w:val="00CC52F4"/>
    <w:rsid w:val="00CD55C2"/>
    <w:rsid w:val="00CE3919"/>
    <w:rsid w:val="00CE3B4D"/>
    <w:rsid w:val="00D03053"/>
    <w:rsid w:val="00D128D7"/>
    <w:rsid w:val="00D17971"/>
    <w:rsid w:val="00D46FAD"/>
    <w:rsid w:val="00D60567"/>
    <w:rsid w:val="00D74319"/>
    <w:rsid w:val="00D95C48"/>
    <w:rsid w:val="00DE728B"/>
    <w:rsid w:val="00E115D3"/>
    <w:rsid w:val="00E12F34"/>
    <w:rsid w:val="00E633E7"/>
    <w:rsid w:val="00EB5CF9"/>
    <w:rsid w:val="00EC3F8A"/>
    <w:rsid w:val="00F073F4"/>
    <w:rsid w:val="00F100FC"/>
    <w:rsid w:val="00F13A9C"/>
    <w:rsid w:val="00F228DB"/>
    <w:rsid w:val="00F27385"/>
    <w:rsid w:val="00F404C4"/>
    <w:rsid w:val="00F470EC"/>
    <w:rsid w:val="00F53643"/>
    <w:rsid w:val="00F65C64"/>
    <w:rsid w:val="00F737D0"/>
    <w:rsid w:val="00F958BB"/>
    <w:rsid w:val="00FD1599"/>
    <w:rsid w:val="00FD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995863"/>
    <w:rPr>
      <w:sz w:val="24"/>
      <w:szCs w:val="24"/>
    </w:rPr>
  </w:style>
  <w:style w:type="character" w:styleId="UnresolvedMention">
    <w:name w:val="Unresolved Mention"/>
    <w:basedOn w:val="DefaultParagraphFont"/>
    <w:uiPriority w:val="99"/>
    <w:semiHidden/>
    <w:unhideWhenUsed/>
    <w:rsid w:val="001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sights.bio/vaccine-insights/journal/article/2868/MVA-vectored-universal-beta-coronavirus-vaccine-design-develop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clinicaltrials.gov/ct2/show/NCT04977024?term=COH04S1&amp;draw=2&amp;rank=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ovx@cg.capi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vax.com/images/pdf/AACR_Poster_FINAL.pdf" TargetMode="External"/><Relationship Id="rId5" Type="http://schemas.openxmlformats.org/officeDocument/2006/relationships/webSettings" Target="webSettings.xml"/><Relationship Id="rId15" Type="http://schemas.openxmlformats.org/officeDocument/2006/relationships/hyperlink" Target="https://edge.media-server.com/mmc/p/ihxwnnag" TargetMode="External"/><Relationship Id="rId23" Type="http://schemas.openxmlformats.org/officeDocument/2006/relationships/theme" Target="theme/theme1.xml"/><Relationship Id="rId10" Type="http://schemas.openxmlformats.org/officeDocument/2006/relationships/hyperlink" Target="https://beta.clinicaltrials.gov/study/NCT03754933?distance=50&amp;cond=NCT03754933&amp;rank=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lassic.clinicaltrials.gov/ct2/show/NCT05672355" TargetMode="External"/><Relationship Id="rId14" Type="http://schemas.openxmlformats.org/officeDocument/2006/relationships/hyperlink" Target="https://www.cityofhope.org/homepag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3</cp:revision>
  <cp:lastPrinted>2022-05-03T12:55:00Z</cp:lastPrinted>
  <dcterms:created xsi:type="dcterms:W3CDTF">2023-08-09T16:54:00Z</dcterms:created>
  <dcterms:modified xsi:type="dcterms:W3CDTF">2023-08-09T16:55:00Z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