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FE3123"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218C2877" w:rsidR="008D7E3A" w:rsidRDefault="008D7E3A" w:rsidP="008D7E3A">
      <w:pPr>
        <w:ind w:left="144" w:right="144"/>
        <w:jc w:val="center"/>
        <w:rPr>
          <w:sz w:val="20"/>
          <w:szCs w:val="20"/>
        </w:rPr>
      </w:pPr>
      <w:r>
        <w:rPr>
          <w:b/>
          <w:bCs/>
          <w:sz w:val="20"/>
          <w:szCs w:val="20"/>
        </w:rPr>
        <w:t>Date of report (Date of earliest event reported):  </w:t>
      </w:r>
      <w:r w:rsidR="005A5B22">
        <w:rPr>
          <w:b/>
          <w:bCs/>
          <w:sz w:val="20"/>
          <w:szCs w:val="20"/>
        </w:rPr>
        <w:t>May</w:t>
      </w:r>
      <w:r w:rsidR="004D4E0A">
        <w:rPr>
          <w:b/>
          <w:bCs/>
          <w:sz w:val="20"/>
          <w:szCs w:val="20"/>
        </w:rPr>
        <w:t xml:space="preserve"> </w:t>
      </w:r>
      <w:r w:rsidR="005A5B22">
        <w:rPr>
          <w:b/>
          <w:bCs/>
          <w:sz w:val="20"/>
          <w:szCs w:val="20"/>
        </w:rPr>
        <w:t>14</w:t>
      </w:r>
      <w:r>
        <w:rPr>
          <w:b/>
          <w:bCs/>
          <w:sz w:val="20"/>
          <w:szCs w:val="20"/>
        </w:rPr>
        <w:t>, 202</w:t>
      </w:r>
      <w:r w:rsidR="005A5B22">
        <w:rPr>
          <w:b/>
          <w:bCs/>
          <w:sz w:val="20"/>
          <w:szCs w:val="20"/>
        </w:rPr>
        <w:t>4</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FE3123"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 xml:space="preserve">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423107CA" w:rsidR="003F3DEB" w:rsidRDefault="003F3DEB" w:rsidP="003F3DEB">
      <w:pPr>
        <w:ind w:left="144" w:right="144"/>
        <w:jc w:val="both"/>
        <w:rPr>
          <w:sz w:val="20"/>
          <w:szCs w:val="20"/>
        </w:rPr>
      </w:pPr>
      <w:r>
        <w:rPr>
          <w:bCs/>
          <w:sz w:val="20"/>
          <w:szCs w:val="20"/>
        </w:rPr>
        <w:t xml:space="preserve">On </w:t>
      </w:r>
      <w:r w:rsidR="005A5B22">
        <w:rPr>
          <w:bCs/>
          <w:sz w:val="20"/>
          <w:szCs w:val="20"/>
        </w:rPr>
        <w:t>May</w:t>
      </w:r>
      <w:r>
        <w:rPr>
          <w:bCs/>
          <w:sz w:val="20"/>
          <w:szCs w:val="20"/>
        </w:rPr>
        <w:t xml:space="preserve"> </w:t>
      </w:r>
      <w:r w:rsidR="005A5B22">
        <w:rPr>
          <w:bCs/>
          <w:sz w:val="20"/>
          <w:szCs w:val="20"/>
        </w:rPr>
        <w:t>14</w:t>
      </w:r>
      <w:r>
        <w:rPr>
          <w:bCs/>
          <w:sz w:val="20"/>
          <w:szCs w:val="20"/>
        </w:rPr>
        <w:t>, 202</w:t>
      </w:r>
      <w:r w:rsidR="005A5B22">
        <w:rPr>
          <w:bCs/>
          <w:sz w:val="20"/>
          <w:szCs w:val="20"/>
        </w:rPr>
        <w:t>4</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516CAC">
        <w:rPr>
          <w:bCs/>
          <w:sz w:val="20"/>
          <w:szCs w:val="20"/>
        </w:rPr>
        <w:t>quarter</w:t>
      </w:r>
      <w:r>
        <w:rPr>
          <w:bCs/>
          <w:sz w:val="20"/>
          <w:szCs w:val="20"/>
        </w:rPr>
        <w:t xml:space="preserve"> ended </w:t>
      </w:r>
      <w:r w:rsidR="005A5B22">
        <w:rPr>
          <w:bCs/>
          <w:sz w:val="20"/>
          <w:szCs w:val="20"/>
        </w:rPr>
        <w:t>March</w:t>
      </w:r>
      <w:r w:rsidR="00F470EC">
        <w:rPr>
          <w:bCs/>
          <w:sz w:val="20"/>
          <w:szCs w:val="20"/>
        </w:rPr>
        <w:t xml:space="preserve"> 3</w:t>
      </w:r>
      <w:r w:rsidR="005A5B22">
        <w:rPr>
          <w:bCs/>
          <w:sz w:val="20"/>
          <w:szCs w:val="20"/>
        </w:rPr>
        <w:t>1,</w:t>
      </w:r>
      <w:r>
        <w:rPr>
          <w:bCs/>
          <w:sz w:val="20"/>
          <w:szCs w:val="20"/>
        </w:rPr>
        <w:t xml:space="preserve"> 202</w:t>
      </w:r>
      <w:r w:rsidR="005A5B22">
        <w:rPr>
          <w:bCs/>
          <w:sz w:val="20"/>
          <w:szCs w:val="20"/>
        </w:rPr>
        <w:t>4</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158AFC9E" w:rsidR="008D7E3A" w:rsidRDefault="00EC3F8A" w:rsidP="00EC3F8A">
            <w:pPr>
              <w:rPr>
                <w:sz w:val="20"/>
                <w:szCs w:val="20"/>
              </w:rPr>
            </w:pPr>
            <w:r w:rsidRPr="00B02C57">
              <w:rPr>
                <w:bCs/>
                <w:sz w:val="20"/>
                <w:szCs w:val="20"/>
              </w:rPr>
              <w:t xml:space="preserve">Press Release dated </w:t>
            </w:r>
            <w:r w:rsidR="005A5B22">
              <w:rPr>
                <w:bCs/>
                <w:sz w:val="20"/>
                <w:szCs w:val="20"/>
              </w:rPr>
              <w:t>May</w:t>
            </w:r>
            <w:r w:rsidR="00B02C57" w:rsidRPr="00B02C57">
              <w:rPr>
                <w:bCs/>
                <w:sz w:val="20"/>
                <w:szCs w:val="20"/>
              </w:rPr>
              <w:t xml:space="preserve"> </w:t>
            </w:r>
            <w:r w:rsidR="005A5B22">
              <w:rPr>
                <w:bCs/>
                <w:sz w:val="20"/>
                <w:szCs w:val="20"/>
              </w:rPr>
              <w:t>14</w:t>
            </w:r>
            <w:r w:rsidRPr="00B02C57">
              <w:rPr>
                <w:bCs/>
                <w:sz w:val="20"/>
                <w:szCs w:val="20"/>
              </w:rPr>
              <w:t>, 202</w:t>
            </w:r>
            <w:r w:rsidR="005A5B22">
              <w:rPr>
                <w:bCs/>
                <w:sz w:val="20"/>
                <w:szCs w:val="20"/>
              </w:rPr>
              <w:t>4</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0A92E432" w:rsidR="008D7E3A" w:rsidRDefault="008D7E3A" w:rsidP="008D7E3A">
      <w:pPr>
        <w:ind w:left="144" w:right="144"/>
        <w:rPr>
          <w:sz w:val="20"/>
          <w:szCs w:val="20"/>
        </w:rPr>
      </w:pPr>
      <w:r>
        <w:rPr>
          <w:sz w:val="20"/>
          <w:szCs w:val="20"/>
        </w:rPr>
        <w:t xml:space="preserve">Date: </w:t>
      </w:r>
      <w:r w:rsidR="005A5B22">
        <w:rPr>
          <w:sz w:val="20"/>
          <w:szCs w:val="20"/>
        </w:rPr>
        <w:t>May</w:t>
      </w:r>
      <w:r w:rsidR="004D4E0A">
        <w:rPr>
          <w:sz w:val="20"/>
          <w:szCs w:val="20"/>
        </w:rPr>
        <w:t xml:space="preserve"> </w:t>
      </w:r>
      <w:r w:rsidR="005A5B22">
        <w:rPr>
          <w:sz w:val="20"/>
          <w:szCs w:val="20"/>
        </w:rPr>
        <w:t>15</w:t>
      </w:r>
      <w:r>
        <w:rPr>
          <w:sz w:val="20"/>
          <w:szCs w:val="20"/>
        </w:rPr>
        <w:t>, 202</w:t>
      </w:r>
      <w:r w:rsidR="005A5B22">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62A9352B" w14:textId="77777777" w:rsidR="00FE3123" w:rsidRDefault="00FE3123" w:rsidP="008D7E3A">
      <w:pPr>
        <w:sectPr w:rsidR="00FE3123">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pPr>
    </w:p>
    <w:p w14:paraId="6C42A167" w14:textId="231D2F74" w:rsidR="00FE3123" w:rsidRPr="00AB38A1" w:rsidRDefault="00FE3123" w:rsidP="00FE3123">
      <w:pPr>
        <w:rPr>
          <w:b/>
        </w:rPr>
      </w:pPr>
      <w:r>
        <w:rPr>
          <w:noProof/>
        </w:rPr>
        <w:lastRenderedPageBreak/>
        <mc:AlternateContent>
          <mc:Choice Requires="wps">
            <w:drawing>
              <wp:anchor distT="45720" distB="45720" distL="114300" distR="114300" simplePos="0" relativeHeight="251659264" behindDoc="1" locked="0" layoutInCell="1" allowOverlap="1" wp14:anchorId="31B23AE6" wp14:editId="1074B7B1">
                <wp:simplePos x="0" y="0"/>
                <wp:positionH relativeFrom="column">
                  <wp:posOffset>3476625</wp:posOffset>
                </wp:positionH>
                <wp:positionV relativeFrom="paragraph">
                  <wp:posOffset>-248920</wp:posOffset>
                </wp:positionV>
                <wp:extent cx="2360930" cy="140462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7AD3D4" w14:textId="77777777" w:rsidR="00FE3123" w:rsidRPr="00FE3123" w:rsidRDefault="00FE3123" w:rsidP="00FE3123">
                            <w:pPr>
                              <w:jc w:val="right"/>
                              <w:rPr>
                                <w:b/>
                                <w:bCs/>
                                <w14:textOutline w14:w="9525" w14:cap="rnd" w14:cmpd="sng" w14:algn="ctr">
                                  <w14:noFill/>
                                  <w14:prstDash w14:val="solid"/>
                                  <w14:bevel/>
                                </w14:textOutline>
                              </w:rPr>
                            </w:pPr>
                            <w:r w:rsidRPr="00FE3123">
                              <w:rPr>
                                <w:b/>
                                <w:bCs/>
                                <w14:textOutline w14:w="9525" w14:cap="rnd" w14:cmpd="sng" w14:algn="ctr">
                                  <w14:noFill/>
                                  <w14:prstDash w14:val="solid"/>
                                  <w14:bevel/>
                                </w14:textOutline>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B23AE6" id="_x0000_t202" coordsize="21600,21600" o:spt="202" path="m,l,21600r21600,l21600,xe">
                <v:stroke joinstyle="miter"/>
                <v:path gradientshapeok="t" o:connecttype="rect"/>
              </v:shapetype>
              <v:shape id="Text Box 2" o:spid="_x0000_s1026" type="#_x0000_t202" style="position:absolute;margin-left:273.75pt;margin-top:-19.6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" stroked="f">
                <v:textbox style="mso-fit-shape-to-text:t">
                  <w:txbxContent>
                    <w:p w14:paraId="207AD3D4" w14:textId="77777777" w:rsidR="00FE3123" w:rsidRPr="00FE3123" w:rsidRDefault="00FE3123" w:rsidP="00FE3123">
                      <w:pPr>
                        <w:jc w:val="right"/>
                        <w:rPr>
                          <w:b/>
                          <w:bCs/>
                          <w14:textOutline w14:w="9525" w14:cap="rnd" w14:cmpd="sng" w14:algn="ctr">
                            <w14:noFill/>
                            <w14:prstDash w14:val="solid"/>
                            <w14:bevel/>
                          </w14:textOutline>
                        </w:rPr>
                      </w:pPr>
                      <w:r w:rsidRPr="00FE3123">
                        <w:rPr>
                          <w:b/>
                          <w:bCs/>
                          <w14:textOutline w14:w="9525" w14:cap="rnd" w14:cmpd="sng" w14:algn="ctr">
                            <w14:noFill/>
                            <w14:prstDash w14:val="solid"/>
                            <w14:bevel/>
                          </w14:textOutline>
                        </w:rPr>
                        <w:t>Exhibit 99.1</w:t>
                      </w:r>
                    </w:p>
                  </w:txbxContent>
                </v:textbox>
              </v:shape>
            </w:pict>
          </mc:Fallback>
        </mc:AlternateContent>
      </w:r>
    </w:p>
    <w:p w14:paraId="5336E1C1" w14:textId="77777777" w:rsidR="00FE3123" w:rsidRPr="00EA3221" w:rsidRDefault="00FE3123" w:rsidP="00FE3123">
      <w:pPr>
        <w:jc w:val="center"/>
        <w:rPr>
          <w:b/>
          <w:bCs/>
          <w:color w:val="000000" w:themeColor="text1"/>
          <w:sz w:val="40"/>
          <w:szCs w:val="40"/>
        </w:rPr>
      </w:pPr>
      <w:r w:rsidRPr="00EA3221">
        <w:rPr>
          <w:b/>
          <w:bCs/>
          <w:color w:val="000000" w:themeColor="text1"/>
          <w:sz w:val="40"/>
          <w:szCs w:val="40"/>
        </w:rPr>
        <w:t>GeoVax Reports First Quarter 2024 Financial Results</w:t>
      </w:r>
    </w:p>
    <w:p w14:paraId="7B7F9455" w14:textId="77777777" w:rsidR="00FE3123" w:rsidRPr="00EA3221" w:rsidRDefault="00FE3123" w:rsidP="00FE3123">
      <w:pPr>
        <w:jc w:val="center"/>
        <w:rPr>
          <w:b/>
          <w:bCs/>
          <w:color w:val="000000" w:themeColor="text1"/>
          <w:sz w:val="40"/>
          <w:szCs w:val="40"/>
        </w:rPr>
      </w:pPr>
      <w:r w:rsidRPr="00EA3221">
        <w:rPr>
          <w:b/>
          <w:bCs/>
          <w:color w:val="000000" w:themeColor="text1"/>
          <w:sz w:val="40"/>
          <w:szCs w:val="40"/>
        </w:rPr>
        <w:t>and Provides Business Update</w:t>
      </w:r>
    </w:p>
    <w:p w14:paraId="686A7E4F" w14:textId="77777777" w:rsidR="00FE3123" w:rsidRPr="00EA3221" w:rsidRDefault="00FE3123" w:rsidP="00FE3123">
      <w:pPr>
        <w:rPr>
          <w:i/>
          <w:iCs/>
          <w:color w:val="000000" w:themeColor="text1"/>
          <w:sz w:val="22"/>
          <w:szCs w:val="22"/>
        </w:rPr>
      </w:pPr>
    </w:p>
    <w:p w14:paraId="587C793C" w14:textId="77777777" w:rsidR="00FE3123" w:rsidRPr="00EA3221" w:rsidRDefault="00FE3123" w:rsidP="00FE3123">
      <w:pPr>
        <w:jc w:val="center"/>
        <w:rPr>
          <w:i/>
          <w:iCs/>
          <w:color w:val="000000" w:themeColor="text1"/>
          <w:sz w:val="22"/>
          <w:szCs w:val="22"/>
        </w:rPr>
      </w:pPr>
      <w:r w:rsidRPr="00EA3221">
        <w:rPr>
          <w:i/>
          <w:iCs/>
          <w:color w:val="000000" w:themeColor="text1"/>
          <w:sz w:val="22"/>
          <w:szCs w:val="22"/>
        </w:rPr>
        <w:t>Presented data on GEO-CM04S1 at World Vaccine Congress, delineating the unique immune system driven mechanisms that contribute to the broad efficacy of the vaccine candidate</w:t>
      </w:r>
    </w:p>
    <w:p w14:paraId="3A43D926" w14:textId="77777777" w:rsidR="00FE3123" w:rsidRPr="00EA3221" w:rsidRDefault="00FE3123" w:rsidP="00FE3123">
      <w:pPr>
        <w:jc w:val="center"/>
        <w:rPr>
          <w:i/>
          <w:iCs/>
          <w:color w:val="000000" w:themeColor="text1"/>
          <w:sz w:val="22"/>
          <w:szCs w:val="22"/>
        </w:rPr>
      </w:pPr>
    </w:p>
    <w:p w14:paraId="57EE654A" w14:textId="77777777" w:rsidR="00FE3123" w:rsidRPr="00EA3221" w:rsidRDefault="00FE3123" w:rsidP="00FE3123">
      <w:pPr>
        <w:jc w:val="center"/>
        <w:rPr>
          <w:i/>
          <w:iCs/>
          <w:color w:val="000000" w:themeColor="text1"/>
          <w:sz w:val="22"/>
          <w:szCs w:val="22"/>
        </w:rPr>
      </w:pPr>
      <w:r w:rsidRPr="00EA3221">
        <w:rPr>
          <w:i/>
          <w:iCs/>
          <w:color w:val="000000" w:themeColor="text1"/>
          <w:sz w:val="22"/>
          <w:szCs w:val="22"/>
        </w:rPr>
        <w:t xml:space="preserve">Significant milestone achieved towards implementation of a commercially validated manufacturing system </w:t>
      </w:r>
    </w:p>
    <w:p w14:paraId="6FB0A398" w14:textId="77777777" w:rsidR="00FE3123" w:rsidRPr="00EA3221" w:rsidRDefault="00FE3123" w:rsidP="00FE3123">
      <w:pPr>
        <w:jc w:val="center"/>
        <w:rPr>
          <w:i/>
          <w:iCs/>
          <w:color w:val="000000" w:themeColor="text1"/>
          <w:sz w:val="22"/>
          <w:szCs w:val="22"/>
        </w:rPr>
      </w:pPr>
    </w:p>
    <w:p w14:paraId="6680E4A5" w14:textId="77777777" w:rsidR="00FE3123" w:rsidRPr="00EA3221" w:rsidRDefault="00FE3123" w:rsidP="00FE3123">
      <w:pPr>
        <w:jc w:val="center"/>
        <w:rPr>
          <w:i/>
          <w:iCs/>
          <w:color w:val="000000" w:themeColor="text1"/>
          <w:sz w:val="22"/>
          <w:szCs w:val="22"/>
          <w:highlight w:val="yellow"/>
        </w:rPr>
      </w:pPr>
      <w:r w:rsidRPr="00EA3221">
        <w:rPr>
          <w:i/>
          <w:iCs/>
          <w:color w:val="000000" w:themeColor="text1"/>
          <w:sz w:val="22"/>
          <w:szCs w:val="22"/>
        </w:rPr>
        <w:t>Progress across pipeline with planned data readouts for GEO-CM04S1 in multiple trials and Gedeptin</w:t>
      </w:r>
      <w:r w:rsidRPr="00EA3221">
        <w:rPr>
          <w:rFonts w:eastAsia="Calibri"/>
          <w:color w:val="000000" w:themeColor="text1"/>
          <w:kern w:val="2"/>
          <w:sz w:val="22"/>
          <w:szCs w:val="22"/>
          <w:vertAlign w:val="superscript"/>
          <w14:ligatures w14:val="standardContextual"/>
        </w:rPr>
        <w:t>®</w:t>
      </w:r>
      <w:r w:rsidRPr="00EA3221">
        <w:rPr>
          <w:i/>
          <w:iCs/>
          <w:color w:val="000000" w:themeColor="text1"/>
          <w:sz w:val="22"/>
          <w:szCs w:val="22"/>
        </w:rPr>
        <w:t xml:space="preserve"> in healthy patient boost trial on track for later this year</w:t>
      </w:r>
    </w:p>
    <w:p w14:paraId="79D07377" w14:textId="77777777" w:rsidR="00FE3123" w:rsidRPr="00EA3221" w:rsidRDefault="00FE3123" w:rsidP="00FE3123">
      <w:pPr>
        <w:jc w:val="center"/>
        <w:rPr>
          <w:i/>
          <w:iCs/>
          <w:color w:val="000000" w:themeColor="text1"/>
          <w:sz w:val="22"/>
          <w:szCs w:val="22"/>
        </w:rPr>
      </w:pPr>
    </w:p>
    <w:p w14:paraId="4CEAA127" w14:textId="77777777" w:rsidR="00FE3123" w:rsidRPr="00EA3221" w:rsidRDefault="00FE3123" w:rsidP="00FE3123">
      <w:pPr>
        <w:jc w:val="center"/>
        <w:rPr>
          <w:bCs/>
          <w:i/>
          <w:iCs/>
          <w:color w:val="000000" w:themeColor="text1"/>
          <w:sz w:val="22"/>
          <w:szCs w:val="22"/>
        </w:rPr>
      </w:pPr>
      <w:r w:rsidRPr="00EA3221">
        <w:rPr>
          <w:bCs/>
          <w:i/>
          <w:iCs/>
          <w:color w:val="000000" w:themeColor="text1"/>
          <w:sz w:val="22"/>
          <w:szCs w:val="22"/>
        </w:rPr>
        <w:t>Company to host conference call and webcast today at 4:30 p.m. ET</w:t>
      </w:r>
    </w:p>
    <w:p w14:paraId="603537FF" w14:textId="77777777" w:rsidR="00FE3123" w:rsidRPr="00EA3221" w:rsidRDefault="00FE3123" w:rsidP="00FE3123">
      <w:pPr>
        <w:tabs>
          <w:tab w:val="left" w:pos="6399"/>
        </w:tabs>
        <w:rPr>
          <w:color w:val="000000" w:themeColor="text1"/>
        </w:rPr>
      </w:pPr>
    </w:p>
    <w:p w14:paraId="74B221E0" w14:textId="77777777" w:rsidR="00FE3123" w:rsidRPr="00EA3221" w:rsidRDefault="00FE3123" w:rsidP="00FE3123">
      <w:pPr>
        <w:jc w:val="both"/>
        <w:rPr>
          <w:color w:val="000000" w:themeColor="text1"/>
          <w:sz w:val="22"/>
          <w:szCs w:val="22"/>
        </w:rPr>
      </w:pPr>
      <w:r w:rsidRPr="00EA3221">
        <w:rPr>
          <w:b/>
          <w:bCs/>
          <w:color w:val="000000" w:themeColor="text1"/>
          <w:sz w:val="22"/>
          <w:szCs w:val="22"/>
        </w:rPr>
        <w:t xml:space="preserve">ATLANTA, GA, May </w:t>
      </w:r>
      <w:r>
        <w:rPr>
          <w:b/>
          <w:bCs/>
          <w:color w:val="000000" w:themeColor="text1"/>
          <w:sz w:val="22"/>
          <w:szCs w:val="22"/>
        </w:rPr>
        <w:t>14</w:t>
      </w:r>
      <w:r w:rsidRPr="00EA3221">
        <w:rPr>
          <w:b/>
          <w:bCs/>
          <w:color w:val="000000" w:themeColor="text1"/>
          <w:sz w:val="22"/>
          <w:szCs w:val="22"/>
        </w:rPr>
        <w:t>, 2024 –</w:t>
      </w:r>
      <w:r w:rsidRPr="00EA3221">
        <w:rPr>
          <w:color w:val="000000" w:themeColor="text1"/>
          <w:sz w:val="22"/>
          <w:szCs w:val="22"/>
        </w:rPr>
        <w:t xml:space="preserve"> GeoVax Labs, Inc. (Nasdaq: GOVX), a biotechnology company developing immunotherapies and vaccines against cancers and infectious diseases, today announced financial results for the first quarter ended March 31, 2024, and provided a business update. </w:t>
      </w:r>
    </w:p>
    <w:p w14:paraId="70CA9252" w14:textId="77777777" w:rsidR="00FE3123" w:rsidRPr="00EA3221" w:rsidRDefault="00FE3123" w:rsidP="00FE3123">
      <w:pPr>
        <w:jc w:val="both"/>
        <w:rPr>
          <w:rFonts w:eastAsia="Calibri"/>
          <w:b/>
          <w:bCs/>
          <w:color w:val="000000" w:themeColor="text1"/>
          <w:kern w:val="2"/>
          <w:sz w:val="22"/>
          <w:szCs w:val="22"/>
          <w14:ligatures w14:val="standardContextual"/>
        </w:rPr>
      </w:pPr>
    </w:p>
    <w:p w14:paraId="265C4F0C" w14:textId="77777777" w:rsidR="00FE3123" w:rsidRPr="00EA3221" w:rsidRDefault="00FE3123" w:rsidP="00FE3123">
      <w:pPr>
        <w:jc w:val="both"/>
        <w:rPr>
          <w:rFonts w:eastAsia="Calibri"/>
          <w:color w:val="000000" w:themeColor="text1"/>
          <w:kern w:val="2"/>
          <w:sz w:val="22"/>
          <w:szCs w:val="22"/>
          <w14:ligatures w14:val="standardContextual"/>
        </w:rPr>
      </w:pPr>
      <w:r>
        <w:rPr>
          <w:rFonts w:eastAsia="Calibri"/>
          <w:color w:val="000000" w:themeColor="text1"/>
          <w:kern w:val="2"/>
          <w:sz w:val="22"/>
          <w:szCs w:val="22"/>
          <w14:ligatures w14:val="standardContextual"/>
        </w:rPr>
        <w:t xml:space="preserve">David Dodd, Chairman and CEO of GeoVax, stated, </w:t>
      </w:r>
      <w:r w:rsidRPr="00EA3221">
        <w:rPr>
          <w:rFonts w:eastAsia="Calibri"/>
          <w:color w:val="000000" w:themeColor="text1"/>
          <w:kern w:val="2"/>
          <w:sz w:val="22"/>
          <w:szCs w:val="22"/>
          <w14:ligatures w14:val="standardContextual"/>
        </w:rPr>
        <w:t xml:space="preserve">“Throughout the first quarter of 2024, we made considerable progress across our pipeline of differentiated vaccines and immunotherapies. Our focus continued to be on the advancement of </w:t>
      </w:r>
      <w:r>
        <w:rPr>
          <w:rFonts w:eastAsia="Calibri"/>
          <w:color w:val="000000" w:themeColor="text1"/>
          <w:kern w:val="2"/>
          <w:sz w:val="22"/>
          <w:szCs w:val="22"/>
          <w14:ligatures w14:val="standardContextual"/>
        </w:rPr>
        <w:t>the</w:t>
      </w:r>
      <w:r w:rsidRPr="00EA3221">
        <w:rPr>
          <w:rFonts w:eastAsia="Calibri"/>
          <w:color w:val="000000" w:themeColor="text1"/>
          <w:kern w:val="2"/>
          <w:sz w:val="22"/>
          <w:szCs w:val="22"/>
          <w14:ligatures w14:val="standardContextual"/>
        </w:rPr>
        <w:t xml:space="preserve"> ongoing clinical trials for our Gedeptin</w:t>
      </w:r>
      <w:r w:rsidRPr="00EA3221">
        <w:rPr>
          <w:rFonts w:eastAsia="Calibri"/>
          <w:color w:val="000000" w:themeColor="text1"/>
          <w:kern w:val="2"/>
          <w:sz w:val="22"/>
          <w:szCs w:val="22"/>
          <w:vertAlign w:val="superscript"/>
          <w14:ligatures w14:val="standardContextual"/>
        </w:rPr>
        <w:t>®</w:t>
      </w:r>
      <w:r w:rsidRPr="00EA3221">
        <w:rPr>
          <w:rFonts w:eastAsia="Calibri"/>
          <w:color w:val="000000" w:themeColor="text1"/>
          <w:kern w:val="2"/>
          <w:sz w:val="22"/>
          <w:szCs w:val="22"/>
          <w14:ligatures w14:val="standardContextual"/>
        </w:rPr>
        <w:t xml:space="preserve"> cancer therapy targeting advanced head and neck cancers and GEO-CM04S1, our next-generation SARS-CoV-2 (COVID-19) vaccine. Positive initial safety and immune response findings from our Phase 2 clinical trial of GEO-CM04S1 were reported earlier in the year, and our Gedeptin Phase 1/2 clinical study in patients suffering from advanced head and neck cancer completed enrollment. Completion of this trial will be a significant milestone in the Gedeptin clinical development program. We look forward to reporting further progress on each of our ongoing clinical trials as well as our additional data readouts throughout the remainder of the year.”</w:t>
      </w:r>
    </w:p>
    <w:p w14:paraId="3E51518E" w14:textId="77777777" w:rsidR="00FE3123" w:rsidRPr="00EA3221" w:rsidRDefault="00FE3123" w:rsidP="00FE3123">
      <w:pPr>
        <w:jc w:val="both"/>
        <w:rPr>
          <w:rFonts w:eastAsia="Calibri"/>
          <w:color w:val="000000" w:themeColor="text1"/>
          <w:kern w:val="2"/>
          <w:sz w:val="22"/>
          <w:szCs w:val="22"/>
          <w14:ligatures w14:val="standardContextual"/>
        </w:rPr>
      </w:pPr>
    </w:p>
    <w:p w14:paraId="50B29864" w14:textId="77777777" w:rsidR="00FE3123" w:rsidRPr="00EA3221" w:rsidRDefault="00FE3123" w:rsidP="00FE3123">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 xml:space="preserve">Dodd continued, “In addition to our pipeline progress, the first quarter had other notable achievements for GeoVax. </w:t>
      </w:r>
      <w:r w:rsidRPr="00EA3221">
        <w:rPr>
          <w:rFonts w:eastAsia="Calibri"/>
          <w:color w:val="000000" w:themeColor="text1"/>
          <w:sz w:val="22"/>
          <w:szCs w:val="22"/>
        </w:rPr>
        <w:t>With</w:t>
      </w:r>
      <w:r w:rsidRPr="00EA3221">
        <w:rPr>
          <w:rFonts w:eastAsia="Calibri"/>
          <w:color w:val="000000" w:themeColor="text1"/>
          <w:kern w:val="2"/>
          <w:sz w:val="22"/>
          <w:szCs w:val="22"/>
          <w14:ligatures w14:val="standardContextual"/>
        </w:rPr>
        <w:t xml:space="preserve"> our transition to implementing a commercial validated manufacturing, we released the first lot of GEO-CM04S1 produced with a commercial manufacturing platform, marking the successful completion of the transfer and scale-up of manufacturing to our experienced CDMO at ABL Europe. Additionally, we recently received multiple actions </w:t>
      </w:r>
      <w:bookmarkStart w:id="0" w:name="_Int_rI8l24ay"/>
      <w:r w:rsidRPr="00EA3221">
        <w:rPr>
          <w:rFonts w:eastAsia="Calibri"/>
          <w:color w:val="000000" w:themeColor="text1"/>
          <w:kern w:val="2"/>
          <w:sz w:val="22"/>
          <w:szCs w:val="22"/>
          <w14:ligatures w14:val="standardContextual"/>
        </w:rPr>
        <w:t>by</w:t>
      </w:r>
      <w:bookmarkEnd w:id="0"/>
      <w:r w:rsidRPr="00EA3221">
        <w:rPr>
          <w:rFonts w:eastAsia="Calibri"/>
          <w:color w:val="000000" w:themeColor="text1"/>
          <w:kern w:val="2"/>
          <w:sz w:val="22"/>
          <w:szCs w:val="22"/>
          <w14:ligatures w14:val="standardContextual"/>
        </w:rPr>
        <w:t xml:space="preserve"> global patent offices, further strengthening our intellectual property assets. This is an exciting time for us as we continue to successfully execute on our long-term strategy across our portfolio of assets and look ahead to a catalyst-rich 2024.”</w:t>
      </w:r>
    </w:p>
    <w:p w14:paraId="6E8D0C11" w14:textId="77777777" w:rsidR="00FE3123" w:rsidRPr="00EA3221" w:rsidRDefault="00FE3123" w:rsidP="00FE3123">
      <w:pPr>
        <w:jc w:val="both"/>
        <w:rPr>
          <w:rFonts w:eastAsia="Calibri"/>
          <w:b/>
          <w:bCs/>
          <w:color w:val="000000" w:themeColor="text1"/>
          <w:kern w:val="2"/>
          <w:sz w:val="22"/>
          <w:szCs w:val="22"/>
          <w14:ligatures w14:val="standardContextual"/>
        </w:rPr>
      </w:pPr>
    </w:p>
    <w:p w14:paraId="3414DCEA" w14:textId="77777777" w:rsidR="00FE3123" w:rsidRPr="00EA3221" w:rsidRDefault="00FE3123" w:rsidP="00FE3123">
      <w:pPr>
        <w:jc w:val="both"/>
        <w:rPr>
          <w:rFonts w:eastAsia="Calibri"/>
          <w:b/>
          <w:bCs/>
          <w:color w:val="000000" w:themeColor="text1"/>
          <w:kern w:val="2"/>
          <w:sz w:val="22"/>
          <w:szCs w:val="22"/>
          <w14:ligatures w14:val="standardContextual"/>
        </w:rPr>
      </w:pPr>
      <w:r>
        <w:rPr>
          <w:rFonts w:eastAsia="Calibri"/>
          <w:b/>
          <w:bCs/>
          <w:color w:val="000000" w:themeColor="text1"/>
          <w:kern w:val="2"/>
          <w:sz w:val="22"/>
          <w:szCs w:val="22"/>
          <w14:ligatures w14:val="standardContextual"/>
        </w:rPr>
        <w:t>First Quarter</w:t>
      </w:r>
      <w:r w:rsidRPr="00EA3221">
        <w:rPr>
          <w:rFonts w:eastAsia="Calibri"/>
          <w:b/>
          <w:bCs/>
          <w:color w:val="000000" w:themeColor="text1"/>
          <w:kern w:val="2"/>
          <w:sz w:val="22"/>
          <w:szCs w:val="22"/>
          <w14:ligatures w14:val="standardContextual"/>
        </w:rPr>
        <w:t xml:space="preserve"> Business Achievements</w:t>
      </w:r>
    </w:p>
    <w:p w14:paraId="1F6BD6D9" w14:textId="77777777" w:rsidR="00FE3123" w:rsidRPr="00EA3221" w:rsidRDefault="00FE3123" w:rsidP="00FE3123">
      <w:pPr>
        <w:rPr>
          <w:color w:val="000000" w:themeColor="text1"/>
          <w:sz w:val="22"/>
          <w:szCs w:val="22"/>
        </w:rPr>
      </w:pPr>
    </w:p>
    <w:p w14:paraId="071E1482" w14:textId="77777777" w:rsidR="00FE3123" w:rsidRPr="00EA3221" w:rsidRDefault="00FE3123" w:rsidP="00FE3123">
      <w:pPr>
        <w:shd w:val="clear" w:color="auto" w:fill="FFFFFF" w:themeFill="background1"/>
        <w:rPr>
          <w:b/>
          <w:bCs/>
          <w:color w:val="000000"/>
          <w:sz w:val="22"/>
          <w:szCs w:val="22"/>
        </w:rPr>
      </w:pPr>
      <w:r w:rsidRPr="00EA3221">
        <w:rPr>
          <w:b/>
          <w:bCs/>
          <w:color w:val="000000" w:themeColor="text1"/>
          <w:sz w:val="22"/>
          <w:szCs w:val="22"/>
        </w:rPr>
        <w:t>GEO-CM04S1</w:t>
      </w:r>
    </w:p>
    <w:p w14:paraId="28057241" w14:textId="77777777" w:rsidR="00FE3123" w:rsidRPr="00EA3221" w:rsidRDefault="00FE3123" w:rsidP="00FE3123">
      <w:pPr>
        <w:rPr>
          <w:color w:val="000000" w:themeColor="text1"/>
          <w:sz w:val="22"/>
          <w:szCs w:val="22"/>
        </w:rPr>
      </w:pPr>
    </w:p>
    <w:p w14:paraId="73FCF5D6" w14:textId="77777777" w:rsidR="00FE3123"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Presented data on GEO-CM04S1,</w:t>
      </w:r>
      <w:r w:rsidRPr="00EA3221">
        <w:rPr>
          <w:color w:val="000000" w:themeColor="text1"/>
          <w:sz w:val="22"/>
          <w:szCs w:val="22"/>
        </w:rPr>
        <w:t xml:space="preserve"> at the 24</w:t>
      </w:r>
      <w:r w:rsidRPr="00EA3221">
        <w:rPr>
          <w:color w:val="000000" w:themeColor="text1"/>
          <w:sz w:val="22"/>
          <w:szCs w:val="22"/>
          <w:vertAlign w:val="superscript"/>
        </w:rPr>
        <w:t>th</w:t>
      </w:r>
      <w:r w:rsidRPr="00EA3221">
        <w:rPr>
          <w:color w:val="000000" w:themeColor="text1"/>
          <w:sz w:val="22"/>
          <w:szCs w:val="22"/>
        </w:rPr>
        <w:t xml:space="preserve"> Annual World Vaccine Congress in April 2024. The presentation, titled “</w:t>
      </w:r>
      <w:r w:rsidRPr="00EA3221">
        <w:rPr>
          <w:i/>
          <w:iCs/>
          <w:color w:val="000000" w:themeColor="text1"/>
          <w:sz w:val="22"/>
          <w:szCs w:val="22"/>
        </w:rPr>
        <w:t xml:space="preserve">Vaccine Induction of </w:t>
      </w:r>
      <w:proofErr w:type="gramStart"/>
      <w:r w:rsidRPr="00EA3221">
        <w:rPr>
          <w:i/>
          <w:iCs/>
          <w:color w:val="000000" w:themeColor="text1"/>
          <w:sz w:val="22"/>
          <w:szCs w:val="22"/>
        </w:rPr>
        <w:t>Broadly-Specific</w:t>
      </w:r>
      <w:proofErr w:type="gramEnd"/>
      <w:r w:rsidRPr="00EA3221">
        <w:rPr>
          <w:i/>
          <w:iCs/>
          <w:color w:val="000000" w:themeColor="text1"/>
          <w:sz w:val="22"/>
          <w:szCs w:val="22"/>
        </w:rPr>
        <w:t xml:space="preserve"> Antibody and T Cell Responses to Combat SARS-CoV-2 Variation</w:t>
      </w:r>
      <w:r w:rsidRPr="00EA3221">
        <w:rPr>
          <w:color w:val="000000" w:themeColor="text1"/>
          <w:sz w:val="22"/>
          <w:szCs w:val="22"/>
        </w:rPr>
        <w:t>,” focused on results delineating the unique immune system driven mechanisms that contribute to the broad efficacy of GEO-CM04S1. The data presented were generated in collaboration with scientists at Georgia State University using the human ACE2 transgenic mice, one of the “gold standard” small animal models used for studying COVID vaccines. Overall, the presentation highlighted that vaccine induced immunity protects against infections, serious disease symptoms and death against the original Wuhan variant as well as the Omicron XBB.1.5 variant, which is the basis of the currently approved mRNA booster vaccines.</w:t>
      </w:r>
    </w:p>
    <w:p w14:paraId="4A7004DC" w14:textId="77777777" w:rsidR="00FE3123" w:rsidRPr="00EA3221" w:rsidRDefault="00FE3123" w:rsidP="00FE3123">
      <w:pPr>
        <w:ind w:left="360"/>
        <w:jc w:val="both"/>
        <w:rPr>
          <w:color w:val="000000" w:themeColor="text1"/>
          <w:sz w:val="22"/>
          <w:szCs w:val="22"/>
        </w:rPr>
      </w:pPr>
    </w:p>
    <w:p w14:paraId="467737F9"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lastRenderedPageBreak/>
        <w:t>Positive initial safety and immune response</w:t>
      </w:r>
      <w:r w:rsidRPr="00EA3221">
        <w:rPr>
          <w:color w:val="000000" w:themeColor="text1"/>
          <w:sz w:val="22"/>
          <w:szCs w:val="22"/>
        </w:rPr>
        <w:t xml:space="preserve"> </w:t>
      </w:r>
      <w:r w:rsidRPr="00EA3221">
        <w:rPr>
          <w:b/>
          <w:bCs/>
          <w:color w:val="000000" w:themeColor="text1"/>
          <w:sz w:val="22"/>
          <w:szCs w:val="22"/>
        </w:rPr>
        <w:t>findings</w:t>
      </w:r>
      <w:r w:rsidRPr="00EA3221">
        <w:rPr>
          <w:color w:val="000000" w:themeColor="text1"/>
          <w:sz w:val="22"/>
          <w:szCs w:val="22"/>
        </w:rPr>
        <w:t xml:space="preserve"> from Phase 2 clinical trial at one month following administration of GEO-CM04S1. The trial, evaluating GEO-CM04S1 as a heterologous booster in 63 healthy adults who had previously received the Pfizer or Moderna mRNA vaccine (ClinicalTrials.gov Identifier: NCT04639466), was fully enrolled at the end of Sept 2023. The study is designed to evaluate the safety and immunogenicity of two GEO-CM04S1 dose levels. The trial remains blinded to dose of vaccine received, with study subjects being followed for a total of one year. To date, there have been no serious adverse events, and adverse events were in line with other routine vaccinations. The immunological responses measured throughout the study period include both neutralizing antibodies against SARS-CoV-2 variants and specific T-cell responses. Consolidated data from all subjects tested one-month post-vaccination, documented statistically significant increases in neutralizing antibody responses against multiple SARS-CoV-2 variants, ranging from the original Wuhan strain through Delta and Omicron XBB 1.5; additional testing against the JN.1 variant is underway.</w:t>
      </w:r>
    </w:p>
    <w:p w14:paraId="66AB334E" w14:textId="77777777" w:rsidR="00FE3123" w:rsidRPr="00EA3221" w:rsidRDefault="00FE3123" w:rsidP="00FE3123">
      <w:pPr>
        <w:ind w:left="720"/>
        <w:rPr>
          <w:color w:val="000000" w:themeColor="text1"/>
          <w:sz w:val="22"/>
          <w:szCs w:val="22"/>
        </w:rPr>
      </w:pPr>
    </w:p>
    <w:p w14:paraId="50DC2E19" w14:textId="77777777" w:rsidR="00FE3123" w:rsidRPr="00EA3221" w:rsidRDefault="00FE3123" w:rsidP="00FE3123">
      <w:pPr>
        <w:jc w:val="both"/>
        <w:rPr>
          <w:color w:val="000000"/>
          <w:sz w:val="22"/>
          <w:szCs w:val="22"/>
        </w:rPr>
      </w:pPr>
      <w:r w:rsidRPr="00EA3221">
        <w:rPr>
          <w:b/>
          <w:bCs/>
          <w:color w:val="000000" w:themeColor="text1"/>
          <w:sz w:val="22"/>
          <w:szCs w:val="22"/>
        </w:rPr>
        <w:t>Gedeptin</w:t>
      </w:r>
      <w:r w:rsidRPr="00EA3221">
        <w:rPr>
          <w:b/>
          <w:bCs/>
          <w:color w:val="000000" w:themeColor="text1"/>
          <w:sz w:val="22"/>
          <w:szCs w:val="22"/>
          <w:vertAlign w:val="superscript"/>
        </w:rPr>
        <w:t>®</w:t>
      </w:r>
    </w:p>
    <w:p w14:paraId="29E14B1A" w14:textId="77777777" w:rsidR="00FE3123" w:rsidRPr="00EA3221" w:rsidRDefault="00FE3123" w:rsidP="00FE3123">
      <w:pPr>
        <w:rPr>
          <w:color w:val="000000" w:themeColor="text1"/>
          <w:sz w:val="22"/>
          <w:szCs w:val="22"/>
        </w:rPr>
      </w:pPr>
    </w:p>
    <w:p w14:paraId="430AEC01"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Completion of patient enrollment</w:t>
      </w:r>
      <w:r w:rsidRPr="00EA3221">
        <w:rPr>
          <w:color w:val="000000" w:themeColor="text1"/>
          <w:sz w:val="22"/>
          <w:szCs w:val="22"/>
        </w:rPr>
        <w:t xml:space="preserve"> for the Phase 1/2 clinical study evaluating Gedeptin® in patients suffering from advanced head and neck cancer. Completion of this trial will be a significant milestone in the Gedeptin clinical development program. Allowing time for the maximum number of cycles of Gedeptin therapy and patient follow-up, GeoVax expects to complete the study by the third quarter of this year. In the interim, active discussions are taking place with advisors on protocol development in support of a follow-on Phase 2 or Phase 2/3 trial among patients with advanced head and neck cancer in whom current therapeutic options are suboptimal. </w:t>
      </w:r>
    </w:p>
    <w:p w14:paraId="150CA7C0" w14:textId="77777777" w:rsidR="00FE3123" w:rsidRPr="00EA3221" w:rsidRDefault="00FE3123" w:rsidP="00FE3123">
      <w:pPr>
        <w:jc w:val="both"/>
        <w:rPr>
          <w:color w:val="000000" w:themeColor="text1"/>
          <w:kern w:val="2"/>
          <w:sz w:val="22"/>
          <w:szCs w:val="22"/>
          <w14:ligatures w14:val="standardContextual"/>
        </w:rPr>
      </w:pPr>
    </w:p>
    <w:p w14:paraId="218C2BDF" w14:textId="77777777" w:rsidR="00FE3123" w:rsidRPr="00EA3221" w:rsidRDefault="00FE3123" w:rsidP="00FE3123">
      <w:r w:rsidRPr="00EA3221">
        <w:rPr>
          <w:rFonts w:eastAsia="Calibri"/>
          <w:b/>
          <w:bCs/>
          <w:color w:val="000000" w:themeColor="text1"/>
          <w:kern w:val="2"/>
          <w:sz w:val="22"/>
          <w:szCs w:val="22"/>
          <w14:ligatures w14:val="standardContextual"/>
        </w:rPr>
        <w:t>Vaccine Manufacturing Process</w:t>
      </w:r>
      <w:r>
        <w:rPr>
          <w:rFonts w:eastAsia="Calibri"/>
          <w:b/>
          <w:bCs/>
          <w:color w:val="000000" w:themeColor="text1"/>
          <w:kern w:val="2"/>
          <w:sz w:val="22"/>
          <w:szCs w:val="22"/>
          <w14:ligatures w14:val="standardContextual"/>
        </w:rPr>
        <w:t xml:space="preserve"> Development</w:t>
      </w:r>
    </w:p>
    <w:p w14:paraId="197BC98E" w14:textId="77777777" w:rsidR="00FE3123" w:rsidRPr="00EA3221" w:rsidRDefault="00FE3123" w:rsidP="00FE3123">
      <w:pPr>
        <w:rPr>
          <w:rFonts w:eastAsia="Calibri"/>
          <w:b/>
          <w:bCs/>
          <w:color w:val="000000" w:themeColor="text1"/>
          <w:kern w:val="2"/>
          <w:sz w:val="22"/>
          <w:szCs w:val="22"/>
          <w14:ligatures w14:val="standardContextual"/>
        </w:rPr>
      </w:pPr>
    </w:p>
    <w:p w14:paraId="3CF00143"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 xml:space="preserve">Achieved a significant milestone in manufacturing process </w:t>
      </w:r>
      <w:r>
        <w:rPr>
          <w:b/>
          <w:bCs/>
          <w:color w:val="000000" w:themeColor="text1"/>
          <w:sz w:val="22"/>
          <w:szCs w:val="22"/>
        </w:rPr>
        <w:t xml:space="preserve">development </w:t>
      </w:r>
      <w:r w:rsidRPr="00EA3221">
        <w:rPr>
          <w:b/>
          <w:bCs/>
          <w:color w:val="000000" w:themeColor="text1"/>
          <w:sz w:val="22"/>
          <w:szCs w:val="22"/>
        </w:rPr>
        <w:t>for Phase 3</w:t>
      </w:r>
      <w:r>
        <w:rPr>
          <w:b/>
          <w:bCs/>
          <w:color w:val="000000" w:themeColor="text1"/>
          <w:sz w:val="22"/>
          <w:szCs w:val="22"/>
        </w:rPr>
        <w:t xml:space="preserve"> and Commercial Production.</w:t>
      </w:r>
      <w:r w:rsidRPr="00EA3221">
        <w:rPr>
          <w:color w:val="000000" w:themeColor="text1"/>
          <w:sz w:val="22"/>
          <w:szCs w:val="22"/>
        </w:rPr>
        <w:t xml:space="preserve"> </w:t>
      </w:r>
      <w:r>
        <w:rPr>
          <w:color w:val="000000" w:themeColor="text1"/>
          <w:sz w:val="22"/>
          <w:szCs w:val="22"/>
        </w:rPr>
        <w:t xml:space="preserve">This is an important step </w:t>
      </w:r>
      <w:r w:rsidRPr="00EA3221">
        <w:rPr>
          <w:color w:val="000000" w:themeColor="text1"/>
          <w:sz w:val="22"/>
          <w:szCs w:val="22"/>
        </w:rPr>
        <w:t xml:space="preserve">toward implementation of a validated chicken embryonic fibroblast (CEF) based production system for the company’s MVA-based vaccines, with the release of </w:t>
      </w:r>
      <w:r>
        <w:rPr>
          <w:color w:val="000000" w:themeColor="text1"/>
          <w:sz w:val="22"/>
          <w:szCs w:val="22"/>
        </w:rPr>
        <w:t>the</w:t>
      </w:r>
      <w:r w:rsidRPr="00EA3221">
        <w:rPr>
          <w:color w:val="000000" w:themeColor="text1"/>
          <w:sz w:val="22"/>
          <w:szCs w:val="22"/>
        </w:rPr>
        <w:t xml:space="preserve"> first lot of GEO-CM04S1 (next-generation </w:t>
      </w:r>
      <w:r>
        <w:rPr>
          <w:color w:val="000000" w:themeColor="text1"/>
          <w:sz w:val="22"/>
          <w:szCs w:val="22"/>
        </w:rPr>
        <w:t>COVID</w:t>
      </w:r>
      <w:r w:rsidRPr="00EA3221">
        <w:rPr>
          <w:color w:val="000000" w:themeColor="text1"/>
          <w:sz w:val="22"/>
          <w:szCs w:val="22"/>
        </w:rPr>
        <w:t>-19 vaccine) produced with a commercial manufacturing platform. This milestone marks the successful completion of the transfer and scale-up of manufacturing from the research-focused Center for Biomedicine &amp; Genetics at City of Hope to Oxford Biomedica, the Company’s cGMP (current Good Manufacturing Procedures) manufacturing partner.</w:t>
      </w:r>
    </w:p>
    <w:p w14:paraId="5E6D356A" w14:textId="77777777" w:rsidR="00FE3123" w:rsidRPr="00EA3221" w:rsidRDefault="00FE3123" w:rsidP="00FE3123">
      <w:pPr>
        <w:rPr>
          <w:rFonts w:eastAsia="Calibri"/>
          <w:b/>
          <w:bCs/>
          <w:color w:val="000000" w:themeColor="text1"/>
          <w:kern w:val="2"/>
          <w:sz w:val="22"/>
          <w:szCs w:val="22"/>
          <w14:ligatures w14:val="standardContextual"/>
        </w:rPr>
      </w:pPr>
    </w:p>
    <w:p w14:paraId="1EA707B0" w14:textId="77777777" w:rsidR="00FE3123" w:rsidRPr="00EA3221" w:rsidRDefault="00FE3123" w:rsidP="00FE3123">
      <w:pPr>
        <w:rPr>
          <w:rFonts w:eastAsia="Calibri"/>
          <w:b/>
          <w:bCs/>
          <w:color w:val="000000" w:themeColor="text1"/>
          <w:kern w:val="2"/>
          <w:sz w:val="22"/>
          <w:szCs w:val="22"/>
          <w14:ligatures w14:val="standardContextual"/>
        </w:rPr>
      </w:pPr>
      <w:r w:rsidRPr="00EA3221">
        <w:rPr>
          <w:rFonts w:eastAsia="Calibri"/>
          <w:b/>
          <w:bCs/>
          <w:color w:val="000000" w:themeColor="text1"/>
          <w:kern w:val="2"/>
          <w:sz w:val="22"/>
          <w:szCs w:val="22"/>
          <w14:ligatures w14:val="standardContextual"/>
        </w:rPr>
        <w:t>Intellectual Property Developments</w:t>
      </w:r>
    </w:p>
    <w:p w14:paraId="08DEBF29" w14:textId="77777777" w:rsidR="00FE3123" w:rsidRPr="00EA3221" w:rsidRDefault="00FE3123" w:rsidP="00FE3123">
      <w:pPr>
        <w:rPr>
          <w:rFonts w:eastAsia="Calibri"/>
          <w:b/>
          <w:bCs/>
          <w:color w:val="000000" w:themeColor="text1"/>
          <w:kern w:val="2"/>
          <w:sz w:val="22"/>
          <w:szCs w:val="22"/>
          <w14:ligatures w14:val="standardContextual"/>
        </w:rPr>
      </w:pPr>
    </w:p>
    <w:p w14:paraId="645841AA"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 xml:space="preserve">Intellectual property assets </w:t>
      </w:r>
      <w:bookmarkStart w:id="1" w:name="_Int_Iwc8zhru"/>
      <w:proofErr w:type="gramStart"/>
      <w:r w:rsidRPr="00EA3221">
        <w:rPr>
          <w:b/>
          <w:bCs/>
          <w:color w:val="000000" w:themeColor="text1"/>
          <w:sz w:val="22"/>
          <w:szCs w:val="22"/>
        </w:rPr>
        <w:t>further</w:t>
      </w:r>
      <w:bookmarkEnd w:id="1"/>
      <w:proofErr w:type="gramEnd"/>
      <w:r w:rsidRPr="00EA3221">
        <w:rPr>
          <w:b/>
          <w:bCs/>
          <w:color w:val="000000" w:themeColor="text1"/>
          <w:sz w:val="22"/>
          <w:szCs w:val="22"/>
        </w:rPr>
        <w:t xml:space="preserve"> strengthened </w:t>
      </w:r>
      <w:r w:rsidRPr="00EA3221">
        <w:rPr>
          <w:color w:val="000000" w:themeColor="text1"/>
          <w:sz w:val="22"/>
          <w:szCs w:val="22"/>
        </w:rPr>
        <w:t xml:space="preserve">by multiple actions by global patent </w:t>
      </w:r>
      <w:bookmarkStart w:id="2" w:name="_Int_wXJa6eIv"/>
      <w:proofErr w:type="spellStart"/>
      <w:r w:rsidRPr="00EA3221">
        <w:rPr>
          <w:color w:val="000000" w:themeColor="text1"/>
          <w:sz w:val="22"/>
          <w:szCs w:val="22"/>
        </w:rPr>
        <w:t>offices</w:t>
      </w:r>
      <w:bookmarkEnd w:id="2"/>
      <w:proofErr w:type="spellEnd"/>
      <w:r w:rsidRPr="00EA3221">
        <w:rPr>
          <w:color w:val="000000" w:themeColor="text1"/>
          <w:sz w:val="22"/>
          <w:szCs w:val="22"/>
        </w:rPr>
        <w:t xml:space="preserve"> strengthening the Company’s intellectual property assets.</w:t>
      </w:r>
    </w:p>
    <w:p w14:paraId="28DBF252" w14:textId="77777777" w:rsidR="00FE3123" w:rsidRPr="00EA3221" w:rsidRDefault="00FE3123" w:rsidP="00FE3123">
      <w:pPr>
        <w:ind w:left="720"/>
        <w:jc w:val="both"/>
        <w:rPr>
          <w:color w:val="000000" w:themeColor="text1"/>
          <w:sz w:val="22"/>
          <w:szCs w:val="22"/>
        </w:rPr>
      </w:pPr>
    </w:p>
    <w:p w14:paraId="18EC0C48" w14:textId="77777777" w:rsidR="00FE3123" w:rsidRPr="00EA3221" w:rsidRDefault="00FE3123" w:rsidP="00FE3123">
      <w:pPr>
        <w:numPr>
          <w:ilvl w:val="1"/>
          <w:numId w:val="3"/>
        </w:numPr>
        <w:ind w:left="720"/>
        <w:jc w:val="both"/>
        <w:rPr>
          <w:color w:val="000000" w:themeColor="text1"/>
          <w:sz w:val="22"/>
          <w:szCs w:val="22"/>
        </w:rPr>
      </w:pPr>
      <w:r w:rsidRPr="00EA3221">
        <w:rPr>
          <w:color w:val="000000" w:themeColor="text1"/>
          <w:sz w:val="22"/>
          <w:szCs w:val="22"/>
        </w:rPr>
        <w:t xml:space="preserve">The Japanese Patent Office issued a Decision of Grant notifying GeoVax of the allowance of the Company’s Patent Application No. 2022-153352 titled “Compositions and Methods for Generating an Immune Response to a Tumor Associated Antigen.” The allowed claims are directed to recombinant MVA viral vectors comprising specific MUC-1 nucleic sequences used in GeoVax’s MUC-1 tumor-associated antigen immunotherapy program. Pharmaceutical compositions for inducing immune responses, </w:t>
      </w:r>
      <w:proofErr w:type="gramStart"/>
      <w:r w:rsidRPr="00EA3221">
        <w:rPr>
          <w:color w:val="000000" w:themeColor="text1"/>
          <w:sz w:val="22"/>
          <w:szCs w:val="22"/>
        </w:rPr>
        <w:t>preventing</w:t>
      </w:r>
      <w:proofErr w:type="gramEnd"/>
      <w:r w:rsidRPr="00EA3221">
        <w:rPr>
          <w:color w:val="000000" w:themeColor="text1"/>
          <w:sz w:val="22"/>
          <w:szCs w:val="22"/>
        </w:rPr>
        <w:t xml:space="preserve"> or reducing neoplasm growth, or treating cancer are also covered by the granted claims. </w:t>
      </w:r>
    </w:p>
    <w:p w14:paraId="329FED7D" w14:textId="77777777" w:rsidR="00FE3123" w:rsidRPr="00EA3221" w:rsidRDefault="00FE3123" w:rsidP="00FE3123">
      <w:pPr>
        <w:numPr>
          <w:ilvl w:val="1"/>
          <w:numId w:val="3"/>
        </w:numPr>
        <w:ind w:left="720"/>
        <w:jc w:val="both"/>
        <w:rPr>
          <w:color w:val="000000" w:themeColor="text1"/>
          <w:sz w:val="22"/>
          <w:szCs w:val="22"/>
        </w:rPr>
      </w:pPr>
      <w:r w:rsidRPr="00EA3221">
        <w:rPr>
          <w:color w:val="000000" w:themeColor="text1"/>
          <w:sz w:val="22"/>
          <w:szCs w:val="22"/>
        </w:rPr>
        <w:t>The U.S. Patent and Trademark Office issued Patent No. 11,896,657 to GeoVax, pursuant to the Company’s patent application No. 17/584,231 titled “Replication-Deficient Modified Vaccinia Ankara (MVA) Expressing Marburg Virus Glycoprotein (GP) and Matrix Protein (VP40).” The allowed claims generally cover GeoVax’s vector platform for expressing Marburg virus antigens in virus-like particles (VLPs) utilizing an MVA viral vector.</w:t>
      </w:r>
    </w:p>
    <w:p w14:paraId="3C66AB41" w14:textId="77777777" w:rsidR="00FE3123" w:rsidRPr="00EA3221" w:rsidRDefault="00FE3123" w:rsidP="00FE3123">
      <w:pPr>
        <w:numPr>
          <w:ilvl w:val="1"/>
          <w:numId w:val="3"/>
        </w:numPr>
        <w:ind w:left="720"/>
        <w:jc w:val="both"/>
        <w:rPr>
          <w:color w:val="000000" w:themeColor="text1"/>
          <w:sz w:val="22"/>
          <w:szCs w:val="22"/>
        </w:rPr>
      </w:pPr>
      <w:r w:rsidRPr="00EA3221">
        <w:rPr>
          <w:color w:val="000000" w:themeColor="text1"/>
          <w:sz w:val="22"/>
          <w:szCs w:val="22"/>
        </w:rPr>
        <w:t xml:space="preserve">The U.S. Patent and Trademark Office issued Patent No. 11,897,919 pursuant to the Company’s patent application No. 17/409,574 titled “Multivalent HIV Vaccine Boost Compositions and Methods of </w:t>
      </w:r>
      <w:r w:rsidRPr="00EA3221">
        <w:rPr>
          <w:color w:val="000000" w:themeColor="text1"/>
          <w:sz w:val="22"/>
          <w:szCs w:val="22"/>
        </w:rPr>
        <w:lastRenderedPageBreak/>
        <w:t>Use.” The allowed claims generally cover a priming vaccination with a DNA vector encoding multiple HIV antigens in virus-like particles (VLPs), followed by a boost vaccination with GeoVax’s vector platform for expressing HIV-1 antigens in VLPs utilizing an MVA viral vector.</w:t>
      </w:r>
    </w:p>
    <w:p w14:paraId="49C4A418" w14:textId="77777777" w:rsidR="00FE3123" w:rsidRPr="00EA3221" w:rsidRDefault="00FE3123" w:rsidP="00FE3123">
      <w:pPr>
        <w:numPr>
          <w:ilvl w:val="1"/>
          <w:numId w:val="3"/>
        </w:numPr>
        <w:ind w:left="720"/>
        <w:jc w:val="both"/>
        <w:rPr>
          <w:color w:val="000000" w:themeColor="text1"/>
          <w:sz w:val="22"/>
          <w:szCs w:val="22"/>
        </w:rPr>
      </w:pPr>
      <w:r w:rsidRPr="00EA3221">
        <w:rPr>
          <w:color w:val="000000" w:themeColor="text1"/>
          <w:sz w:val="22"/>
          <w:szCs w:val="22"/>
        </w:rPr>
        <w:t>The U.S. Patent and Trademark Office issued Patent No. 11,857,611 to GeoVax, pursuant to the Company’s patent application No. 17/726,254 titled “Compositions and Methods for Generating an Immune Response to Treat or Prevent Malaria.” The claims granted by the patent generally cover compositions comprising GeoVax’s modified vaccinia Ankara (MVA) vector expressing Plasmodium antigens and methods of inducing an immune response to malaria utilizing the compositions. The compositions and methods covered in the claims are useful both prophylactically and therapeutically and may be used to prevent and/or treat malaria.</w:t>
      </w:r>
    </w:p>
    <w:p w14:paraId="17D81180" w14:textId="77777777" w:rsidR="00FE3123" w:rsidRPr="00EA3221" w:rsidRDefault="00FE3123" w:rsidP="00FE3123">
      <w:pPr>
        <w:jc w:val="both"/>
        <w:rPr>
          <w:rFonts w:eastAsia="Calibri"/>
          <w:b/>
          <w:bCs/>
          <w:color w:val="000000" w:themeColor="text1"/>
          <w:kern w:val="2"/>
          <w:sz w:val="22"/>
          <w:szCs w:val="22"/>
          <w14:ligatures w14:val="standardContextual"/>
        </w:rPr>
      </w:pPr>
    </w:p>
    <w:p w14:paraId="57241ABD" w14:textId="77777777" w:rsidR="00FE3123" w:rsidRPr="00EA3221" w:rsidRDefault="00FE3123" w:rsidP="00FE3123">
      <w:pPr>
        <w:jc w:val="both"/>
        <w:rPr>
          <w:rFonts w:eastAsia="Calibri"/>
          <w:b/>
          <w:bCs/>
          <w:color w:val="000000" w:themeColor="text1"/>
          <w:kern w:val="2"/>
          <w:sz w:val="22"/>
          <w:szCs w:val="22"/>
          <w14:ligatures w14:val="standardContextual"/>
        </w:rPr>
      </w:pPr>
      <w:r w:rsidRPr="00EA3221">
        <w:rPr>
          <w:rFonts w:eastAsia="Calibri"/>
          <w:b/>
          <w:bCs/>
          <w:color w:val="000000" w:themeColor="text1"/>
          <w:kern w:val="2"/>
          <w:sz w:val="22"/>
          <w:szCs w:val="22"/>
          <w14:ligatures w14:val="standardContextual"/>
        </w:rPr>
        <w:t>First Quarter 2024 Financial Results</w:t>
      </w:r>
    </w:p>
    <w:p w14:paraId="1F22AA31" w14:textId="77777777" w:rsidR="00FE3123" w:rsidRPr="00EA3221" w:rsidRDefault="00FE3123" w:rsidP="00FE3123">
      <w:pPr>
        <w:jc w:val="both"/>
        <w:rPr>
          <w:rFonts w:eastAsia="Calibri"/>
          <w:b/>
          <w:bCs/>
          <w:color w:val="000000" w:themeColor="text1"/>
          <w:kern w:val="2"/>
          <w:sz w:val="22"/>
          <w:szCs w:val="22"/>
          <w14:ligatures w14:val="standardContextual"/>
        </w:rPr>
      </w:pPr>
    </w:p>
    <w:p w14:paraId="0FE7D200"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Net Loss</w:t>
      </w:r>
      <w:r w:rsidRPr="00EA3221">
        <w:rPr>
          <w:color w:val="000000" w:themeColor="text1"/>
          <w:sz w:val="22"/>
          <w:szCs w:val="22"/>
        </w:rPr>
        <w:t>: Net loss for the three months ended March 31, 2024, was $</w:t>
      </w:r>
      <w:r w:rsidRPr="00032CAD">
        <w:rPr>
          <w:color w:val="000000" w:themeColor="text1"/>
          <w:sz w:val="22"/>
          <w:szCs w:val="22"/>
        </w:rPr>
        <w:t>5,580,132</w:t>
      </w:r>
      <w:r w:rsidRPr="00EA3221">
        <w:rPr>
          <w:color w:val="000000" w:themeColor="text1"/>
          <w:sz w:val="22"/>
          <w:szCs w:val="22"/>
        </w:rPr>
        <w:t>, or $</w:t>
      </w:r>
      <w:r w:rsidRPr="00032CAD">
        <w:rPr>
          <w:color w:val="000000" w:themeColor="text1"/>
          <w:sz w:val="22"/>
          <w:szCs w:val="22"/>
        </w:rPr>
        <w:t>2.47</w:t>
      </w:r>
      <w:r w:rsidRPr="00EA3221">
        <w:rPr>
          <w:color w:val="000000" w:themeColor="text1"/>
          <w:sz w:val="22"/>
          <w:szCs w:val="22"/>
        </w:rPr>
        <w:t xml:space="preserve"> per share, as compared to $4,037,916, or $</w:t>
      </w:r>
      <w:r w:rsidRPr="00032CAD">
        <w:rPr>
          <w:color w:val="000000" w:themeColor="text1"/>
          <w:sz w:val="22"/>
          <w:szCs w:val="22"/>
        </w:rPr>
        <w:t>2.30</w:t>
      </w:r>
      <w:r w:rsidRPr="00EA3221">
        <w:rPr>
          <w:color w:val="000000" w:themeColor="text1"/>
          <w:sz w:val="22"/>
          <w:szCs w:val="22"/>
        </w:rPr>
        <w:t xml:space="preserve"> per share, for the three months ended March 31, 2023.</w:t>
      </w:r>
    </w:p>
    <w:p w14:paraId="4B700651"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R&amp;D Expenses</w:t>
      </w:r>
      <w:r w:rsidRPr="00EA3221">
        <w:rPr>
          <w:color w:val="000000" w:themeColor="text1"/>
          <w:sz w:val="22"/>
          <w:szCs w:val="22"/>
        </w:rPr>
        <w:t>: Research and development expenses were $</w:t>
      </w:r>
      <w:r w:rsidRPr="00032CAD">
        <w:rPr>
          <w:color w:val="000000" w:themeColor="text1"/>
          <w:sz w:val="22"/>
          <w:szCs w:val="22"/>
        </w:rPr>
        <w:t>4,425,728</w:t>
      </w:r>
      <w:r w:rsidRPr="00EA3221">
        <w:rPr>
          <w:color w:val="000000" w:themeColor="text1"/>
          <w:sz w:val="22"/>
          <w:szCs w:val="22"/>
        </w:rPr>
        <w:t xml:space="preserve"> for the three months ended March 31, 2024, compared with $2,819,189 for the comparable period in 2023, with the increase/decrease primarily due to </w:t>
      </w:r>
      <w:r w:rsidRPr="00032CAD">
        <w:rPr>
          <w:color w:val="000000" w:themeColor="text1"/>
          <w:sz w:val="22"/>
          <w:szCs w:val="22"/>
        </w:rPr>
        <w:t>primarily due to the costs of manufacturing materials for use in our clinical trials and other related costs, personnel costs, and costs of preclinical research activities</w:t>
      </w:r>
      <w:r w:rsidRPr="00EA3221">
        <w:rPr>
          <w:color w:val="000000" w:themeColor="text1"/>
          <w:sz w:val="22"/>
          <w:szCs w:val="22"/>
        </w:rPr>
        <w:t>.</w:t>
      </w:r>
    </w:p>
    <w:p w14:paraId="23AF33BC"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G&amp;A Expenses</w:t>
      </w:r>
      <w:r w:rsidRPr="00EA3221">
        <w:rPr>
          <w:color w:val="000000" w:themeColor="text1"/>
          <w:sz w:val="22"/>
          <w:szCs w:val="22"/>
        </w:rPr>
        <w:t>: General and administrative expenses were $</w:t>
      </w:r>
      <w:r w:rsidRPr="00032CAD">
        <w:rPr>
          <w:color w:val="000000" w:themeColor="text1"/>
          <w:sz w:val="22"/>
          <w:szCs w:val="22"/>
        </w:rPr>
        <w:t>1,457,353</w:t>
      </w:r>
      <w:r w:rsidRPr="00EA3221">
        <w:rPr>
          <w:color w:val="000000" w:themeColor="text1"/>
          <w:sz w:val="22"/>
          <w:szCs w:val="22"/>
        </w:rPr>
        <w:t xml:space="preserve"> for the three months ended March 31, 2024, compared to $1,451,425 for the three months ended March 31, 2023.</w:t>
      </w:r>
    </w:p>
    <w:p w14:paraId="136072C4" w14:textId="77777777" w:rsidR="00FE3123" w:rsidRPr="00EA3221" w:rsidRDefault="00FE3123" w:rsidP="00FE3123">
      <w:pPr>
        <w:numPr>
          <w:ilvl w:val="0"/>
          <w:numId w:val="3"/>
        </w:numPr>
        <w:ind w:left="360"/>
        <w:jc w:val="both"/>
        <w:rPr>
          <w:color w:val="000000" w:themeColor="text1"/>
          <w:sz w:val="22"/>
          <w:szCs w:val="22"/>
        </w:rPr>
      </w:pPr>
      <w:r w:rsidRPr="00EA3221">
        <w:rPr>
          <w:b/>
          <w:bCs/>
          <w:color w:val="000000" w:themeColor="text1"/>
          <w:sz w:val="22"/>
          <w:szCs w:val="22"/>
        </w:rPr>
        <w:t>Cash Position</w:t>
      </w:r>
      <w:r w:rsidRPr="00EA3221">
        <w:rPr>
          <w:color w:val="000000" w:themeColor="text1"/>
          <w:sz w:val="22"/>
          <w:szCs w:val="22"/>
        </w:rPr>
        <w:t>: GeoVax reported cash balances of $</w:t>
      </w:r>
      <w:r w:rsidRPr="00032CAD">
        <w:rPr>
          <w:color w:val="000000" w:themeColor="text1"/>
          <w:sz w:val="22"/>
          <w:szCs w:val="22"/>
        </w:rPr>
        <w:t>768,859</w:t>
      </w:r>
      <w:r w:rsidRPr="00EA3221">
        <w:rPr>
          <w:color w:val="000000" w:themeColor="text1"/>
          <w:sz w:val="22"/>
          <w:szCs w:val="22"/>
        </w:rPr>
        <w:t xml:space="preserve"> at March 31, 2024, as compared to $</w:t>
      </w:r>
      <w:r>
        <w:rPr>
          <w:color w:val="000000" w:themeColor="text1"/>
          <w:sz w:val="22"/>
          <w:szCs w:val="22"/>
        </w:rPr>
        <w:t>6,452,589</w:t>
      </w:r>
      <w:r w:rsidRPr="00EA3221">
        <w:rPr>
          <w:color w:val="000000" w:themeColor="text1"/>
          <w:sz w:val="22"/>
          <w:szCs w:val="22"/>
        </w:rPr>
        <w:t xml:space="preserve"> at December 31, 2023.</w:t>
      </w:r>
    </w:p>
    <w:p w14:paraId="761F76E8" w14:textId="77777777" w:rsidR="00FE3123" w:rsidRPr="00EA3221" w:rsidRDefault="00FE3123" w:rsidP="00FE3123">
      <w:pPr>
        <w:shd w:val="clear" w:color="auto" w:fill="FFFFFF" w:themeFill="background1"/>
        <w:jc w:val="both"/>
        <w:rPr>
          <w:color w:val="000000"/>
          <w:sz w:val="22"/>
          <w:szCs w:val="22"/>
        </w:rPr>
      </w:pPr>
    </w:p>
    <w:p w14:paraId="30219AD8" w14:textId="77777777" w:rsidR="00FE3123" w:rsidRPr="00EA3221" w:rsidRDefault="00FE3123" w:rsidP="00FE3123">
      <w:pPr>
        <w:jc w:val="both"/>
        <w:rPr>
          <w:color w:val="000000"/>
          <w:sz w:val="22"/>
          <w:szCs w:val="22"/>
        </w:rPr>
      </w:pPr>
      <w:r w:rsidRPr="00EA3221">
        <w:rPr>
          <w:color w:val="000000"/>
          <w:sz w:val="22"/>
          <w:szCs w:val="22"/>
        </w:rPr>
        <w:t>Summarized financial information is attached. Further information is included in the Company’s Quarterly Report on Form 10-Q filed with the Securities and Exchange Commission.</w:t>
      </w:r>
    </w:p>
    <w:p w14:paraId="143E0DFD" w14:textId="77777777" w:rsidR="00FE3123" w:rsidRPr="00EA3221" w:rsidRDefault="00FE3123" w:rsidP="00FE3123">
      <w:pPr>
        <w:jc w:val="both"/>
        <w:rPr>
          <w:rFonts w:eastAsia="Calibri"/>
          <w:b/>
          <w:bCs/>
          <w:color w:val="000000" w:themeColor="text1"/>
          <w:kern w:val="2"/>
          <w:sz w:val="22"/>
          <w:szCs w:val="22"/>
          <w14:ligatures w14:val="standardContextual"/>
        </w:rPr>
      </w:pPr>
    </w:p>
    <w:p w14:paraId="2BAB5B42" w14:textId="77777777" w:rsidR="00FE3123" w:rsidRPr="00EA3221" w:rsidRDefault="00FE3123" w:rsidP="00FE3123">
      <w:pPr>
        <w:jc w:val="both"/>
        <w:rPr>
          <w:rFonts w:eastAsia="Calibri"/>
          <w:b/>
          <w:bCs/>
          <w:color w:val="000000" w:themeColor="text1"/>
          <w:kern w:val="2"/>
          <w:sz w:val="22"/>
          <w:szCs w:val="22"/>
          <w14:ligatures w14:val="standardContextual"/>
        </w:rPr>
      </w:pPr>
      <w:r w:rsidRPr="00EA3221">
        <w:rPr>
          <w:rFonts w:eastAsia="Calibri"/>
          <w:b/>
          <w:bCs/>
          <w:color w:val="000000" w:themeColor="text1"/>
          <w:kern w:val="2"/>
          <w:sz w:val="22"/>
          <w:szCs w:val="22"/>
          <w14:ligatures w14:val="standardContextual"/>
        </w:rPr>
        <w:t>Conference Call Details</w:t>
      </w:r>
    </w:p>
    <w:p w14:paraId="67D8BD3A" w14:textId="77777777" w:rsidR="00FE3123" w:rsidRPr="00EA3221" w:rsidRDefault="00FE3123" w:rsidP="00FE3123">
      <w:pPr>
        <w:jc w:val="both"/>
        <w:rPr>
          <w:rFonts w:eastAsia="Calibri"/>
          <w:b/>
          <w:bCs/>
          <w:color w:val="000000" w:themeColor="text1"/>
          <w:kern w:val="2"/>
          <w:sz w:val="22"/>
          <w:szCs w:val="22"/>
          <w14:ligatures w14:val="standardContextual"/>
        </w:rPr>
      </w:pPr>
    </w:p>
    <w:p w14:paraId="00E05A80" w14:textId="77777777" w:rsidR="00FE3123" w:rsidRPr="00EA3221" w:rsidRDefault="00FE3123" w:rsidP="00FE3123">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 xml:space="preserve">Management will host a conference call, scheduled to begin at 4:30 p.m. ET today, May </w:t>
      </w:r>
      <w:r>
        <w:rPr>
          <w:rFonts w:eastAsia="Calibri"/>
          <w:color w:val="000000" w:themeColor="text1"/>
          <w:kern w:val="2"/>
          <w:sz w:val="22"/>
          <w:szCs w:val="22"/>
          <w14:ligatures w14:val="standardContextual"/>
        </w:rPr>
        <w:t>14</w:t>
      </w:r>
      <w:r w:rsidRPr="00EA3221">
        <w:rPr>
          <w:rFonts w:eastAsia="Calibri"/>
          <w:color w:val="000000" w:themeColor="text1"/>
          <w:kern w:val="2"/>
          <w:sz w:val="22"/>
          <w:szCs w:val="22"/>
          <w14:ligatures w14:val="standardContextual"/>
        </w:rPr>
        <w:t xml:space="preserve">, 2024, to review financial results and provide an update on corporate developments. </w:t>
      </w:r>
      <w:proofErr w:type="gramStart"/>
      <w:r w:rsidRPr="00EA3221">
        <w:rPr>
          <w:rFonts w:eastAsia="Calibri"/>
          <w:color w:val="000000" w:themeColor="text1"/>
          <w:kern w:val="2"/>
          <w:sz w:val="22"/>
          <w:szCs w:val="22"/>
          <w14:ligatures w14:val="standardContextual"/>
        </w:rPr>
        <w:t>Following management’s formal remarks, there</w:t>
      </w:r>
      <w:proofErr w:type="gramEnd"/>
      <w:r w:rsidRPr="00EA3221">
        <w:rPr>
          <w:rFonts w:eastAsia="Calibri"/>
          <w:color w:val="000000" w:themeColor="text1"/>
          <w:kern w:val="2"/>
          <w:sz w:val="22"/>
          <w:szCs w:val="22"/>
          <w14:ligatures w14:val="standardContextual"/>
        </w:rPr>
        <w:t xml:space="preserve"> will be a question-and-answer session.</w:t>
      </w:r>
    </w:p>
    <w:p w14:paraId="39FCA0B7" w14:textId="77777777" w:rsidR="00FE3123" w:rsidRPr="00EA3221" w:rsidRDefault="00FE3123" w:rsidP="00FE3123">
      <w:pPr>
        <w:jc w:val="both"/>
        <w:rPr>
          <w:rFonts w:eastAsia="Calibri"/>
          <w:b/>
          <w:bCs/>
          <w:color w:val="000000" w:themeColor="text1"/>
          <w:kern w:val="2"/>
          <w:sz w:val="22"/>
          <w:szCs w:val="22"/>
          <w14:ligatures w14:val="standardContextual"/>
        </w:rPr>
      </w:pPr>
    </w:p>
    <w:p w14:paraId="2BAE5982" w14:textId="77777777" w:rsidR="00FE3123" w:rsidRPr="00EA3221" w:rsidRDefault="00FE3123" w:rsidP="00FE3123">
      <w:pPr>
        <w:jc w:val="both"/>
        <w:rPr>
          <w:rFonts w:eastAsia="Calibri"/>
          <w:b/>
          <w:bCs/>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Domestic</w:t>
      </w:r>
      <w:r w:rsidRPr="00EA3221">
        <w:rPr>
          <w:rFonts w:eastAsia="Calibri"/>
          <w:b/>
          <w:bCs/>
          <w:color w:val="000000" w:themeColor="text1"/>
          <w:kern w:val="2"/>
          <w:sz w:val="22"/>
          <w:szCs w:val="22"/>
          <w14:ligatures w14:val="standardContextual"/>
        </w:rPr>
        <w:t xml:space="preserve">: </w:t>
      </w:r>
      <w:r w:rsidRPr="00EA3221">
        <w:rPr>
          <w:rFonts w:eastAsia="Calibri"/>
          <w:color w:val="000000" w:themeColor="text1"/>
          <w:kern w:val="2"/>
          <w:sz w:val="22"/>
          <w:szCs w:val="22"/>
          <w14:ligatures w14:val="standardContextual"/>
        </w:rPr>
        <w:t>(800) 715-9871</w:t>
      </w:r>
    </w:p>
    <w:p w14:paraId="5AACAB0A" w14:textId="77777777" w:rsidR="00FE3123" w:rsidRPr="00EA3221" w:rsidRDefault="00FE3123" w:rsidP="00FE3123">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International: +1 (646) 307-1963</w:t>
      </w:r>
    </w:p>
    <w:p w14:paraId="2D2A7E2B" w14:textId="77777777" w:rsidR="00FE3123" w:rsidRPr="00EA3221" w:rsidRDefault="00FE3123" w:rsidP="00FE3123">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Conference ID: 4923340</w:t>
      </w:r>
    </w:p>
    <w:p w14:paraId="523701CD" w14:textId="77777777" w:rsidR="00FE3123" w:rsidRPr="00EA3221" w:rsidRDefault="00FE3123" w:rsidP="00FE3123">
      <w:pPr>
        <w:rPr>
          <w:sz w:val="22"/>
          <w:szCs w:val="22"/>
        </w:rPr>
      </w:pPr>
      <w:r w:rsidRPr="00EA3221">
        <w:rPr>
          <w:rFonts w:eastAsia="Calibri"/>
          <w:kern w:val="2"/>
          <w:sz w:val="22"/>
          <w:szCs w:val="22"/>
          <w14:ligatures w14:val="standardContextual"/>
        </w:rPr>
        <w:t xml:space="preserve">Webcast: </w:t>
      </w:r>
      <w:hyperlink r:id="rId14" w:history="1">
        <w:r w:rsidRPr="00EA3221">
          <w:rPr>
            <w:color w:val="0000FF"/>
            <w:sz w:val="22"/>
            <w:szCs w:val="22"/>
            <w:u w:val="single"/>
          </w:rPr>
          <w:t>https://edge.media-server.com/mmc/p/m379oy9j</w:t>
        </w:r>
      </w:hyperlink>
      <w:r w:rsidRPr="00EA3221">
        <w:rPr>
          <w:sz w:val="22"/>
          <w:szCs w:val="22"/>
        </w:rPr>
        <w:t xml:space="preserve"> </w:t>
      </w:r>
    </w:p>
    <w:p w14:paraId="234CE892" w14:textId="77777777" w:rsidR="00FE3123" w:rsidRPr="00EA3221" w:rsidRDefault="00FE3123" w:rsidP="00FE3123">
      <w:pPr>
        <w:jc w:val="both"/>
        <w:rPr>
          <w:rFonts w:eastAsia="Calibri"/>
          <w:b/>
          <w:bCs/>
          <w:kern w:val="2"/>
          <w:sz w:val="22"/>
          <w:szCs w:val="22"/>
          <w14:ligatures w14:val="standardContextual"/>
        </w:rPr>
      </w:pPr>
    </w:p>
    <w:p w14:paraId="5882ED5F" w14:textId="77777777" w:rsidR="00FE3123" w:rsidRPr="00EA3221" w:rsidRDefault="00FE3123" w:rsidP="00FE3123">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A webcast replay of the call will be available for three months via the same link as the live webcast approximately two hours after the end of the call.</w:t>
      </w:r>
    </w:p>
    <w:p w14:paraId="31D94887" w14:textId="77777777" w:rsidR="00FE3123" w:rsidRPr="00EA3221" w:rsidRDefault="00FE3123" w:rsidP="00FE3123">
      <w:pPr>
        <w:jc w:val="both"/>
        <w:rPr>
          <w:color w:val="000000" w:themeColor="text1"/>
          <w:sz w:val="22"/>
          <w:szCs w:val="22"/>
        </w:rPr>
      </w:pPr>
    </w:p>
    <w:p w14:paraId="77C035E9" w14:textId="77777777" w:rsidR="00FE3123" w:rsidRPr="00EA3221" w:rsidRDefault="00FE3123" w:rsidP="00FE3123">
      <w:pPr>
        <w:jc w:val="both"/>
        <w:outlineLvl w:val="0"/>
        <w:rPr>
          <w:rFonts w:eastAsia="SimSun"/>
          <w:color w:val="000000"/>
          <w:sz w:val="22"/>
          <w:szCs w:val="22"/>
        </w:rPr>
      </w:pPr>
      <w:bookmarkStart w:id="3" w:name="_Hlk135652404"/>
      <w:r w:rsidRPr="00EA3221">
        <w:rPr>
          <w:rFonts w:eastAsia="SimSun"/>
          <w:b/>
          <w:bCs/>
          <w:color w:val="000000" w:themeColor="text1"/>
          <w:sz w:val="22"/>
          <w:szCs w:val="22"/>
        </w:rPr>
        <w:t>About GeoVax</w:t>
      </w:r>
    </w:p>
    <w:bookmarkEnd w:id="3"/>
    <w:p w14:paraId="23E127CE" w14:textId="77777777" w:rsidR="00FE3123" w:rsidRPr="00EA3221" w:rsidRDefault="00FE3123" w:rsidP="00FE3123">
      <w:pPr>
        <w:jc w:val="both"/>
        <w:outlineLvl w:val="0"/>
        <w:rPr>
          <w:rFonts w:eastAsia="SimSun"/>
          <w:color w:val="000000"/>
          <w:sz w:val="22"/>
          <w:szCs w:val="22"/>
        </w:rPr>
      </w:pPr>
    </w:p>
    <w:p w14:paraId="0FC0BC91" w14:textId="77777777" w:rsidR="00FE3123" w:rsidRPr="00EA3221" w:rsidRDefault="00FE3123" w:rsidP="00FE3123">
      <w:pPr>
        <w:jc w:val="both"/>
        <w:outlineLvl w:val="0"/>
        <w:rPr>
          <w:rFonts w:eastAsia="SimSun"/>
          <w:color w:val="000000"/>
          <w:sz w:val="22"/>
          <w:szCs w:val="22"/>
        </w:rPr>
      </w:pPr>
      <w:r w:rsidRPr="00EA3221">
        <w:rPr>
          <w:rFonts w:eastAsia="SimSun"/>
          <w:color w:val="000000" w:themeColor="text1"/>
          <w:sz w:val="22"/>
          <w:szCs w:val="22"/>
        </w:rPr>
        <w:t>GeoVax Labs, Inc. is a clinical-stage biotechnology company developing novel therapies and vaccines for solid tumor cancers and many of the world’s most threatening infectious diseases. The company’s lead program in oncology is a novel oncolytic solid tumor gene-directed therapy, Gedeptin</w:t>
      </w:r>
      <w:r w:rsidRPr="00EA3221">
        <w:rPr>
          <w:rFonts w:eastAsia="SimSun"/>
          <w:color w:val="000000" w:themeColor="text1"/>
          <w:sz w:val="22"/>
          <w:szCs w:val="22"/>
          <w:vertAlign w:val="superscript"/>
        </w:rPr>
        <w:t>®</w:t>
      </w:r>
      <w:r w:rsidRPr="00EA3221">
        <w:rPr>
          <w:rFonts w:eastAsia="SimSun"/>
          <w:color w:val="000000" w:themeColor="text1"/>
          <w:sz w:val="22"/>
          <w:szCs w:val="22"/>
        </w:rPr>
        <w:t xml:space="preserve">, which recently completed enrollment in a multicenter Phase 1/2 clinical trial for advanced head and neck cancers. GeoVax’s lead infectious disease candidate is GEO-CM04S1, a next-generation </w:t>
      </w:r>
      <w:r>
        <w:rPr>
          <w:rFonts w:eastAsia="SimSun"/>
          <w:color w:val="000000" w:themeColor="text1"/>
          <w:sz w:val="22"/>
          <w:szCs w:val="22"/>
        </w:rPr>
        <w:t>COVID</w:t>
      </w:r>
      <w:r w:rsidRPr="00EA3221">
        <w:rPr>
          <w:rFonts w:eastAsia="SimSun"/>
          <w:color w:val="000000" w:themeColor="text1"/>
          <w:sz w:val="22"/>
          <w:szCs w:val="22"/>
        </w:rPr>
        <w:t xml:space="preserve">-19 vaccine targeting high-risk immunocompromised patient populations. Currently in three Phase 2 clinical trials, GEO-CM04S1 is being evaluated as a primary vaccine for immunocompromised patients such as those suffering from hematologic cancers and other patient populations for whom the current authorized </w:t>
      </w:r>
      <w:r>
        <w:rPr>
          <w:rFonts w:eastAsia="SimSun"/>
          <w:color w:val="000000" w:themeColor="text1"/>
          <w:sz w:val="22"/>
          <w:szCs w:val="22"/>
        </w:rPr>
        <w:t>COVID</w:t>
      </w:r>
      <w:r w:rsidRPr="00EA3221">
        <w:rPr>
          <w:rFonts w:eastAsia="SimSun"/>
          <w:color w:val="000000" w:themeColor="text1"/>
          <w:sz w:val="22"/>
          <w:szCs w:val="22"/>
        </w:rPr>
        <w:t xml:space="preserve">-19 vaccines are insufficient, and as a booster vaccine in patients with chronic lymphocytic leukemia (CLL). In addition, GEO-CM04S1 is </w:t>
      </w:r>
      <w:r w:rsidRPr="00EA3221">
        <w:rPr>
          <w:rFonts w:eastAsia="SimSun"/>
          <w:color w:val="000000" w:themeColor="text1"/>
          <w:sz w:val="22"/>
          <w:szCs w:val="22"/>
        </w:rPr>
        <w:lastRenderedPageBreak/>
        <w:t xml:space="preserve">in a Phase 2 clinical trial evaluating the vaccine as a more robust, durable </w:t>
      </w:r>
      <w:r>
        <w:rPr>
          <w:rFonts w:eastAsia="SimSun"/>
          <w:color w:val="000000" w:themeColor="text1"/>
          <w:sz w:val="22"/>
          <w:szCs w:val="22"/>
        </w:rPr>
        <w:t>COVID</w:t>
      </w:r>
      <w:r w:rsidRPr="00EA3221">
        <w:rPr>
          <w:rFonts w:eastAsia="SimSun"/>
          <w:color w:val="000000" w:themeColor="text1"/>
          <w:sz w:val="22"/>
          <w:szCs w:val="22"/>
        </w:rPr>
        <w:t xml:space="preserve">-19 booster among healthy patients who previously received the mRNA vaccines. GeoVax has a leadership team who have driven significant value creation across multiple life science companies over the past several decades. For more information, visit our website: </w:t>
      </w:r>
      <w:hyperlink r:id="rId15">
        <w:r w:rsidRPr="00EA3221">
          <w:rPr>
            <w:rFonts w:eastAsia="SimSun"/>
            <w:color w:val="0000FF"/>
            <w:sz w:val="22"/>
            <w:szCs w:val="22"/>
            <w:u w:val="single"/>
          </w:rPr>
          <w:t>www.geovax.com</w:t>
        </w:r>
      </w:hyperlink>
      <w:r w:rsidRPr="00EA3221">
        <w:rPr>
          <w:rFonts w:eastAsia="SimSun"/>
          <w:color w:val="000000" w:themeColor="text1"/>
          <w:sz w:val="22"/>
          <w:szCs w:val="22"/>
        </w:rPr>
        <w:t>.</w:t>
      </w:r>
    </w:p>
    <w:p w14:paraId="700EB906" w14:textId="77777777" w:rsidR="00FE3123" w:rsidRPr="00EA3221" w:rsidRDefault="00FE3123" w:rsidP="00FE3123">
      <w:pPr>
        <w:jc w:val="both"/>
        <w:outlineLvl w:val="0"/>
        <w:rPr>
          <w:rFonts w:eastAsia="SimSun"/>
          <w:bCs/>
          <w:iCs/>
          <w:sz w:val="22"/>
          <w:szCs w:val="22"/>
        </w:rPr>
      </w:pPr>
    </w:p>
    <w:p w14:paraId="7FDD1DC7" w14:textId="77777777" w:rsidR="00FE3123" w:rsidRPr="00EA3221" w:rsidRDefault="00FE3123" w:rsidP="00FE3123">
      <w:pPr>
        <w:jc w:val="both"/>
        <w:rPr>
          <w:i/>
          <w:iCs/>
        </w:rPr>
      </w:pPr>
      <w:r w:rsidRPr="00EA3221">
        <w:rPr>
          <w:i/>
          <w:iCs/>
        </w:rPr>
        <w:t>Forward-Looking Statements</w:t>
      </w:r>
    </w:p>
    <w:p w14:paraId="60CC4C35" w14:textId="77777777" w:rsidR="00FE3123" w:rsidRPr="00EA3221" w:rsidRDefault="00FE3123" w:rsidP="00FE3123">
      <w:pPr>
        <w:shd w:val="clear" w:color="auto" w:fill="FFFFFF"/>
        <w:jc w:val="both"/>
        <w:rPr>
          <w:sz w:val="22"/>
          <w:szCs w:val="22"/>
        </w:rPr>
      </w:pPr>
    </w:p>
    <w:p w14:paraId="18948345" w14:textId="77777777" w:rsidR="00FE3123" w:rsidRPr="00EA3221" w:rsidRDefault="00FE3123" w:rsidP="00FE3123">
      <w:pPr>
        <w:shd w:val="clear" w:color="auto" w:fill="FFFFFF"/>
        <w:jc w:val="both"/>
        <w:rPr>
          <w:rFonts w:eastAsia="SimSun"/>
          <w:i/>
          <w:iCs/>
        </w:rPr>
      </w:pPr>
      <w:r w:rsidRPr="00EA3221">
        <w:rPr>
          <w:rFonts w:eastAsia="SimSun"/>
          <w:i/>
          <w:iCs/>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147CA4C4" w14:textId="77777777" w:rsidR="00FE3123" w:rsidRPr="00EA3221" w:rsidRDefault="00FE3123" w:rsidP="00FE3123">
      <w:pPr>
        <w:shd w:val="clear" w:color="auto" w:fill="FFFFFF"/>
        <w:jc w:val="both"/>
        <w:rPr>
          <w:rFonts w:eastAsia="SimSun"/>
          <w:i/>
          <w:iCs/>
        </w:rPr>
      </w:pPr>
    </w:p>
    <w:p w14:paraId="0CC9BD9C" w14:textId="77777777" w:rsidR="00FE3123" w:rsidRPr="00EA3221" w:rsidRDefault="00FE3123" w:rsidP="00FE3123">
      <w:pPr>
        <w:shd w:val="clear" w:color="auto" w:fill="FFFFFF"/>
        <w:jc w:val="both"/>
        <w:rPr>
          <w:rFonts w:eastAsia="SimSun"/>
          <w:i/>
          <w:iCs/>
        </w:rPr>
      </w:pPr>
      <w:r w:rsidRPr="00EA3221">
        <w:rPr>
          <w:rFonts w:eastAsia="SimSun"/>
          <w:i/>
          <w:iCs/>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EA3221">
        <w:rPr>
          <w:rFonts w:eastAsia="SimSun"/>
          <w:i/>
          <w:iCs/>
        </w:rPr>
        <w:t>as a result of</w:t>
      </w:r>
      <w:proofErr w:type="gramEnd"/>
      <w:r w:rsidRPr="00EA3221">
        <w:rPr>
          <w:rFonts w:eastAsia="SimSun"/>
          <w:i/>
          <w:iCs/>
        </w:rPr>
        <w:t xml:space="preserve"> new information, future developments or otherwise, except as may be required by law. </w:t>
      </w:r>
    </w:p>
    <w:p w14:paraId="327BCB4F" w14:textId="77777777" w:rsidR="00FE3123" w:rsidRPr="00EA3221" w:rsidRDefault="00FE3123" w:rsidP="00FE3123">
      <w:pPr>
        <w:jc w:val="both"/>
        <w:rPr>
          <w:bCs/>
          <w:sz w:val="22"/>
          <w:szCs w:val="22"/>
        </w:rPr>
      </w:pPr>
    </w:p>
    <w:p w14:paraId="52337408" w14:textId="77777777" w:rsidR="00FE3123" w:rsidRPr="00EA3221" w:rsidRDefault="00FE3123" w:rsidP="00FE3123">
      <w:pPr>
        <w:tabs>
          <w:tab w:val="left" w:pos="2880"/>
          <w:tab w:val="left" w:pos="6480"/>
        </w:tabs>
        <w:jc w:val="both"/>
        <w:rPr>
          <w:b/>
          <w:bCs/>
          <w:color w:val="000000" w:themeColor="text1"/>
          <w:sz w:val="22"/>
          <w:szCs w:val="22"/>
        </w:rPr>
      </w:pPr>
      <w:r w:rsidRPr="00EA3221">
        <w:rPr>
          <w:b/>
          <w:bCs/>
          <w:color w:val="000000" w:themeColor="text1"/>
          <w:sz w:val="22"/>
          <w:szCs w:val="22"/>
        </w:rPr>
        <w:t>Company Contact:</w:t>
      </w:r>
      <w:r w:rsidRPr="00EA3221">
        <w:tab/>
      </w:r>
      <w:r w:rsidRPr="00EA3221">
        <w:rPr>
          <w:b/>
          <w:bCs/>
          <w:color w:val="000000" w:themeColor="text1"/>
          <w:sz w:val="22"/>
          <w:szCs w:val="22"/>
        </w:rPr>
        <w:t>Investor Relations Contact:</w:t>
      </w:r>
      <w:r w:rsidRPr="00EA3221">
        <w:tab/>
      </w:r>
      <w:r w:rsidRPr="00EA3221">
        <w:rPr>
          <w:b/>
          <w:bCs/>
          <w:color w:val="000000" w:themeColor="text1"/>
          <w:sz w:val="22"/>
          <w:szCs w:val="22"/>
        </w:rPr>
        <w:t>Media Contact:</w:t>
      </w:r>
    </w:p>
    <w:p w14:paraId="1AF74B0C" w14:textId="77777777" w:rsidR="00FE3123" w:rsidRPr="00EA3221" w:rsidRDefault="00FE3123" w:rsidP="00FE3123">
      <w:pPr>
        <w:tabs>
          <w:tab w:val="left" w:pos="2880"/>
          <w:tab w:val="left" w:pos="6480"/>
        </w:tabs>
        <w:jc w:val="both"/>
        <w:rPr>
          <w:bCs/>
          <w:sz w:val="22"/>
          <w:szCs w:val="22"/>
        </w:rPr>
      </w:pPr>
      <w:hyperlink r:id="rId16" w:history="1">
        <w:r w:rsidRPr="00EA3221">
          <w:rPr>
            <w:bCs/>
            <w:color w:val="0000FF"/>
            <w:sz w:val="22"/>
            <w:szCs w:val="22"/>
            <w:u w:val="single"/>
          </w:rPr>
          <w:t>info@geovax.com</w:t>
        </w:r>
      </w:hyperlink>
      <w:r w:rsidRPr="00EA3221">
        <w:rPr>
          <w:bCs/>
          <w:sz w:val="22"/>
          <w:szCs w:val="22"/>
        </w:rPr>
        <w:tab/>
      </w:r>
      <w:hyperlink r:id="rId17" w:history="1">
        <w:r w:rsidRPr="00E86CF8">
          <w:rPr>
            <w:rStyle w:val="Hyperlink"/>
            <w:bCs/>
            <w:sz w:val="22"/>
            <w:szCs w:val="22"/>
          </w:rPr>
          <w:t>austin.murtagh@sternir.com</w:t>
        </w:r>
      </w:hyperlink>
      <w:r w:rsidRPr="00EA3221">
        <w:rPr>
          <w:bCs/>
          <w:sz w:val="22"/>
          <w:szCs w:val="22"/>
        </w:rPr>
        <w:tab/>
      </w:r>
      <w:hyperlink r:id="rId18" w:history="1">
        <w:r w:rsidRPr="00EA3221">
          <w:rPr>
            <w:bCs/>
            <w:color w:val="0000FF"/>
            <w:sz w:val="22"/>
            <w:szCs w:val="22"/>
            <w:u w:val="single"/>
          </w:rPr>
          <w:t>sr@roberts-communications.com</w:t>
        </w:r>
      </w:hyperlink>
    </w:p>
    <w:p w14:paraId="1C06D3AB" w14:textId="77777777" w:rsidR="00FE3123" w:rsidRPr="00EA3221" w:rsidRDefault="00FE3123" w:rsidP="00FE3123">
      <w:pPr>
        <w:tabs>
          <w:tab w:val="left" w:pos="2880"/>
          <w:tab w:val="left" w:pos="6480"/>
        </w:tabs>
        <w:jc w:val="both"/>
        <w:rPr>
          <w:bCs/>
          <w:sz w:val="22"/>
          <w:szCs w:val="22"/>
        </w:rPr>
      </w:pPr>
      <w:r w:rsidRPr="00EA3221">
        <w:rPr>
          <w:bCs/>
          <w:sz w:val="22"/>
          <w:szCs w:val="22"/>
        </w:rPr>
        <w:t>678-384-7220</w:t>
      </w:r>
      <w:r w:rsidRPr="00EA3221">
        <w:rPr>
          <w:bCs/>
          <w:sz w:val="22"/>
          <w:szCs w:val="22"/>
        </w:rPr>
        <w:tab/>
        <w:t>212-698-869</w:t>
      </w:r>
      <w:r>
        <w:rPr>
          <w:bCs/>
          <w:sz w:val="22"/>
          <w:szCs w:val="22"/>
        </w:rPr>
        <w:t>6</w:t>
      </w:r>
      <w:r w:rsidRPr="00EA3221">
        <w:rPr>
          <w:bCs/>
          <w:sz w:val="22"/>
          <w:szCs w:val="22"/>
        </w:rPr>
        <w:tab/>
        <w:t>202-779-0929</w:t>
      </w:r>
    </w:p>
    <w:p w14:paraId="4CF30576" w14:textId="77777777" w:rsidR="00FE3123" w:rsidRPr="00AB38A1" w:rsidRDefault="00FE3123" w:rsidP="00FE3123"/>
    <w:p w14:paraId="22255E81" w14:textId="77777777" w:rsidR="00FE3123" w:rsidRPr="00AB38A1" w:rsidRDefault="00FE3123" w:rsidP="00FE3123">
      <w:pPr>
        <w:jc w:val="both"/>
      </w:pPr>
    </w:p>
    <w:p w14:paraId="0EA73E27" w14:textId="77777777" w:rsidR="00FE3123" w:rsidRPr="00AB38A1" w:rsidRDefault="00FE3123" w:rsidP="00FE3123">
      <w:pPr>
        <w:jc w:val="center"/>
      </w:pPr>
      <w:r w:rsidRPr="00AB38A1">
        <w:rPr>
          <w:b/>
        </w:rPr>
        <w:t>FINANCIAL TABLES FOLLOW</w:t>
      </w:r>
    </w:p>
    <w:p w14:paraId="410815FD" w14:textId="77777777" w:rsidR="00FE3123" w:rsidRPr="00AB38A1" w:rsidRDefault="00FE3123" w:rsidP="00FE3123">
      <w:pPr>
        <w:sectPr w:rsidR="00FE3123" w:rsidRPr="00AB38A1" w:rsidSect="00FE3123">
          <w:footerReference w:type="default" r:id="rId19"/>
          <w:headerReference w:type="first" r:id="rId20"/>
          <w:footerReference w:type="first" r:id="rId21"/>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E3123" w:rsidRPr="00F42D6C" w14:paraId="39403615" w14:textId="77777777" w:rsidTr="00311D3D">
        <w:trPr>
          <w:cantSplit/>
          <w:trHeight w:val="293"/>
        </w:trPr>
        <w:tc>
          <w:tcPr>
            <w:tcW w:w="9930" w:type="dxa"/>
            <w:gridSpan w:val="8"/>
          </w:tcPr>
          <w:p w14:paraId="6E40711C" w14:textId="77777777" w:rsidR="00FE3123" w:rsidRPr="00F42D6C" w:rsidRDefault="00FE3123" w:rsidP="00311D3D">
            <w:pPr>
              <w:jc w:val="center"/>
              <w:rPr>
                <w:snapToGrid w:val="0"/>
              </w:rPr>
            </w:pPr>
            <w:r w:rsidRPr="00F42D6C">
              <w:rPr>
                <w:b/>
                <w:bCs/>
                <w:snapToGrid w:val="0"/>
              </w:rPr>
              <w:lastRenderedPageBreak/>
              <w:t>GEOVAX LABS, INC.</w:t>
            </w:r>
          </w:p>
        </w:tc>
      </w:tr>
      <w:tr w:rsidR="00FE3123" w:rsidRPr="00F42D6C" w14:paraId="7697C4AD" w14:textId="77777777" w:rsidTr="00311D3D">
        <w:trPr>
          <w:cantSplit/>
          <w:trHeight w:val="293"/>
        </w:trPr>
        <w:tc>
          <w:tcPr>
            <w:tcW w:w="9930" w:type="dxa"/>
            <w:gridSpan w:val="8"/>
          </w:tcPr>
          <w:p w14:paraId="6F67A7A8" w14:textId="77777777" w:rsidR="00FE3123" w:rsidRPr="00F42D6C" w:rsidRDefault="00FE3123" w:rsidP="00311D3D">
            <w:pPr>
              <w:jc w:val="center"/>
              <w:rPr>
                <w:snapToGrid w:val="0"/>
              </w:rPr>
            </w:pPr>
            <w:r w:rsidRPr="00F42D6C">
              <w:rPr>
                <w:b/>
                <w:bCs/>
                <w:snapToGrid w:val="0"/>
              </w:rPr>
              <w:t>Condensed Consolidated Statements of Operations Information</w:t>
            </w:r>
          </w:p>
        </w:tc>
      </w:tr>
      <w:tr w:rsidR="00FE3123" w:rsidRPr="00F42D6C" w14:paraId="20B16A57" w14:textId="77777777" w:rsidTr="00311D3D">
        <w:trPr>
          <w:cantSplit/>
          <w:trHeight w:val="293"/>
        </w:trPr>
        <w:tc>
          <w:tcPr>
            <w:tcW w:w="9930" w:type="dxa"/>
            <w:gridSpan w:val="8"/>
          </w:tcPr>
          <w:p w14:paraId="37610960" w14:textId="77777777" w:rsidR="00FE3123" w:rsidRPr="00F42D6C" w:rsidRDefault="00FE3123" w:rsidP="00311D3D">
            <w:pPr>
              <w:jc w:val="center"/>
              <w:rPr>
                <w:i/>
                <w:snapToGrid w:val="0"/>
              </w:rPr>
            </w:pPr>
            <w:r w:rsidRPr="00F42D6C">
              <w:rPr>
                <w:bCs/>
                <w:i/>
                <w:snapToGrid w:val="0"/>
              </w:rPr>
              <w:t>(amounts in thousands, except common share information)</w:t>
            </w:r>
          </w:p>
        </w:tc>
      </w:tr>
      <w:tr w:rsidR="00FE3123" w:rsidRPr="00F42D6C" w14:paraId="63ED64FC" w14:textId="77777777" w:rsidTr="00311D3D">
        <w:trPr>
          <w:trHeight w:val="293"/>
        </w:trPr>
        <w:tc>
          <w:tcPr>
            <w:tcW w:w="237" w:type="dxa"/>
          </w:tcPr>
          <w:p w14:paraId="51494380" w14:textId="77777777" w:rsidR="00FE3123" w:rsidRPr="00F42D6C" w:rsidRDefault="00FE3123" w:rsidP="00311D3D">
            <w:pPr>
              <w:jc w:val="center"/>
              <w:rPr>
                <w:b/>
                <w:bCs/>
                <w:snapToGrid w:val="0"/>
              </w:rPr>
            </w:pPr>
          </w:p>
        </w:tc>
        <w:tc>
          <w:tcPr>
            <w:tcW w:w="1462" w:type="dxa"/>
          </w:tcPr>
          <w:p w14:paraId="02AF72AD" w14:textId="77777777" w:rsidR="00FE3123" w:rsidRPr="00F42D6C" w:rsidRDefault="00FE3123" w:rsidP="00311D3D">
            <w:pPr>
              <w:jc w:val="center"/>
              <w:rPr>
                <w:snapToGrid w:val="0"/>
              </w:rPr>
            </w:pPr>
          </w:p>
        </w:tc>
        <w:tc>
          <w:tcPr>
            <w:tcW w:w="2921" w:type="dxa"/>
          </w:tcPr>
          <w:p w14:paraId="1FCEFCEA" w14:textId="77777777" w:rsidR="00FE3123" w:rsidRPr="00F42D6C" w:rsidRDefault="00FE3123" w:rsidP="00311D3D">
            <w:pPr>
              <w:jc w:val="center"/>
              <w:rPr>
                <w:snapToGrid w:val="0"/>
              </w:rPr>
            </w:pPr>
          </w:p>
        </w:tc>
        <w:tc>
          <w:tcPr>
            <w:tcW w:w="478" w:type="dxa"/>
          </w:tcPr>
          <w:p w14:paraId="62C95AF9" w14:textId="77777777" w:rsidR="00FE3123" w:rsidRPr="00F42D6C" w:rsidRDefault="00FE3123" w:rsidP="00311D3D">
            <w:pPr>
              <w:jc w:val="center"/>
              <w:rPr>
                <w:snapToGrid w:val="0"/>
              </w:rPr>
            </w:pPr>
          </w:p>
        </w:tc>
        <w:tc>
          <w:tcPr>
            <w:tcW w:w="1208" w:type="dxa"/>
          </w:tcPr>
          <w:p w14:paraId="61B3FB9D" w14:textId="77777777" w:rsidR="00FE3123" w:rsidRPr="00F42D6C" w:rsidRDefault="00FE3123" w:rsidP="00311D3D">
            <w:pPr>
              <w:jc w:val="center"/>
              <w:rPr>
                <w:snapToGrid w:val="0"/>
              </w:rPr>
            </w:pPr>
          </w:p>
        </w:tc>
        <w:tc>
          <w:tcPr>
            <w:tcW w:w="1208" w:type="dxa"/>
          </w:tcPr>
          <w:p w14:paraId="50C8AB39" w14:textId="77777777" w:rsidR="00FE3123" w:rsidRPr="00F42D6C" w:rsidRDefault="00FE3123" w:rsidP="00311D3D">
            <w:pPr>
              <w:jc w:val="center"/>
              <w:rPr>
                <w:snapToGrid w:val="0"/>
              </w:rPr>
            </w:pPr>
          </w:p>
        </w:tc>
        <w:tc>
          <w:tcPr>
            <w:tcW w:w="1208" w:type="dxa"/>
          </w:tcPr>
          <w:p w14:paraId="3D5D86D8" w14:textId="77777777" w:rsidR="00FE3123" w:rsidRPr="00F42D6C" w:rsidRDefault="00FE3123" w:rsidP="00311D3D">
            <w:pPr>
              <w:jc w:val="center"/>
              <w:rPr>
                <w:snapToGrid w:val="0"/>
              </w:rPr>
            </w:pPr>
          </w:p>
        </w:tc>
        <w:tc>
          <w:tcPr>
            <w:tcW w:w="1208" w:type="dxa"/>
          </w:tcPr>
          <w:p w14:paraId="480ADDD7" w14:textId="77777777" w:rsidR="00FE3123" w:rsidRPr="00F42D6C" w:rsidRDefault="00FE3123" w:rsidP="00311D3D">
            <w:pPr>
              <w:jc w:val="center"/>
              <w:rPr>
                <w:snapToGrid w:val="0"/>
              </w:rPr>
            </w:pPr>
          </w:p>
        </w:tc>
      </w:tr>
      <w:tr w:rsidR="00FE3123" w:rsidRPr="00F42D6C" w14:paraId="50ADD4F4" w14:textId="77777777" w:rsidTr="00311D3D">
        <w:trPr>
          <w:trHeight w:val="276"/>
        </w:trPr>
        <w:tc>
          <w:tcPr>
            <w:tcW w:w="237" w:type="dxa"/>
          </w:tcPr>
          <w:p w14:paraId="2547F642" w14:textId="77777777" w:rsidR="00FE3123" w:rsidRPr="00F42D6C" w:rsidRDefault="00FE3123" w:rsidP="00311D3D">
            <w:pPr>
              <w:jc w:val="right"/>
              <w:rPr>
                <w:snapToGrid w:val="0"/>
              </w:rPr>
            </w:pPr>
          </w:p>
        </w:tc>
        <w:tc>
          <w:tcPr>
            <w:tcW w:w="1462" w:type="dxa"/>
          </w:tcPr>
          <w:p w14:paraId="54BF0C3B" w14:textId="77777777" w:rsidR="00FE3123" w:rsidRPr="00F42D6C" w:rsidRDefault="00FE3123" w:rsidP="00311D3D">
            <w:pPr>
              <w:jc w:val="right"/>
              <w:rPr>
                <w:snapToGrid w:val="0"/>
              </w:rPr>
            </w:pPr>
          </w:p>
        </w:tc>
        <w:tc>
          <w:tcPr>
            <w:tcW w:w="2921" w:type="dxa"/>
          </w:tcPr>
          <w:p w14:paraId="40450D7F" w14:textId="77777777" w:rsidR="00FE3123" w:rsidRPr="00F42D6C" w:rsidRDefault="00FE3123" w:rsidP="00311D3D">
            <w:pPr>
              <w:jc w:val="right"/>
              <w:rPr>
                <w:snapToGrid w:val="0"/>
              </w:rPr>
            </w:pPr>
          </w:p>
        </w:tc>
        <w:tc>
          <w:tcPr>
            <w:tcW w:w="478" w:type="dxa"/>
          </w:tcPr>
          <w:p w14:paraId="3423A7B7" w14:textId="77777777" w:rsidR="00FE3123" w:rsidRPr="00F42D6C" w:rsidRDefault="00FE3123" w:rsidP="00311D3D">
            <w:pPr>
              <w:jc w:val="right"/>
              <w:rPr>
                <w:snapToGrid w:val="0"/>
              </w:rPr>
            </w:pPr>
          </w:p>
        </w:tc>
        <w:tc>
          <w:tcPr>
            <w:tcW w:w="2416" w:type="dxa"/>
            <w:gridSpan w:val="2"/>
          </w:tcPr>
          <w:p w14:paraId="56E5E481" w14:textId="77777777" w:rsidR="00FE3123" w:rsidRPr="00F42D6C" w:rsidRDefault="00FE3123" w:rsidP="00311D3D">
            <w:pPr>
              <w:ind w:right="-210"/>
              <w:jc w:val="center"/>
              <w:rPr>
                <w:snapToGrid w:val="0"/>
              </w:rPr>
            </w:pPr>
          </w:p>
        </w:tc>
        <w:tc>
          <w:tcPr>
            <w:tcW w:w="2416" w:type="dxa"/>
            <w:gridSpan w:val="2"/>
          </w:tcPr>
          <w:p w14:paraId="4C7C1E93" w14:textId="77777777" w:rsidR="00FE3123" w:rsidRPr="00F42D6C" w:rsidRDefault="00FE3123" w:rsidP="00311D3D">
            <w:pPr>
              <w:jc w:val="center"/>
              <w:rPr>
                <w:snapToGrid w:val="0"/>
              </w:rPr>
            </w:pPr>
            <w:r w:rsidRPr="00F42D6C">
              <w:rPr>
                <w:snapToGrid w:val="0"/>
              </w:rPr>
              <w:t>Three Months Ended</w:t>
            </w:r>
          </w:p>
        </w:tc>
      </w:tr>
      <w:tr w:rsidR="00FE3123" w:rsidRPr="00F42D6C" w14:paraId="4DE5244A" w14:textId="77777777" w:rsidTr="00311D3D">
        <w:trPr>
          <w:trHeight w:val="276"/>
        </w:trPr>
        <w:tc>
          <w:tcPr>
            <w:tcW w:w="237" w:type="dxa"/>
          </w:tcPr>
          <w:p w14:paraId="37CF6F88" w14:textId="77777777" w:rsidR="00FE3123" w:rsidRPr="00F42D6C" w:rsidRDefault="00FE3123" w:rsidP="00311D3D">
            <w:pPr>
              <w:jc w:val="right"/>
              <w:rPr>
                <w:snapToGrid w:val="0"/>
              </w:rPr>
            </w:pPr>
          </w:p>
        </w:tc>
        <w:tc>
          <w:tcPr>
            <w:tcW w:w="1462" w:type="dxa"/>
          </w:tcPr>
          <w:p w14:paraId="2BF6748C" w14:textId="77777777" w:rsidR="00FE3123" w:rsidRPr="00F42D6C" w:rsidRDefault="00FE3123" w:rsidP="00311D3D">
            <w:pPr>
              <w:jc w:val="right"/>
              <w:rPr>
                <w:snapToGrid w:val="0"/>
              </w:rPr>
            </w:pPr>
          </w:p>
        </w:tc>
        <w:tc>
          <w:tcPr>
            <w:tcW w:w="2921" w:type="dxa"/>
          </w:tcPr>
          <w:p w14:paraId="28E1E4EB" w14:textId="77777777" w:rsidR="00FE3123" w:rsidRPr="00F42D6C" w:rsidRDefault="00FE3123" w:rsidP="00311D3D">
            <w:pPr>
              <w:jc w:val="right"/>
              <w:rPr>
                <w:snapToGrid w:val="0"/>
              </w:rPr>
            </w:pPr>
          </w:p>
        </w:tc>
        <w:tc>
          <w:tcPr>
            <w:tcW w:w="478" w:type="dxa"/>
          </w:tcPr>
          <w:p w14:paraId="7D17DED6" w14:textId="77777777" w:rsidR="00FE3123" w:rsidRPr="00F42D6C" w:rsidRDefault="00FE3123" w:rsidP="00311D3D">
            <w:pPr>
              <w:jc w:val="right"/>
              <w:rPr>
                <w:snapToGrid w:val="0"/>
              </w:rPr>
            </w:pPr>
          </w:p>
        </w:tc>
        <w:tc>
          <w:tcPr>
            <w:tcW w:w="2416" w:type="dxa"/>
            <w:gridSpan w:val="2"/>
          </w:tcPr>
          <w:p w14:paraId="17CCC549" w14:textId="77777777" w:rsidR="00FE3123" w:rsidRPr="00F42D6C" w:rsidRDefault="00FE3123" w:rsidP="00311D3D">
            <w:pPr>
              <w:jc w:val="center"/>
              <w:rPr>
                <w:snapToGrid w:val="0"/>
              </w:rPr>
            </w:pPr>
          </w:p>
        </w:tc>
        <w:tc>
          <w:tcPr>
            <w:tcW w:w="2416" w:type="dxa"/>
            <w:gridSpan w:val="2"/>
            <w:tcBorders>
              <w:bottom w:val="single" w:sz="6" w:space="0" w:color="auto"/>
            </w:tcBorders>
          </w:tcPr>
          <w:p w14:paraId="25B939A5" w14:textId="77777777" w:rsidR="00FE3123" w:rsidRPr="00F42D6C" w:rsidRDefault="00FE3123" w:rsidP="00311D3D">
            <w:pPr>
              <w:jc w:val="center"/>
              <w:rPr>
                <w:snapToGrid w:val="0"/>
              </w:rPr>
            </w:pPr>
            <w:r w:rsidRPr="00F42D6C">
              <w:rPr>
                <w:snapToGrid w:val="0"/>
              </w:rPr>
              <w:t xml:space="preserve">March 31, </w:t>
            </w:r>
          </w:p>
        </w:tc>
      </w:tr>
      <w:tr w:rsidR="00FE3123" w:rsidRPr="00F42D6C" w14:paraId="61BFA2CE" w14:textId="77777777" w:rsidTr="00311D3D">
        <w:trPr>
          <w:trHeight w:val="276"/>
        </w:trPr>
        <w:tc>
          <w:tcPr>
            <w:tcW w:w="237" w:type="dxa"/>
          </w:tcPr>
          <w:p w14:paraId="6AAE114F" w14:textId="77777777" w:rsidR="00FE3123" w:rsidRPr="00F42D6C" w:rsidRDefault="00FE3123" w:rsidP="00311D3D">
            <w:pPr>
              <w:jc w:val="right"/>
              <w:rPr>
                <w:snapToGrid w:val="0"/>
              </w:rPr>
            </w:pPr>
          </w:p>
        </w:tc>
        <w:tc>
          <w:tcPr>
            <w:tcW w:w="1462" w:type="dxa"/>
          </w:tcPr>
          <w:p w14:paraId="32DAE927" w14:textId="77777777" w:rsidR="00FE3123" w:rsidRPr="00F42D6C" w:rsidRDefault="00FE3123" w:rsidP="00311D3D">
            <w:pPr>
              <w:jc w:val="right"/>
              <w:rPr>
                <w:snapToGrid w:val="0"/>
              </w:rPr>
            </w:pPr>
          </w:p>
        </w:tc>
        <w:tc>
          <w:tcPr>
            <w:tcW w:w="2921" w:type="dxa"/>
          </w:tcPr>
          <w:p w14:paraId="132F54C3" w14:textId="77777777" w:rsidR="00FE3123" w:rsidRPr="00F42D6C" w:rsidRDefault="00FE3123" w:rsidP="00311D3D">
            <w:pPr>
              <w:jc w:val="right"/>
              <w:rPr>
                <w:snapToGrid w:val="0"/>
              </w:rPr>
            </w:pPr>
          </w:p>
        </w:tc>
        <w:tc>
          <w:tcPr>
            <w:tcW w:w="478" w:type="dxa"/>
          </w:tcPr>
          <w:p w14:paraId="19D37D48" w14:textId="77777777" w:rsidR="00FE3123" w:rsidRPr="00F42D6C" w:rsidRDefault="00FE3123" w:rsidP="00311D3D">
            <w:pPr>
              <w:jc w:val="right"/>
              <w:rPr>
                <w:snapToGrid w:val="0"/>
              </w:rPr>
            </w:pPr>
          </w:p>
        </w:tc>
        <w:tc>
          <w:tcPr>
            <w:tcW w:w="1208" w:type="dxa"/>
          </w:tcPr>
          <w:p w14:paraId="6179EEB9" w14:textId="77777777" w:rsidR="00FE3123" w:rsidRPr="00F42D6C" w:rsidRDefault="00FE3123" w:rsidP="00311D3D">
            <w:pPr>
              <w:jc w:val="center"/>
              <w:rPr>
                <w:snapToGrid w:val="0"/>
              </w:rPr>
            </w:pPr>
          </w:p>
        </w:tc>
        <w:tc>
          <w:tcPr>
            <w:tcW w:w="1208" w:type="dxa"/>
          </w:tcPr>
          <w:p w14:paraId="1DC8188F" w14:textId="77777777" w:rsidR="00FE3123" w:rsidRPr="00F42D6C" w:rsidRDefault="00FE3123" w:rsidP="00311D3D">
            <w:pPr>
              <w:jc w:val="center"/>
              <w:rPr>
                <w:snapToGrid w:val="0"/>
              </w:rPr>
            </w:pPr>
          </w:p>
        </w:tc>
        <w:tc>
          <w:tcPr>
            <w:tcW w:w="1208" w:type="dxa"/>
            <w:tcBorders>
              <w:bottom w:val="single" w:sz="4" w:space="0" w:color="auto"/>
            </w:tcBorders>
          </w:tcPr>
          <w:p w14:paraId="2062E843" w14:textId="77777777" w:rsidR="00FE3123" w:rsidRPr="00F42D6C" w:rsidRDefault="00FE3123" w:rsidP="00311D3D">
            <w:pPr>
              <w:jc w:val="center"/>
              <w:rPr>
                <w:snapToGrid w:val="0"/>
              </w:rPr>
            </w:pPr>
            <w:r w:rsidRPr="00F42D6C">
              <w:rPr>
                <w:snapToGrid w:val="0"/>
              </w:rPr>
              <w:t>202</w:t>
            </w:r>
            <w:r>
              <w:rPr>
                <w:snapToGrid w:val="0"/>
              </w:rPr>
              <w:t>4</w:t>
            </w:r>
          </w:p>
        </w:tc>
        <w:tc>
          <w:tcPr>
            <w:tcW w:w="1208" w:type="dxa"/>
            <w:tcBorders>
              <w:bottom w:val="single" w:sz="4" w:space="0" w:color="auto"/>
            </w:tcBorders>
          </w:tcPr>
          <w:p w14:paraId="0D7522AB" w14:textId="77777777" w:rsidR="00FE3123" w:rsidRPr="00F42D6C" w:rsidRDefault="00FE3123" w:rsidP="00311D3D">
            <w:pPr>
              <w:jc w:val="center"/>
              <w:rPr>
                <w:snapToGrid w:val="0"/>
              </w:rPr>
            </w:pPr>
            <w:r w:rsidRPr="00F42D6C">
              <w:rPr>
                <w:snapToGrid w:val="0"/>
              </w:rPr>
              <w:t>202</w:t>
            </w:r>
            <w:r>
              <w:rPr>
                <w:snapToGrid w:val="0"/>
              </w:rPr>
              <w:t>3</w:t>
            </w:r>
          </w:p>
        </w:tc>
      </w:tr>
      <w:tr w:rsidR="00FE3123" w:rsidRPr="00F42D6C" w14:paraId="19EA5D08" w14:textId="77777777" w:rsidTr="00311D3D">
        <w:trPr>
          <w:trHeight w:val="276"/>
        </w:trPr>
        <w:tc>
          <w:tcPr>
            <w:tcW w:w="4620" w:type="dxa"/>
            <w:gridSpan w:val="3"/>
          </w:tcPr>
          <w:p w14:paraId="0FD5AAE1" w14:textId="77777777" w:rsidR="00FE3123" w:rsidRPr="00F42D6C" w:rsidRDefault="00FE3123" w:rsidP="00311D3D">
            <w:pPr>
              <w:rPr>
                <w:snapToGrid w:val="0"/>
              </w:rPr>
            </w:pPr>
            <w:r w:rsidRPr="00F42D6C">
              <w:rPr>
                <w:snapToGrid w:val="0"/>
              </w:rPr>
              <w:t>Operating expenses:</w:t>
            </w:r>
          </w:p>
        </w:tc>
        <w:tc>
          <w:tcPr>
            <w:tcW w:w="478" w:type="dxa"/>
          </w:tcPr>
          <w:p w14:paraId="13093EC0" w14:textId="77777777" w:rsidR="00FE3123" w:rsidRPr="00F42D6C" w:rsidRDefault="00FE3123" w:rsidP="00311D3D">
            <w:pPr>
              <w:jc w:val="right"/>
              <w:rPr>
                <w:snapToGrid w:val="0"/>
              </w:rPr>
            </w:pPr>
          </w:p>
        </w:tc>
        <w:tc>
          <w:tcPr>
            <w:tcW w:w="1208" w:type="dxa"/>
          </w:tcPr>
          <w:p w14:paraId="64B90A63" w14:textId="77777777" w:rsidR="00FE3123" w:rsidRPr="00F42D6C" w:rsidRDefault="00FE3123" w:rsidP="00311D3D">
            <w:pPr>
              <w:tabs>
                <w:tab w:val="decimal" w:pos="960"/>
              </w:tabs>
              <w:rPr>
                <w:snapToGrid w:val="0"/>
              </w:rPr>
            </w:pPr>
          </w:p>
        </w:tc>
        <w:tc>
          <w:tcPr>
            <w:tcW w:w="1208" w:type="dxa"/>
          </w:tcPr>
          <w:p w14:paraId="29D07279" w14:textId="77777777" w:rsidR="00FE3123" w:rsidRPr="00F42D6C" w:rsidRDefault="00FE3123" w:rsidP="00311D3D">
            <w:pPr>
              <w:tabs>
                <w:tab w:val="decimal" w:pos="910"/>
              </w:tabs>
              <w:rPr>
                <w:snapToGrid w:val="0"/>
              </w:rPr>
            </w:pPr>
          </w:p>
        </w:tc>
        <w:tc>
          <w:tcPr>
            <w:tcW w:w="1208" w:type="dxa"/>
          </w:tcPr>
          <w:p w14:paraId="3CC4651F" w14:textId="77777777" w:rsidR="00FE3123" w:rsidRPr="00F42D6C" w:rsidRDefault="00FE3123" w:rsidP="00311D3D">
            <w:pPr>
              <w:tabs>
                <w:tab w:val="decimal" w:pos="860"/>
              </w:tabs>
              <w:jc w:val="center"/>
              <w:rPr>
                <w:snapToGrid w:val="0"/>
              </w:rPr>
            </w:pPr>
          </w:p>
        </w:tc>
        <w:tc>
          <w:tcPr>
            <w:tcW w:w="1208" w:type="dxa"/>
          </w:tcPr>
          <w:p w14:paraId="556835F2" w14:textId="77777777" w:rsidR="00FE3123" w:rsidRPr="00F42D6C" w:rsidRDefault="00FE3123" w:rsidP="00311D3D">
            <w:pPr>
              <w:tabs>
                <w:tab w:val="decimal" w:pos="907"/>
              </w:tabs>
              <w:jc w:val="center"/>
              <w:rPr>
                <w:snapToGrid w:val="0"/>
              </w:rPr>
            </w:pPr>
          </w:p>
        </w:tc>
      </w:tr>
      <w:tr w:rsidR="00FE3123" w:rsidRPr="00F42D6C" w14:paraId="1A238E75" w14:textId="77777777" w:rsidTr="00311D3D">
        <w:trPr>
          <w:trHeight w:val="276"/>
        </w:trPr>
        <w:tc>
          <w:tcPr>
            <w:tcW w:w="237" w:type="dxa"/>
          </w:tcPr>
          <w:p w14:paraId="4EFFC6C2" w14:textId="77777777" w:rsidR="00FE3123" w:rsidRPr="00F42D6C" w:rsidRDefault="00FE3123" w:rsidP="00311D3D">
            <w:pPr>
              <w:jc w:val="right"/>
              <w:rPr>
                <w:snapToGrid w:val="0"/>
              </w:rPr>
            </w:pPr>
          </w:p>
        </w:tc>
        <w:tc>
          <w:tcPr>
            <w:tcW w:w="4383" w:type="dxa"/>
            <w:gridSpan w:val="2"/>
          </w:tcPr>
          <w:p w14:paraId="4578EBEC" w14:textId="77777777" w:rsidR="00FE3123" w:rsidRPr="00F42D6C" w:rsidRDefault="00FE3123" w:rsidP="00311D3D">
            <w:pPr>
              <w:rPr>
                <w:snapToGrid w:val="0"/>
              </w:rPr>
            </w:pPr>
            <w:r w:rsidRPr="00F42D6C">
              <w:rPr>
                <w:snapToGrid w:val="0"/>
              </w:rPr>
              <w:t>Research and development</w:t>
            </w:r>
          </w:p>
        </w:tc>
        <w:tc>
          <w:tcPr>
            <w:tcW w:w="478" w:type="dxa"/>
          </w:tcPr>
          <w:p w14:paraId="4AFFA8B5" w14:textId="77777777" w:rsidR="00FE3123" w:rsidRPr="00F42D6C" w:rsidRDefault="00FE3123" w:rsidP="00311D3D">
            <w:pPr>
              <w:jc w:val="right"/>
              <w:rPr>
                <w:snapToGrid w:val="0"/>
              </w:rPr>
            </w:pPr>
          </w:p>
        </w:tc>
        <w:tc>
          <w:tcPr>
            <w:tcW w:w="1208" w:type="dxa"/>
          </w:tcPr>
          <w:p w14:paraId="4CF7F7C7" w14:textId="77777777" w:rsidR="00FE3123" w:rsidRPr="00F42D6C" w:rsidRDefault="00FE3123" w:rsidP="00311D3D">
            <w:pPr>
              <w:tabs>
                <w:tab w:val="decimal" w:pos="960"/>
              </w:tabs>
              <w:rPr>
                <w:snapToGrid w:val="0"/>
              </w:rPr>
            </w:pPr>
          </w:p>
        </w:tc>
        <w:tc>
          <w:tcPr>
            <w:tcW w:w="1208" w:type="dxa"/>
          </w:tcPr>
          <w:p w14:paraId="5FE966D5" w14:textId="77777777" w:rsidR="00FE3123" w:rsidRPr="00F42D6C" w:rsidRDefault="00FE3123" w:rsidP="00311D3D">
            <w:pPr>
              <w:tabs>
                <w:tab w:val="decimal" w:pos="910"/>
              </w:tabs>
              <w:rPr>
                <w:snapToGrid w:val="0"/>
              </w:rPr>
            </w:pPr>
          </w:p>
        </w:tc>
        <w:tc>
          <w:tcPr>
            <w:tcW w:w="1208" w:type="dxa"/>
          </w:tcPr>
          <w:p w14:paraId="181AD58B" w14:textId="77777777" w:rsidR="00FE3123" w:rsidRPr="00F42D6C" w:rsidRDefault="00FE3123" w:rsidP="00311D3D">
            <w:pPr>
              <w:tabs>
                <w:tab w:val="left" w:pos="163"/>
                <w:tab w:val="decimal" w:pos="860"/>
              </w:tabs>
              <w:rPr>
                <w:snapToGrid w:val="0"/>
              </w:rPr>
            </w:pPr>
            <w:r>
              <w:rPr>
                <w:snapToGrid w:val="0"/>
              </w:rPr>
              <w:tab/>
              <w:t>$</w:t>
            </w:r>
            <w:r>
              <w:rPr>
                <w:snapToGrid w:val="0"/>
              </w:rPr>
              <w:tab/>
              <w:t>4,426</w:t>
            </w:r>
          </w:p>
        </w:tc>
        <w:tc>
          <w:tcPr>
            <w:tcW w:w="1208" w:type="dxa"/>
          </w:tcPr>
          <w:p w14:paraId="587EF901" w14:textId="77777777" w:rsidR="00FE3123" w:rsidRPr="00F42D6C" w:rsidRDefault="00FE3123" w:rsidP="00311D3D">
            <w:pPr>
              <w:tabs>
                <w:tab w:val="left" w:pos="67"/>
                <w:tab w:val="decimal" w:pos="907"/>
              </w:tabs>
              <w:rPr>
                <w:snapToGrid w:val="0"/>
              </w:rPr>
            </w:pPr>
            <w:r>
              <w:rPr>
                <w:snapToGrid w:val="0"/>
              </w:rPr>
              <w:tab/>
              <w:t>$</w:t>
            </w:r>
            <w:r>
              <w:rPr>
                <w:snapToGrid w:val="0"/>
              </w:rPr>
              <w:tab/>
              <w:t>2,819</w:t>
            </w:r>
          </w:p>
        </w:tc>
      </w:tr>
      <w:tr w:rsidR="00FE3123" w:rsidRPr="00F42D6C" w14:paraId="6699DBFE" w14:textId="77777777" w:rsidTr="00311D3D">
        <w:trPr>
          <w:trHeight w:val="276"/>
        </w:trPr>
        <w:tc>
          <w:tcPr>
            <w:tcW w:w="237" w:type="dxa"/>
          </w:tcPr>
          <w:p w14:paraId="611CD1FA" w14:textId="77777777" w:rsidR="00FE3123" w:rsidRPr="00F42D6C" w:rsidRDefault="00FE3123" w:rsidP="00311D3D">
            <w:pPr>
              <w:jc w:val="right"/>
              <w:rPr>
                <w:snapToGrid w:val="0"/>
              </w:rPr>
            </w:pPr>
          </w:p>
        </w:tc>
        <w:tc>
          <w:tcPr>
            <w:tcW w:w="4383" w:type="dxa"/>
            <w:gridSpan w:val="2"/>
          </w:tcPr>
          <w:p w14:paraId="29B05BDB" w14:textId="77777777" w:rsidR="00FE3123" w:rsidRPr="00F42D6C" w:rsidRDefault="00FE3123" w:rsidP="00311D3D">
            <w:pPr>
              <w:rPr>
                <w:snapToGrid w:val="0"/>
              </w:rPr>
            </w:pPr>
            <w:r w:rsidRPr="00F42D6C">
              <w:rPr>
                <w:snapToGrid w:val="0"/>
              </w:rPr>
              <w:t>General and administrative</w:t>
            </w:r>
          </w:p>
        </w:tc>
        <w:tc>
          <w:tcPr>
            <w:tcW w:w="478" w:type="dxa"/>
          </w:tcPr>
          <w:p w14:paraId="6DC0B9F2" w14:textId="77777777" w:rsidR="00FE3123" w:rsidRPr="00F42D6C" w:rsidRDefault="00FE3123" w:rsidP="00311D3D">
            <w:pPr>
              <w:jc w:val="right"/>
              <w:rPr>
                <w:snapToGrid w:val="0"/>
              </w:rPr>
            </w:pPr>
          </w:p>
        </w:tc>
        <w:tc>
          <w:tcPr>
            <w:tcW w:w="1208" w:type="dxa"/>
          </w:tcPr>
          <w:p w14:paraId="15AA6D81" w14:textId="77777777" w:rsidR="00FE3123" w:rsidRPr="00F42D6C" w:rsidRDefault="00FE3123" w:rsidP="00311D3D">
            <w:pPr>
              <w:tabs>
                <w:tab w:val="decimal" w:pos="960"/>
              </w:tabs>
              <w:rPr>
                <w:snapToGrid w:val="0"/>
              </w:rPr>
            </w:pPr>
          </w:p>
        </w:tc>
        <w:tc>
          <w:tcPr>
            <w:tcW w:w="1208" w:type="dxa"/>
          </w:tcPr>
          <w:p w14:paraId="4637B99E" w14:textId="77777777" w:rsidR="00FE3123" w:rsidRPr="00F42D6C" w:rsidRDefault="00FE3123" w:rsidP="00311D3D">
            <w:pPr>
              <w:tabs>
                <w:tab w:val="decimal" w:pos="910"/>
              </w:tabs>
              <w:rPr>
                <w:snapToGrid w:val="0"/>
              </w:rPr>
            </w:pPr>
          </w:p>
        </w:tc>
        <w:tc>
          <w:tcPr>
            <w:tcW w:w="1208" w:type="dxa"/>
          </w:tcPr>
          <w:p w14:paraId="62D8AE60" w14:textId="77777777" w:rsidR="00FE3123" w:rsidRPr="00F42D6C" w:rsidRDefault="00FE3123" w:rsidP="00311D3D">
            <w:pPr>
              <w:tabs>
                <w:tab w:val="decimal" w:pos="860"/>
              </w:tabs>
              <w:rPr>
                <w:snapToGrid w:val="0"/>
              </w:rPr>
            </w:pPr>
            <w:r>
              <w:rPr>
                <w:snapToGrid w:val="0"/>
              </w:rPr>
              <w:t>1,457</w:t>
            </w:r>
          </w:p>
        </w:tc>
        <w:tc>
          <w:tcPr>
            <w:tcW w:w="1208" w:type="dxa"/>
          </w:tcPr>
          <w:p w14:paraId="2DA679C2" w14:textId="77777777" w:rsidR="00FE3123" w:rsidRPr="00F42D6C" w:rsidRDefault="00FE3123" w:rsidP="00311D3D">
            <w:pPr>
              <w:tabs>
                <w:tab w:val="decimal" w:pos="907"/>
              </w:tabs>
              <w:rPr>
                <w:snapToGrid w:val="0"/>
              </w:rPr>
            </w:pPr>
            <w:r w:rsidRPr="00F42D6C">
              <w:rPr>
                <w:snapToGrid w:val="0"/>
              </w:rPr>
              <w:t>1,</w:t>
            </w:r>
            <w:r>
              <w:rPr>
                <w:snapToGrid w:val="0"/>
              </w:rPr>
              <w:t>451</w:t>
            </w:r>
          </w:p>
        </w:tc>
      </w:tr>
      <w:tr w:rsidR="00FE3123" w:rsidRPr="00F42D6C" w14:paraId="43DB8F41" w14:textId="77777777" w:rsidTr="00311D3D">
        <w:trPr>
          <w:trHeight w:val="276"/>
        </w:trPr>
        <w:tc>
          <w:tcPr>
            <w:tcW w:w="237" w:type="dxa"/>
          </w:tcPr>
          <w:p w14:paraId="37999B48" w14:textId="77777777" w:rsidR="00FE3123" w:rsidRPr="00F42D6C" w:rsidRDefault="00FE3123" w:rsidP="00311D3D">
            <w:pPr>
              <w:jc w:val="right"/>
              <w:rPr>
                <w:snapToGrid w:val="0"/>
              </w:rPr>
            </w:pPr>
          </w:p>
        </w:tc>
        <w:tc>
          <w:tcPr>
            <w:tcW w:w="1462" w:type="dxa"/>
          </w:tcPr>
          <w:p w14:paraId="1AE6E43D" w14:textId="77777777" w:rsidR="00FE3123" w:rsidRPr="00F42D6C" w:rsidRDefault="00FE3123" w:rsidP="00311D3D">
            <w:pPr>
              <w:jc w:val="right"/>
              <w:rPr>
                <w:snapToGrid w:val="0"/>
              </w:rPr>
            </w:pPr>
          </w:p>
        </w:tc>
        <w:tc>
          <w:tcPr>
            <w:tcW w:w="2921" w:type="dxa"/>
          </w:tcPr>
          <w:p w14:paraId="26CEABCA" w14:textId="77777777" w:rsidR="00FE3123" w:rsidRPr="00F42D6C" w:rsidRDefault="00FE3123" w:rsidP="00311D3D">
            <w:pPr>
              <w:jc w:val="right"/>
              <w:rPr>
                <w:snapToGrid w:val="0"/>
              </w:rPr>
            </w:pPr>
          </w:p>
        </w:tc>
        <w:tc>
          <w:tcPr>
            <w:tcW w:w="478" w:type="dxa"/>
          </w:tcPr>
          <w:p w14:paraId="61A11DA0" w14:textId="77777777" w:rsidR="00FE3123" w:rsidRPr="00F42D6C" w:rsidRDefault="00FE3123" w:rsidP="00311D3D">
            <w:pPr>
              <w:jc w:val="right"/>
              <w:rPr>
                <w:snapToGrid w:val="0"/>
              </w:rPr>
            </w:pPr>
          </w:p>
        </w:tc>
        <w:tc>
          <w:tcPr>
            <w:tcW w:w="1208" w:type="dxa"/>
          </w:tcPr>
          <w:p w14:paraId="7CFA7AA2" w14:textId="77777777" w:rsidR="00FE3123" w:rsidRPr="00F42D6C" w:rsidRDefault="00FE3123" w:rsidP="00311D3D">
            <w:pPr>
              <w:tabs>
                <w:tab w:val="decimal" w:pos="960"/>
              </w:tabs>
              <w:rPr>
                <w:snapToGrid w:val="0"/>
              </w:rPr>
            </w:pPr>
          </w:p>
        </w:tc>
        <w:tc>
          <w:tcPr>
            <w:tcW w:w="1208" w:type="dxa"/>
          </w:tcPr>
          <w:p w14:paraId="303F8E31" w14:textId="77777777" w:rsidR="00FE3123" w:rsidRPr="00F42D6C" w:rsidRDefault="00FE3123" w:rsidP="00311D3D">
            <w:pPr>
              <w:tabs>
                <w:tab w:val="decimal" w:pos="910"/>
              </w:tabs>
              <w:rPr>
                <w:snapToGrid w:val="0"/>
              </w:rPr>
            </w:pPr>
          </w:p>
        </w:tc>
        <w:tc>
          <w:tcPr>
            <w:tcW w:w="1208" w:type="dxa"/>
            <w:tcBorders>
              <w:top w:val="single" w:sz="6" w:space="0" w:color="auto"/>
            </w:tcBorders>
          </w:tcPr>
          <w:p w14:paraId="113EB2AA" w14:textId="77777777" w:rsidR="00FE3123" w:rsidRPr="00F42D6C" w:rsidRDefault="00FE3123" w:rsidP="00311D3D">
            <w:pPr>
              <w:tabs>
                <w:tab w:val="decimal" w:pos="860"/>
              </w:tabs>
              <w:rPr>
                <w:snapToGrid w:val="0"/>
              </w:rPr>
            </w:pPr>
            <w:r>
              <w:rPr>
                <w:snapToGrid w:val="0"/>
              </w:rPr>
              <w:t>5,883</w:t>
            </w:r>
          </w:p>
        </w:tc>
        <w:tc>
          <w:tcPr>
            <w:tcW w:w="1208" w:type="dxa"/>
            <w:tcBorders>
              <w:top w:val="single" w:sz="6" w:space="0" w:color="auto"/>
            </w:tcBorders>
          </w:tcPr>
          <w:p w14:paraId="2D58D476" w14:textId="77777777" w:rsidR="00FE3123" w:rsidRPr="00F42D6C" w:rsidRDefault="00FE3123" w:rsidP="00311D3D">
            <w:pPr>
              <w:tabs>
                <w:tab w:val="decimal" w:pos="907"/>
              </w:tabs>
              <w:rPr>
                <w:snapToGrid w:val="0"/>
              </w:rPr>
            </w:pPr>
            <w:r>
              <w:rPr>
                <w:snapToGrid w:val="0"/>
              </w:rPr>
              <w:t>4,270</w:t>
            </w:r>
          </w:p>
        </w:tc>
      </w:tr>
      <w:tr w:rsidR="00FE3123" w:rsidRPr="00F42D6C" w14:paraId="6C1A7F61" w14:textId="77777777" w:rsidTr="00311D3D">
        <w:trPr>
          <w:trHeight w:val="276"/>
        </w:trPr>
        <w:tc>
          <w:tcPr>
            <w:tcW w:w="237" w:type="dxa"/>
          </w:tcPr>
          <w:p w14:paraId="59138907" w14:textId="77777777" w:rsidR="00FE3123" w:rsidRPr="00F42D6C" w:rsidRDefault="00FE3123" w:rsidP="00311D3D">
            <w:pPr>
              <w:jc w:val="right"/>
              <w:rPr>
                <w:snapToGrid w:val="0"/>
              </w:rPr>
            </w:pPr>
          </w:p>
        </w:tc>
        <w:tc>
          <w:tcPr>
            <w:tcW w:w="4383" w:type="dxa"/>
            <w:gridSpan w:val="2"/>
          </w:tcPr>
          <w:p w14:paraId="5D7CB845" w14:textId="77777777" w:rsidR="00FE3123" w:rsidRPr="00F42D6C" w:rsidRDefault="00FE3123" w:rsidP="00311D3D">
            <w:pPr>
              <w:rPr>
                <w:snapToGrid w:val="0"/>
              </w:rPr>
            </w:pPr>
            <w:r w:rsidRPr="00F42D6C">
              <w:rPr>
                <w:snapToGrid w:val="0"/>
              </w:rPr>
              <w:t>Loss from operations</w:t>
            </w:r>
          </w:p>
        </w:tc>
        <w:tc>
          <w:tcPr>
            <w:tcW w:w="478" w:type="dxa"/>
          </w:tcPr>
          <w:p w14:paraId="14B60A08" w14:textId="77777777" w:rsidR="00FE3123" w:rsidRPr="00F42D6C" w:rsidRDefault="00FE3123" w:rsidP="00311D3D">
            <w:pPr>
              <w:jc w:val="right"/>
              <w:rPr>
                <w:snapToGrid w:val="0"/>
              </w:rPr>
            </w:pPr>
          </w:p>
        </w:tc>
        <w:tc>
          <w:tcPr>
            <w:tcW w:w="1208" w:type="dxa"/>
          </w:tcPr>
          <w:p w14:paraId="26AB9C04" w14:textId="77777777" w:rsidR="00FE3123" w:rsidRPr="00F42D6C" w:rsidRDefault="00FE3123" w:rsidP="00311D3D">
            <w:pPr>
              <w:tabs>
                <w:tab w:val="decimal" w:pos="960"/>
              </w:tabs>
              <w:rPr>
                <w:snapToGrid w:val="0"/>
              </w:rPr>
            </w:pPr>
          </w:p>
        </w:tc>
        <w:tc>
          <w:tcPr>
            <w:tcW w:w="1208" w:type="dxa"/>
          </w:tcPr>
          <w:p w14:paraId="208D0764" w14:textId="77777777" w:rsidR="00FE3123" w:rsidRPr="00F42D6C" w:rsidRDefault="00FE3123" w:rsidP="00311D3D">
            <w:pPr>
              <w:tabs>
                <w:tab w:val="decimal" w:pos="910"/>
              </w:tabs>
              <w:jc w:val="center"/>
              <w:rPr>
                <w:snapToGrid w:val="0"/>
              </w:rPr>
            </w:pPr>
          </w:p>
        </w:tc>
        <w:tc>
          <w:tcPr>
            <w:tcW w:w="1208" w:type="dxa"/>
            <w:tcBorders>
              <w:top w:val="single" w:sz="6" w:space="0" w:color="auto"/>
            </w:tcBorders>
          </w:tcPr>
          <w:p w14:paraId="5D615B2C" w14:textId="77777777" w:rsidR="00FE3123" w:rsidRPr="00F42D6C" w:rsidRDefault="00FE3123" w:rsidP="00311D3D">
            <w:pPr>
              <w:tabs>
                <w:tab w:val="decimal" w:pos="860"/>
              </w:tabs>
              <w:rPr>
                <w:snapToGrid w:val="0"/>
              </w:rPr>
            </w:pPr>
            <w:r w:rsidRPr="00F42D6C">
              <w:rPr>
                <w:snapToGrid w:val="0"/>
              </w:rPr>
              <w:t>(</w:t>
            </w:r>
            <w:r>
              <w:rPr>
                <w:snapToGrid w:val="0"/>
              </w:rPr>
              <w:t>5,883</w:t>
            </w:r>
            <w:r w:rsidRPr="00F42D6C">
              <w:rPr>
                <w:snapToGrid w:val="0"/>
              </w:rPr>
              <w:t>)</w:t>
            </w:r>
          </w:p>
        </w:tc>
        <w:tc>
          <w:tcPr>
            <w:tcW w:w="1208" w:type="dxa"/>
            <w:tcBorders>
              <w:top w:val="single" w:sz="6" w:space="0" w:color="auto"/>
            </w:tcBorders>
          </w:tcPr>
          <w:p w14:paraId="7AF38AA3" w14:textId="77777777" w:rsidR="00FE3123" w:rsidRPr="00F42D6C" w:rsidRDefault="00FE3123" w:rsidP="00311D3D">
            <w:pPr>
              <w:tabs>
                <w:tab w:val="decimal" w:pos="907"/>
              </w:tabs>
              <w:rPr>
                <w:snapToGrid w:val="0"/>
              </w:rPr>
            </w:pPr>
            <w:r w:rsidRPr="00F42D6C">
              <w:rPr>
                <w:snapToGrid w:val="0"/>
              </w:rPr>
              <w:t>(</w:t>
            </w:r>
            <w:r>
              <w:rPr>
                <w:snapToGrid w:val="0"/>
              </w:rPr>
              <w:t>4,270</w:t>
            </w:r>
            <w:r w:rsidRPr="00F42D6C">
              <w:rPr>
                <w:snapToGrid w:val="0"/>
              </w:rPr>
              <w:t>)</w:t>
            </w:r>
          </w:p>
        </w:tc>
      </w:tr>
      <w:tr w:rsidR="00FE3123" w:rsidRPr="00F42D6C" w14:paraId="0D709310" w14:textId="77777777" w:rsidTr="00311D3D">
        <w:trPr>
          <w:trHeight w:val="276"/>
        </w:trPr>
        <w:tc>
          <w:tcPr>
            <w:tcW w:w="237" w:type="dxa"/>
          </w:tcPr>
          <w:p w14:paraId="4F95A94B" w14:textId="77777777" w:rsidR="00FE3123" w:rsidRPr="00F42D6C" w:rsidRDefault="00FE3123" w:rsidP="00311D3D">
            <w:pPr>
              <w:jc w:val="right"/>
              <w:rPr>
                <w:snapToGrid w:val="0"/>
              </w:rPr>
            </w:pPr>
          </w:p>
        </w:tc>
        <w:tc>
          <w:tcPr>
            <w:tcW w:w="4383" w:type="dxa"/>
            <w:gridSpan w:val="2"/>
          </w:tcPr>
          <w:p w14:paraId="3B8C823B" w14:textId="77777777" w:rsidR="00FE3123" w:rsidRPr="00F42D6C" w:rsidRDefault="00FE3123" w:rsidP="00311D3D">
            <w:pPr>
              <w:rPr>
                <w:snapToGrid w:val="0"/>
              </w:rPr>
            </w:pPr>
            <w:r w:rsidRPr="00F42D6C">
              <w:rPr>
                <w:snapToGrid w:val="0"/>
              </w:rPr>
              <w:t>Other income (expense), net</w:t>
            </w:r>
          </w:p>
        </w:tc>
        <w:tc>
          <w:tcPr>
            <w:tcW w:w="478" w:type="dxa"/>
          </w:tcPr>
          <w:p w14:paraId="186CDF10" w14:textId="77777777" w:rsidR="00FE3123" w:rsidRPr="00F42D6C" w:rsidRDefault="00FE3123" w:rsidP="00311D3D">
            <w:pPr>
              <w:jc w:val="right"/>
              <w:rPr>
                <w:snapToGrid w:val="0"/>
              </w:rPr>
            </w:pPr>
          </w:p>
        </w:tc>
        <w:tc>
          <w:tcPr>
            <w:tcW w:w="1208" w:type="dxa"/>
          </w:tcPr>
          <w:p w14:paraId="23B6232F" w14:textId="77777777" w:rsidR="00FE3123" w:rsidRPr="00F42D6C" w:rsidRDefault="00FE3123" w:rsidP="00311D3D">
            <w:pPr>
              <w:tabs>
                <w:tab w:val="decimal" w:pos="960"/>
              </w:tabs>
              <w:rPr>
                <w:snapToGrid w:val="0"/>
              </w:rPr>
            </w:pPr>
          </w:p>
        </w:tc>
        <w:tc>
          <w:tcPr>
            <w:tcW w:w="1208" w:type="dxa"/>
          </w:tcPr>
          <w:p w14:paraId="1D7088A9" w14:textId="77777777" w:rsidR="00FE3123" w:rsidRPr="00F42D6C" w:rsidRDefault="00FE3123" w:rsidP="00311D3D">
            <w:pPr>
              <w:tabs>
                <w:tab w:val="decimal" w:pos="910"/>
              </w:tabs>
              <w:rPr>
                <w:snapToGrid w:val="0"/>
              </w:rPr>
            </w:pPr>
          </w:p>
        </w:tc>
        <w:tc>
          <w:tcPr>
            <w:tcW w:w="1208" w:type="dxa"/>
          </w:tcPr>
          <w:p w14:paraId="013772EC" w14:textId="77777777" w:rsidR="00FE3123" w:rsidRPr="00F42D6C" w:rsidRDefault="00FE3123" w:rsidP="00311D3D">
            <w:pPr>
              <w:tabs>
                <w:tab w:val="decimal" w:pos="860"/>
              </w:tabs>
              <w:rPr>
                <w:snapToGrid w:val="0"/>
              </w:rPr>
            </w:pPr>
            <w:r>
              <w:rPr>
                <w:snapToGrid w:val="0"/>
              </w:rPr>
              <w:t>33</w:t>
            </w:r>
          </w:p>
        </w:tc>
        <w:tc>
          <w:tcPr>
            <w:tcW w:w="1208" w:type="dxa"/>
          </w:tcPr>
          <w:p w14:paraId="47406BB3" w14:textId="77777777" w:rsidR="00FE3123" w:rsidRPr="00F42D6C" w:rsidRDefault="00FE3123" w:rsidP="00311D3D">
            <w:pPr>
              <w:tabs>
                <w:tab w:val="decimal" w:pos="907"/>
              </w:tabs>
              <w:rPr>
                <w:snapToGrid w:val="0"/>
              </w:rPr>
            </w:pPr>
            <w:r>
              <w:rPr>
                <w:snapToGrid w:val="0"/>
              </w:rPr>
              <w:t>232</w:t>
            </w:r>
          </w:p>
        </w:tc>
      </w:tr>
      <w:tr w:rsidR="00FE3123" w:rsidRPr="00F42D6C" w14:paraId="6BD800BC" w14:textId="77777777" w:rsidTr="00311D3D">
        <w:trPr>
          <w:trHeight w:val="276"/>
        </w:trPr>
        <w:tc>
          <w:tcPr>
            <w:tcW w:w="237" w:type="dxa"/>
          </w:tcPr>
          <w:p w14:paraId="32C6945F" w14:textId="77777777" w:rsidR="00FE3123" w:rsidRPr="00F42D6C" w:rsidRDefault="00FE3123" w:rsidP="00311D3D">
            <w:pPr>
              <w:jc w:val="right"/>
              <w:rPr>
                <w:snapToGrid w:val="0"/>
              </w:rPr>
            </w:pPr>
          </w:p>
        </w:tc>
        <w:tc>
          <w:tcPr>
            <w:tcW w:w="1462" w:type="dxa"/>
          </w:tcPr>
          <w:p w14:paraId="0736C5E6" w14:textId="77777777" w:rsidR="00FE3123" w:rsidRPr="00F42D6C" w:rsidRDefault="00FE3123" w:rsidP="00311D3D">
            <w:pPr>
              <w:jc w:val="right"/>
              <w:rPr>
                <w:snapToGrid w:val="0"/>
              </w:rPr>
            </w:pPr>
          </w:p>
        </w:tc>
        <w:tc>
          <w:tcPr>
            <w:tcW w:w="2921" w:type="dxa"/>
          </w:tcPr>
          <w:p w14:paraId="5B52C3AC" w14:textId="77777777" w:rsidR="00FE3123" w:rsidRPr="00F42D6C" w:rsidRDefault="00FE3123" w:rsidP="00311D3D">
            <w:pPr>
              <w:jc w:val="right"/>
              <w:rPr>
                <w:snapToGrid w:val="0"/>
              </w:rPr>
            </w:pPr>
          </w:p>
        </w:tc>
        <w:tc>
          <w:tcPr>
            <w:tcW w:w="478" w:type="dxa"/>
          </w:tcPr>
          <w:p w14:paraId="11298364" w14:textId="77777777" w:rsidR="00FE3123" w:rsidRPr="00F42D6C" w:rsidRDefault="00FE3123" w:rsidP="00311D3D">
            <w:pPr>
              <w:jc w:val="right"/>
              <w:rPr>
                <w:snapToGrid w:val="0"/>
              </w:rPr>
            </w:pPr>
          </w:p>
        </w:tc>
        <w:tc>
          <w:tcPr>
            <w:tcW w:w="1208" w:type="dxa"/>
          </w:tcPr>
          <w:p w14:paraId="00A24802" w14:textId="77777777" w:rsidR="00FE3123" w:rsidRPr="00F42D6C" w:rsidRDefault="00FE3123" w:rsidP="00311D3D">
            <w:pPr>
              <w:tabs>
                <w:tab w:val="decimal" w:pos="960"/>
              </w:tabs>
              <w:rPr>
                <w:snapToGrid w:val="0"/>
              </w:rPr>
            </w:pPr>
          </w:p>
        </w:tc>
        <w:tc>
          <w:tcPr>
            <w:tcW w:w="1208" w:type="dxa"/>
          </w:tcPr>
          <w:p w14:paraId="6CB11C70" w14:textId="77777777" w:rsidR="00FE3123" w:rsidRPr="00F42D6C" w:rsidRDefault="00FE3123" w:rsidP="00311D3D">
            <w:pPr>
              <w:tabs>
                <w:tab w:val="decimal" w:pos="910"/>
              </w:tabs>
              <w:rPr>
                <w:snapToGrid w:val="0"/>
              </w:rPr>
            </w:pPr>
          </w:p>
        </w:tc>
        <w:tc>
          <w:tcPr>
            <w:tcW w:w="1208" w:type="dxa"/>
            <w:tcBorders>
              <w:top w:val="single" w:sz="6" w:space="0" w:color="auto"/>
            </w:tcBorders>
          </w:tcPr>
          <w:p w14:paraId="619CD8DE" w14:textId="77777777" w:rsidR="00FE3123" w:rsidRPr="00F42D6C" w:rsidRDefault="00FE3123" w:rsidP="00311D3D">
            <w:pPr>
              <w:tabs>
                <w:tab w:val="decimal" w:pos="860"/>
              </w:tabs>
              <w:jc w:val="center"/>
              <w:rPr>
                <w:snapToGrid w:val="0"/>
              </w:rPr>
            </w:pPr>
          </w:p>
        </w:tc>
        <w:tc>
          <w:tcPr>
            <w:tcW w:w="1208" w:type="dxa"/>
            <w:tcBorders>
              <w:top w:val="single" w:sz="6" w:space="0" w:color="auto"/>
            </w:tcBorders>
          </w:tcPr>
          <w:p w14:paraId="59389C7B" w14:textId="77777777" w:rsidR="00FE3123" w:rsidRPr="00F42D6C" w:rsidRDefault="00FE3123" w:rsidP="00311D3D">
            <w:pPr>
              <w:tabs>
                <w:tab w:val="decimal" w:pos="907"/>
              </w:tabs>
              <w:jc w:val="center"/>
              <w:rPr>
                <w:snapToGrid w:val="0"/>
              </w:rPr>
            </w:pPr>
          </w:p>
        </w:tc>
      </w:tr>
      <w:tr w:rsidR="00FE3123" w:rsidRPr="00F42D6C" w14:paraId="237DF3C6" w14:textId="77777777" w:rsidTr="00311D3D">
        <w:trPr>
          <w:cantSplit/>
          <w:trHeight w:val="293"/>
        </w:trPr>
        <w:tc>
          <w:tcPr>
            <w:tcW w:w="4620" w:type="dxa"/>
            <w:gridSpan w:val="3"/>
          </w:tcPr>
          <w:p w14:paraId="58A11545" w14:textId="77777777" w:rsidR="00FE3123" w:rsidRPr="00F42D6C" w:rsidRDefault="00FE3123" w:rsidP="00311D3D">
            <w:pPr>
              <w:rPr>
                <w:snapToGrid w:val="0"/>
              </w:rPr>
            </w:pPr>
            <w:r w:rsidRPr="00F42D6C">
              <w:rPr>
                <w:snapToGrid w:val="0"/>
              </w:rPr>
              <w:t>Net loss</w:t>
            </w:r>
          </w:p>
        </w:tc>
        <w:tc>
          <w:tcPr>
            <w:tcW w:w="478" w:type="dxa"/>
          </w:tcPr>
          <w:p w14:paraId="36B9E457" w14:textId="77777777" w:rsidR="00FE3123" w:rsidRPr="00F42D6C" w:rsidRDefault="00FE3123" w:rsidP="00311D3D">
            <w:pPr>
              <w:jc w:val="right"/>
              <w:rPr>
                <w:snapToGrid w:val="0"/>
              </w:rPr>
            </w:pPr>
          </w:p>
        </w:tc>
        <w:tc>
          <w:tcPr>
            <w:tcW w:w="1208" w:type="dxa"/>
          </w:tcPr>
          <w:p w14:paraId="1479A324" w14:textId="77777777" w:rsidR="00FE3123" w:rsidRPr="00F42D6C" w:rsidRDefault="00FE3123" w:rsidP="00311D3D">
            <w:pPr>
              <w:tabs>
                <w:tab w:val="left" w:pos="150"/>
                <w:tab w:val="decimal" w:pos="960"/>
              </w:tabs>
              <w:rPr>
                <w:snapToGrid w:val="0"/>
              </w:rPr>
            </w:pPr>
          </w:p>
        </w:tc>
        <w:tc>
          <w:tcPr>
            <w:tcW w:w="1208" w:type="dxa"/>
          </w:tcPr>
          <w:p w14:paraId="19746523" w14:textId="77777777" w:rsidR="00FE3123" w:rsidRPr="00F42D6C" w:rsidRDefault="00FE3123" w:rsidP="00311D3D">
            <w:pPr>
              <w:tabs>
                <w:tab w:val="left" w:pos="100"/>
                <w:tab w:val="decimal" w:pos="910"/>
              </w:tabs>
              <w:rPr>
                <w:snapToGrid w:val="0"/>
              </w:rPr>
            </w:pPr>
            <w:r w:rsidRPr="00F42D6C">
              <w:rPr>
                <w:snapToGrid w:val="0"/>
              </w:rPr>
              <w:tab/>
            </w:r>
          </w:p>
        </w:tc>
        <w:tc>
          <w:tcPr>
            <w:tcW w:w="1208" w:type="dxa"/>
            <w:tcBorders>
              <w:bottom w:val="double" w:sz="6" w:space="0" w:color="auto"/>
            </w:tcBorders>
          </w:tcPr>
          <w:p w14:paraId="2158A704" w14:textId="77777777" w:rsidR="00FE3123" w:rsidRPr="00F42D6C" w:rsidRDefault="00FE3123" w:rsidP="00311D3D">
            <w:pPr>
              <w:tabs>
                <w:tab w:val="left" w:pos="50"/>
                <w:tab w:val="decimal" w:pos="860"/>
              </w:tabs>
              <w:rPr>
                <w:snapToGrid w:val="0"/>
              </w:rPr>
            </w:pPr>
            <w:r w:rsidRPr="00F42D6C">
              <w:rPr>
                <w:snapToGrid w:val="0"/>
              </w:rPr>
              <w:tab/>
              <w:t>$</w:t>
            </w:r>
            <w:r w:rsidRPr="00F42D6C">
              <w:rPr>
                <w:snapToGrid w:val="0"/>
              </w:rPr>
              <w:tab/>
              <w:t>(</w:t>
            </w:r>
            <w:r>
              <w:rPr>
                <w:snapToGrid w:val="0"/>
              </w:rPr>
              <w:t>5,850</w:t>
            </w:r>
            <w:r w:rsidRPr="00F42D6C">
              <w:rPr>
                <w:snapToGrid w:val="0"/>
              </w:rPr>
              <w:t>)</w:t>
            </w:r>
          </w:p>
        </w:tc>
        <w:tc>
          <w:tcPr>
            <w:tcW w:w="1208" w:type="dxa"/>
            <w:tcBorders>
              <w:bottom w:val="double" w:sz="6" w:space="0" w:color="auto"/>
            </w:tcBorders>
          </w:tcPr>
          <w:p w14:paraId="610BF9E0" w14:textId="77777777" w:rsidR="00FE3123" w:rsidRPr="00F42D6C" w:rsidRDefault="00FE3123" w:rsidP="00311D3D">
            <w:pPr>
              <w:tabs>
                <w:tab w:val="left" w:pos="97"/>
                <w:tab w:val="decimal" w:pos="907"/>
              </w:tabs>
              <w:rPr>
                <w:snapToGrid w:val="0"/>
              </w:rPr>
            </w:pPr>
            <w:r w:rsidRPr="00F42D6C">
              <w:rPr>
                <w:snapToGrid w:val="0"/>
              </w:rPr>
              <w:tab/>
              <w:t>$</w:t>
            </w:r>
            <w:r w:rsidRPr="00F42D6C">
              <w:rPr>
                <w:snapToGrid w:val="0"/>
              </w:rPr>
              <w:tab/>
              <w:t>(</w:t>
            </w:r>
            <w:r>
              <w:rPr>
                <w:snapToGrid w:val="0"/>
              </w:rPr>
              <w:t>4,038</w:t>
            </w:r>
            <w:r w:rsidRPr="00F42D6C">
              <w:rPr>
                <w:snapToGrid w:val="0"/>
              </w:rPr>
              <w:t>)</w:t>
            </w:r>
          </w:p>
        </w:tc>
      </w:tr>
      <w:tr w:rsidR="00FE3123" w:rsidRPr="00F42D6C" w14:paraId="21D03286" w14:textId="77777777" w:rsidTr="00311D3D">
        <w:trPr>
          <w:trHeight w:val="293"/>
        </w:trPr>
        <w:tc>
          <w:tcPr>
            <w:tcW w:w="237" w:type="dxa"/>
          </w:tcPr>
          <w:p w14:paraId="31FDADE6" w14:textId="77777777" w:rsidR="00FE3123" w:rsidRPr="00F42D6C" w:rsidRDefault="00FE3123" w:rsidP="00311D3D">
            <w:pPr>
              <w:jc w:val="right"/>
              <w:rPr>
                <w:snapToGrid w:val="0"/>
              </w:rPr>
            </w:pPr>
          </w:p>
        </w:tc>
        <w:tc>
          <w:tcPr>
            <w:tcW w:w="1462" w:type="dxa"/>
          </w:tcPr>
          <w:p w14:paraId="6C052885" w14:textId="77777777" w:rsidR="00FE3123" w:rsidRPr="00F42D6C" w:rsidRDefault="00FE3123" w:rsidP="00311D3D">
            <w:pPr>
              <w:jc w:val="right"/>
              <w:rPr>
                <w:snapToGrid w:val="0"/>
              </w:rPr>
            </w:pPr>
          </w:p>
        </w:tc>
        <w:tc>
          <w:tcPr>
            <w:tcW w:w="2921" w:type="dxa"/>
          </w:tcPr>
          <w:p w14:paraId="1CF05999" w14:textId="77777777" w:rsidR="00FE3123" w:rsidRPr="00F42D6C" w:rsidRDefault="00FE3123" w:rsidP="00311D3D">
            <w:pPr>
              <w:jc w:val="right"/>
              <w:rPr>
                <w:snapToGrid w:val="0"/>
              </w:rPr>
            </w:pPr>
          </w:p>
        </w:tc>
        <w:tc>
          <w:tcPr>
            <w:tcW w:w="478" w:type="dxa"/>
          </w:tcPr>
          <w:p w14:paraId="4BAA0FFC" w14:textId="77777777" w:rsidR="00FE3123" w:rsidRPr="00F42D6C" w:rsidRDefault="00FE3123" w:rsidP="00311D3D">
            <w:pPr>
              <w:jc w:val="right"/>
              <w:rPr>
                <w:snapToGrid w:val="0"/>
              </w:rPr>
            </w:pPr>
          </w:p>
        </w:tc>
        <w:tc>
          <w:tcPr>
            <w:tcW w:w="1208" w:type="dxa"/>
          </w:tcPr>
          <w:p w14:paraId="56340260" w14:textId="77777777" w:rsidR="00FE3123" w:rsidRPr="00F42D6C" w:rsidRDefault="00FE3123" w:rsidP="00311D3D">
            <w:pPr>
              <w:jc w:val="center"/>
              <w:rPr>
                <w:snapToGrid w:val="0"/>
              </w:rPr>
            </w:pPr>
          </w:p>
        </w:tc>
        <w:tc>
          <w:tcPr>
            <w:tcW w:w="1208" w:type="dxa"/>
          </w:tcPr>
          <w:p w14:paraId="244BEFD3" w14:textId="77777777" w:rsidR="00FE3123" w:rsidRPr="00F42D6C" w:rsidRDefault="00FE3123" w:rsidP="00311D3D">
            <w:pPr>
              <w:jc w:val="center"/>
              <w:rPr>
                <w:snapToGrid w:val="0"/>
              </w:rPr>
            </w:pPr>
          </w:p>
        </w:tc>
        <w:tc>
          <w:tcPr>
            <w:tcW w:w="1208" w:type="dxa"/>
          </w:tcPr>
          <w:p w14:paraId="103C280E" w14:textId="77777777" w:rsidR="00FE3123" w:rsidRPr="00F42D6C" w:rsidRDefault="00FE3123" w:rsidP="00311D3D">
            <w:pPr>
              <w:jc w:val="center"/>
              <w:rPr>
                <w:snapToGrid w:val="0"/>
              </w:rPr>
            </w:pPr>
          </w:p>
        </w:tc>
        <w:tc>
          <w:tcPr>
            <w:tcW w:w="1208" w:type="dxa"/>
          </w:tcPr>
          <w:p w14:paraId="6ED94F9D" w14:textId="77777777" w:rsidR="00FE3123" w:rsidRPr="00F42D6C" w:rsidRDefault="00FE3123" w:rsidP="00311D3D">
            <w:pPr>
              <w:jc w:val="center"/>
              <w:rPr>
                <w:snapToGrid w:val="0"/>
              </w:rPr>
            </w:pPr>
          </w:p>
        </w:tc>
      </w:tr>
      <w:tr w:rsidR="00FE3123" w:rsidRPr="00F42D6C" w14:paraId="12321434" w14:textId="77777777" w:rsidTr="00311D3D">
        <w:trPr>
          <w:trHeight w:val="276"/>
        </w:trPr>
        <w:tc>
          <w:tcPr>
            <w:tcW w:w="4620" w:type="dxa"/>
            <w:gridSpan w:val="3"/>
          </w:tcPr>
          <w:p w14:paraId="4B2EF527" w14:textId="77777777" w:rsidR="00FE3123" w:rsidRPr="00F42D6C" w:rsidRDefault="00FE3123" w:rsidP="00311D3D">
            <w:pPr>
              <w:rPr>
                <w:snapToGrid w:val="0"/>
              </w:rPr>
            </w:pPr>
            <w:r w:rsidRPr="00F42D6C">
              <w:rPr>
                <w:snapToGrid w:val="0"/>
              </w:rPr>
              <w:t>Net loss per common share</w:t>
            </w:r>
          </w:p>
        </w:tc>
        <w:tc>
          <w:tcPr>
            <w:tcW w:w="478" w:type="dxa"/>
          </w:tcPr>
          <w:p w14:paraId="637FB507" w14:textId="77777777" w:rsidR="00FE3123" w:rsidRPr="00F42D6C" w:rsidRDefault="00FE3123" w:rsidP="00311D3D">
            <w:pPr>
              <w:jc w:val="right"/>
              <w:rPr>
                <w:snapToGrid w:val="0"/>
              </w:rPr>
            </w:pPr>
          </w:p>
        </w:tc>
        <w:tc>
          <w:tcPr>
            <w:tcW w:w="1208" w:type="dxa"/>
          </w:tcPr>
          <w:p w14:paraId="3550C1E8" w14:textId="77777777" w:rsidR="00FE3123" w:rsidRPr="00F42D6C" w:rsidRDefault="00FE3123" w:rsidP="00311D3D">
            <w:pPr>
              <w:tabs>
                <w:tab w:val="left" w:pos="150"/>
                <w:tab w:val="decimal" w:pos="690"/>
              </w:tabs>
              <w:rPr>
                <w:snapToGrid w:val="0"/>
              </w:rPr>
            </w:pPr>
          </w:p>
        </w:tc>
        <w:tc>
          <w:tcPr>
            <w:tcW w:w="1208" w:type="dxa"/>
          </w:tcPr>
          <w:p w14:paraId="762BBE7D" w14:textId="77777777" w:rsidR="00FE3123" w:rsidRPr="00F42D6C" w:rsidRDefault="00FE3123" w:rsidP="00311D3D">
            <w:pPr>
              <w:tabs>
                <w:tab w:val="left" w:pos="100"/>
                <w:tab w:val="decimal" w:pos="640"/>
              </w:tabs>
              <w:rPr>
                <w:snapToGrid w:val="0"/>
              </w:rPr>
            </w:pPr>
          </w:p>
        </w:tc>
        <w:tc>
          <w:tcPr>
            <w:tcW w:w="1208" w:type="dxa"/>
            <w:tcBorders>
              <w:bottom w:val="double" w:sz="4" w:space="0" w:color="auto"/>
            </w:tcBorders>
            <w:shd w:val="clear" w:color="auto" w:fill="auto"/>
          </w:tcPr>
          <w:p w14:paraId="0737C01E" w14:textId="77777777" w:rsidR="00FE3123" w:rsidRPr="00F42D6C" w:rsidRDefault="00FE3123" w:rsidP="00311D3D">
            <w:pPr>
              <w:tabs>
                <w:tab w:val="left" w:pos="140"/>
                <w:tab w:val="decimal" w:pos="590"/>
              </w:tabs>
              <w:rPr>
                <w:snapToGrid w:val="0"/>
              </w:rPr>
            </w:pPr>
            <w:r w:rsidRPr="00F42D6C">
              <w:rPr>
                <w:snapToGrid w:val="0"/>
              </w:rPr>
              <w:tab/>
              <w:t>$</w:t>
            </w:r>
            <w:r w:rsidRPr="00F42D6C">
              <w:rPr>
                <w:snapToGrid w:val="0"/>
              </w:rPr>
              <w:tab/>
              <w:t>(</w:t>
            </w:r>
            <w:r>
              <w:rPr>
                <w:snapToGrid w:val="0"/>
              </w:rPr>
              <w:t>2.47</w:t>
            </w:r>
            <w:r w:rsidRPr="00F42D6C">
              <w:rPr>
                <w:snapToGrid w:val="0"/>
              </w:rPr>
              <w:t>)</w:t>
            </w:r>
          </w:p>
        </w:tc>
        <w:tc>
          <w:tcPr>
            <w:tcW w:w="1208" w:type="dxa"/>
            <w:tcBorders>
              <w:bottom w:val="double" w:sz="4" w:space="0" w:color="auto"/>
            </w:tcBorders>
            <w:shd w:val="clear" w:color="auto" w:fill="auto"/>
          </w:tcPr>
          <w:p w14:paraId="00D1F85F" w14:textId="77777777" w:rsidR="00FE3123" w:rsidRPr="00F42D6C" w:rsidRDefault="00FE3123" w:rsidP="00311D3D">
            <w:pPr>
              <w:tabs>
                <w:tab w:val="left" w:pos="97"/>
                <w:tab w:val="decimal" w:pos="637"/>
              </w:tabs>
              <w:rPr>
                <w:snapToGrid w:val="0"/>
              </w:rPr>
            </w:pPr>
            <w:r w:rsidRPr="00F42D6C">
              <w:rPr>
                <w:snapToGrid w:val="0"/>
              </w:rPr>
              <w:tab/>
              <w:t>$</w:t>
            </w:r>
            <w:r w:rsidRPr="00F42D6C">
              <w:rPr>
                <w:snapToGrid w:val="0"/>
              </w:rPr>
              <w:tab/>
              <w:t>(</w:t>
            </w:r>
            <w:r>
              <w:rPr>
                <w:snapToGrid w:val="0"/>
              </w:rPr>
              <w:t>2.30</w:t>
            </w:r>
            <w:r w:rsidRPr="00F42D6C">
              <w:rPr>
                <w:snapToGrid w:val="0"/>
              </w:rPr>
              <w:t>)</w:t>
            </w:r>
          </w:p>
        </w:tc>
      </w:tr>
      <w:tr w:rsidR="00FE3123" w:rsidRPr="00F42D6C" w14:paraId="492AEBE5" w14:textId="77777777" w:rsidTr="00311D3D">
        <w:trPr>
          <w:trHeight w:val="276"/>
        </w:trPr>
        <w:tc>
          <w:tcPr>
            <w:tcW w:w="4620" w:type="dxa"/>
            <w:gridSpan w:val="3"/>
          </w:tcPr>
          <w:p w14:paraId="263DD181" w14:textId="77777777" w:rsidR="00FE3123" w:rsidRPr="00F42D6C" w:rsidRDefault="00FE3123" w:rsidP="00311D3D">
            <w:pPr>
              <w:rPr>
                <w:snapToGrid w:val="0"/>
              </w:rPr>
            </w:pPr>
          </w:p>
        </w:tc>
        <w:tc>
          <w:tcPr>
            <w:tcW w:w="478" w:type="dxa"/>
          </w:tcPr>
          <w:p w14:paraId="2C9B1333" w14:textId="77777777" w:rsidR="00FE3123" w:rsidRPr="00F42D6C" w:rsidRDefault="00FE3123" w:rsidP="00311D3D">
            <w:pPr>
              <w:jc w:val="right"/>
              <w:rPr>
                <w:snapToGrid w:val="0"/>
              </w:rPr>
            </w:pPr>
          </w:p>
        </w:tc>
        <w:tc>
          <w:tcPr>
            <w:tcW w:w="1208" w:type="dxa"/>
          </w:tcPr>
          <w:p w14:paraId="543C58BD" w14:textId="77777777" w:rsidR="00FE3123" w:rsidRPr="00F42D6C" w:rsidRDefault="00FE3123" w:rsidP="00311D3D">
            <w:pPr>
              <w:tabs>
                <w:tab w:val="left" w:pos="150"/>
                <w:tab w:val="decimal" w:pos="690"/>
              </w:tabs>
              <w:rPr>
                <w:snapToGrid w:val="0"/>
              </w:rPr>
            </w:pPr>
          </w:p>
        </w:tc>
        <w:tc>
          <w:tcPr>
            <w:tcW w:w="1208" w:type="dxa"/>
          </w:tcPr>
          <w:p w14:paraId="2A253E9D" w14:textId="77777777" w:rsidR="00FE3123" w:rsidRPr="00F42D6C" w:rsidRDefault="00FE3123" w:rsidP="00311D3D">
            <w:pPr>
              <w:tabs>
                <w:tab w:val="left" w:pos="100"/>
                <w:tab w:val="decimal" w:pos="640"/>
              </w:tabs>
              <w:rPr>
                <w:snapToGrid w:val="0"/>
              </w:rPr>
            </w:pPr>
          </w:p>
        </w:tc>
        <w:tc>
          <w:tcPr>
            <w:tcW w:w="1208" w:type="dxa"/>
          </w:tcPr>
          <w:p w14:paraId="71DFD710" w14:textId="77777777" w:rsidR="00FE3123" w:rsidRPr="00F42D6C" w:rsidRDefault="00FE3123" w:rsidP="00311D3D">
            <w:pPr>
              <w:tabs>
                <w:tab w:val="left" w:pos="140"/>
                <w:tab w:val="decimal" w:pos="590"/>
              </w:tabs>
              <w:rPr>
                <w:snapToGrid w:val="0"/>
              </w:rPr>
            </w:pPr>
          </w:p>
        </w:tc>
        <w:tc>
          <w:tcPr>
            <w:tcW w:w="1208" w:type="dxa"/>
          </w:tcPr>
          <w:p w14:paraId="334A6C56" w14:textId="77777777" w:rsidR="00FE3123" w:rsidRPr="00F42D6C" w:rsidRDefault="00FE3123" w:rsidP="00311D3D">
            <w:pPr>
              <w:tabs>
                <w:tab w:val="left" w:pos="97"/>
                <w:tab w:val="decimal" w:pos="637"/>
              </w:tabs>
              <w:rPr>
                <w:snapToGrid w:val="0"/>
              </w:rPr>
            </w:pPr>
          </w:p>
        </w:tc>
      </w:tr>
      <w:tr w:rsidR="00FE3123" w:rsidRPr="00F42D6C" w14:paraId="6A0D34A9" w14:textId="77777777" w:rsidTr="00311D3D">
        <w:trPr>
          <w:trHeight w:val="276"/>
        </w:trPr>
        <w:tc>
          <w:tcPr>
            <w:tcW w:w="4620" w:type="dxa"/>
            <w:gridSpan w:val="3"/>
          </w:tcPr>
          <w:p w14:paraId="0EA88311" w14:textId="77777777" w:rsidR="00FE3123" w:rsidRPr="00F42D6C" w:rsidRDefault="00FE3123" w:rsidP="00311D3D">
            <w:pPr>
              <w:rPr>
                <w:snapToGrid w:val="0"/>
              </w:rPr>
            </w:pPr>
            <w:r w:rsidRPr="00F42D6C">
              <w:rPr>
                <w:snapToGrid w:val="0"/>
              </w:rPr>
              <w:t>Weighted average common shares outstanding</w:t>
            </w:r>
          </w:p>
        </w:tc>
        <w:tc>
          <w:tcPr>
            <w:tcW w:w="478" w:type="dxa"/>
          </w:tcPr>
          <w:p w14:paraId="71B8D29A" w14:textId="77777777" w:rsidR="00FE3123" w:rsidRPr="00F42D6C" w:rsidRDefault="00FE3123" w:rsidP="00311D3D">
            <w:pPr>
              <w:jc w:val="right"/>
              <w:rPr>
                <w:snapToGrid w:val="0"/>
              </w:rPr>
            </w:pPr>
          </w:p>
        </w:tc>
        <w:tc>
          <w:tcPr>
            <w:tcW w:w="1208" w:type="dxa"/>
          </w:tcPr>
          <w:p w14:paraId="5A745D52" w14:textId="77777777" w:rsidR="00FE3123" w:rsidRPr="00F42D6C" w:rsidRDefault="00FE3123" w:rsidP="00311D3D">
            <w:pPr>
              <w:tabs>
                <w:tab w:val="left" w:pos="150"/>
                <w:tab w:val="decimal" w:pos="690"/>
              </w:tabs>
              <w:rPr>
                <w:snapToGrid w:val="0"/>
              </w:rPr>
            </w:pPr>
          </w:p>
        </w:tc>
        <w:tc>
          <w:tcPr>
            <w:tcW w:w="1208" w:type="dxa"/>
          </w:tcPr>
          <w:p w14:paraId="3D2D0AE6" w14:textId="77777777" w:rsidR="00FE3123" w:rsidRPr="00F42D6C" w:rsidRDefault="00FE3123" w:rsidP="00311D3D">
            <w:pPr>
              <w:tabs>
                <w:tab w:val="left" w:pos="100"/>
                <w:tab w:val="decimal" w:pos="640"/>
              </w:tabs>
              <w:rPr>
                <w:snapToGrid w:val="0"/>
              </w:rPr>
            </w:pPr>
          </w:p>
        </w:tc>
        <w:tc>
          <w:tcPr>
            <w:tcW w:w="1208" w:type="dxa"/>
          </w:tcPr>
          <w:p w14:paraId="0407F9EB" w14:textId="77777777" w:rsidR="00FE3123" w:rsidRPr="00F42D6C" w:rsidRDefault="00FE3123" w:rsidP="00311D3D">
            <w:pPr>
              <w:tabs>
                <w:tab w:val="left" w:pos="140"/>
                <w:tab w:val="decimal" w:pos="856"/>
              </w:tabs>
              <w:rPr>
                <w:snapToGrid w:val="0"/>
              </w:rPr>
            </w:pPr>
            <w:r w:rsidRPr="00F42D6C">
              <w:rPr>
                <w:snapToGrid w:val="0"/>
              </w:rPr>
              <w:tab/>
            </w:r>
            <w:r w:rsidRPr="00F42D6C">
              <w:rPr>
                <w:snapToGrid w:val="0"/>
              </w:rPr>
              <w:tab/>
            </w:r>
            <w:r>
              <w:rPr>
                <w:snapToGrid w:val="0"/>
              </w:rPr>
              <w:t>2,367,050</w:t>
            </w:r>
          </w:p>
        </w:tc>
        <w:tc>
          <w:tcPr>
            <w:tcW w:w="1208" w:type="dxa"/>
          </w:tcPr>
          <w:p w14:paraId="410B501D" w14:textId="77777777" w:rsidR="00FE3123" w:rsidRPr="00F42D6C" w:rsidRDefault="00FE3123" w:rsidP="00311D3D">
            <w:pPr>
              <w:tabs>
                <w:tab w:val="left" w:pos="97"/>
                <w:tab w:val="decimal" w:pos="908"/>
              </w:tabs>
              <w:rPr>
                <w:snapToGrid w:val="0"/>
              </w:rPr>
            </w:pPr>
            <w:r w:rsidRPr="00F42D6C">
              <w:rPr>
                <w:snapToGrid w:val="0"/>
              </w:rPr>
              <w:tab/>
            </w:r>
            <w:r w:rsidRPr="00F42D6C">
              <w:rPr>
                <w:snapToGrid w:val="0"/>
              </w:rPr>
              <w:tab/>
            </w:r>
            <w:r>
              <w:rPr>
                <w:snapToGrid w:val="0"/>
              </w:rPr>
              <w:t>1,755,905</w:t>
            </w:r>
          </w:p>
        </w:tc>
      </w:tr>
    </w:tbl>
    <w:p w14:paraId="17AA2637" w14:textId="77777777" w:rsidR="00FE3123" w:rsidRPr="00F42D6C" w:rsidRDefault="00FE3123" w:rsidP="00FE3123">
      <w:pPr>
        <w:jc w:val="both"/>
      </w:pPr>
    </w:p>
    <w:p w14:paraId="7588D841" w14:textId="77777777" w:rsidR="00FE3123" w:rsidRPr="00F42D6C" w:rsidRDefault="00FE3123" w:rsidP="00FE3123">
      <w:pPr>
        <w:jc w:val="both"/>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E3123" w:rsidRPr="00F42D6C" w14:paraId="3B5D913F" w14:textId="77777777" w:rsidTr="00311D3D">
        <w:trPr>
          <w:cantSplit/>
          <w:trHeight w:val="293"/>
        </w:trPr>
        <w:tc>
          <w:tcPr>
            <w:tcW w:w="9930" w:type="dxa"/>
            <w:gridSpan w:val="8"/>
          </w:tcPr>
          <w:p w14:paraId="1DDD325F" w14:textId="77777777" w:rsidR="00FE3123" w:rsidRPr="00F42D6C" w:rsidRDefault="00FE3123" w:rsidP="00311D3D">
            <w:pPr>
              <w:jc w:val="center"/>
              <w:rPr>
                <w:b/>
                <w:bCs/>
                <w:snapToGrid w:val="0"/>
              </w:rPr>
            </w:pPr>
          </w:p>
          <w:p w14:paraId="49E22A9F" w14:textId="77777777" w:rsidR="00FE3123" w:rsidRPr="00F42D6C" w:rsidRDefault="00FE3123" w:rsidP="00311D3D">
            <w:pPr>
              <w:jc w:val="center"/>
              <w:rPr>
                <w:b/>
                <w:bCs/>
                <w:snapToGrid w:val="0"/>
              </w:rPr>
            </w:pPr>
          </w:p>
          <w:p w14:paraId="0489F3E0" w14:textId="77777777" w:rsidR="00FE3123" w:rsidRPr="00F42D6C" w:rsidRDefault="00FE3123" w:rsidP="00311D3D">
            <w:pPr>
              <w:jc w:val="center"/>
              <w:rPr>
                <w:snapToGrid w:val="0"/>
              </w:rPr>
            </w:pPr>
            <w:r w:rsidRPr="00F42D6C">
              <w:rPr>
                <w:b/>
                <w:bCs/>
                <w:snapToGrid w:val="0"/>
              </w:rPr>
              <w:t>Condensed Consolidated Balance Sheet Information</w:t>
            </w:r>
          </w:p>
        </w:tc>
      </w:tr>
      <w:tr w:rsidR="00FE3123" w:rsidRPr="00F42D6C" w14:paraId="1FFB152B" w14:textId="77777777" w:rsidTr="00311D3D">
        <w:trPr>
          <w:cantSplit/>
          <w:trHeight w:val="293"/>
        </w:trPr>
        <w:tc>
          <w:tcPr>
            <w:tcW w:w="9930" w:type="dxa"/>
            <w:gridSpan w:val="8"/>
          </w:tcPr>
          <w:p w14:paraId="0F99F28F" w14:textId="77777777" w:rsidR="00FE3123" w:rsidRPr="00F42D6C" w:rsidRDefault="00FE3123" w:rsidP="00311D3D">
            <w:pPr>
              <w:jc w:val="center"/>
              <w:rPr>
                <w:i/>
                <w:snapToGrid w:val="0"/>
              </w:rPr>
            </w:pPr>
            <w:r w:rsidRPr="00F42D6C">
              <w:rPr>
                <w:bCs/>
                <w:i/>
                <w:snapToGrid w:val="0"/>
              </w:rPr>
              <w:t>(amounts in thousands, except common share information)</w:t>
            </w:r>
          </w:p>
        </w:tc>
      </w:tr>
      <w:tr w:rsidR="00FE3123" w:rsidRPr="00F42D6C" w14:paraId="3C6388A8" w14:textId="77777777" w:rsidTr="00311D3D">
        <w:trPr>
          <w:trHeight w:val="276"/>
        </w:trPr>
        <w:tc>
          <w:tcPr>
            <w:tcW w:w="1699" w:type="dxa"/>
            <w:gridSpan w:val="2"/>
          </w:tcPr>
          <w:p w14:paraId="7E67D574" w14:textId="77777777" w:rsidR="00FE3123" w:rsidRPr="00F42D6C" w:rsidRDefault="00FE3123" w:rsidP="00311D3D">
            <w:pPr>
              <w:rPr>
                <w:snapToGrid w:val="0"/>
              </w:rPr>
            </w:pPr>
          </w:p>
        </w:tc>
        <w:tc>
          <w:tcPr>
            <w:tcW w:w="2921" w:type="dxa"/>
          </w:tcPr>
          <w:p w14:paraId="7074C43D" w14:textId="77777777" w:rsidR="00FE3123" w:rsidRPr="00F42D6C" w:rsidRDefault="00FE3123" w:rsidP="00311D3D">
            <w:pPr>
              <w:jc w:val="right"/>
              <w:rPr>
                <w:snapToGrid w:val="0"/>
              </w:rPr>
            </w:pPr>
          </w:p>
        </w:tc>
        <w:tc>
          <w:tcPr>
            <w:tcW w:w="478" w:type="dxa"/>
          </w:tcPr>
          <w:p w14:paraId="4A99572A" w14:textId="77777777" w:rsidR="00FE3123" w:rsidRPr="00F42D6C" w:rsidRDefault="00FE3123" w:rsidP="00311D3D">
            <w:pPr>
              <w:jc w:val="right"/>
              <w:rPr>
                <w:snapToGrid w:val="0"/>
              </w:rPr>
            </w:pPr>
          </w:p>
        </w:tc>
        <w:tc>
          <w:tcPr>
            <w:tcW w:w="1208" w:type="dxa"/>
          </w:tcPr>
          <w:p w14:paraId="77B1BB99" w14:textId="77777777" w:rsidR="00FE3123" w:rsidRPr="00F42D6C" w:rsidRDefault="00FE3123" w:rsidP="00311D3D">
            <w:pPr>
              <w:jc w:val="right"/>
              <w:rPr>
                <w:snapToGrid w:val="0"/>
              </w:rPr>
            </w:pPr>
          </w:p>
        </w:tc>
        <w:tc>
          <w:tcPr>
            <w:tcW w:w="1208" w:type="dxa"/>
          </w:tcPr>
          <w:p w14:paraId="7876D883" w14:textId="77777777" w:rsidR="00FE3123" w:rsidRPr="00F42D6C" w:rsidRDefault="00FE3123" w:rsidP="00311D3D">
            <w:pPr>
              <w:jc w:val="right"/>
              <w:rPr>
                <w:snapToGrid w:val="0"/>
              </w:rPr>
            </w:pPr>
          </w:p>
        </w:tc>
        <w:tc>
          <w:tcPr>
            <w:tcW w:w="1208" w:type="dxa"/>
            <w:tcBorders>
              <w:bottom w:val="single" w:sz="4" w:space="0" w:color="auto"/>
            </w:tcBorders>
          </w:tcPr>
          <w:p w14:paraId="025D0438" w14:textId="77777777" w:rsidR="00FE3123" w:rsidRPr="00F42D6C" w:rsidRDefault="00FE3123" w:rsidP="00311D3D">
            <w:pPr>
              <w:jc w:val="center"/>
              <w:rPr>
                <w:snapToGrid w:val="0"/>
              </w:rPr>
            </w:pPr>
            <w:r w:rsidRPr="00F42D6C">
              <w:rPr>
                <w:snapToGrid w:val="0"/>
              </w:rPr>
              <w:t>March 31,</w:t>
            </w:r>
          </w:p>
          <w:p w14:paraId="457777BD" w14:textId="77777777" w:rsidR="00FE3123" w:rsidRPr="00F42D6C" w:rsidRDefault="00FE3123" w:rsidP="00311D3D">
            <w:pPr>
              <w:jc w:val="center"/>
              <w:rPr>
                <w:snapToGrid w:val="0"/>
              </w:rPr>
            </w:pPr>
            <w:r w:rsidRPr="00F42D6C">
              <w:rPr>
                <w:snapToGrid w:val="0"/>
              </w:rPr>
              <w:t>202</w:t>
            </w:r>
            <w:r>
              <w:rPr>
                <w:snapToGrid w:val="0"/>
              </w:rPr>
              <w:t>4</w:t>
            </w:r>
          </w:p>
        </w:tc>
        <w:tc>
          <w:tcPr>
            <w:tcW w:w="1208" w:type="dxa"/>
            <w:tcBorders>
              <w:bottom w:val="single" w:sz="4" w:space="0" w:color="auto"/>
            </w:tcBorders>
          </w:tcPr>
          <w:p w14:paraId="13396BA0" w14:textId="77777777" w:rsidR="00FE3123" w:rsidRPr="00F42D6C" w:rsidRDefault="00FE3123" w:rsidP="00311D3D">
            <w:pPr>
              <w:jc w:val="center"/>
              <w:rPr>
                <w:snapToGrid w:val="0"/>
              </w:rPr>
            </w:pPr>
            <w:r w:rsidRPr="00F42D6C">
              <w:rPr>
                <w:snapToGrid w:val="0"/>
              </w:rPr>
              <w:t>Dec. 31,</w:t>
            </w:r>
          </w:p>
          <w:p w14:paraId="1CE29B10" w14:textId="77777777" w:rsidR="00FE3123" w:rsidRPr="00F42D6C" w:rsidRDefault="00FE3123" w:rsidP="00311D3D">
            <w:pPr>
              <w:jc w:val="center"/>
              <w:rPr>
                <w:snapToGrid w:val="0"/>
              </w:rPr>
            </w:pPr>
            <w:r w:rsidRPr="00F42D6C">
              <w:rPr>
                <w:snapToGrid w:val="0"/>
              </w:rPr>
              <w:t>202</w:t>
            </w:r>
            <w:r>
              <w:rPr>
                <w:snapToGrid w:val="0"/>
              </w:rPr>
              <w:t>3</w:t>
            </w:r>
          </w:p>
        </w:tc>
      </w:tr>
      <w:tr w:rsidR="00FE3123" w:rsidRPr="00F42D6C" w14:paraId="1D0B93A1" w14:textId="77777777" w:rsidTr="00311D3D">
        <w:trPr>
          <w:trHeight w:val="276"/>
        </w:trPr>
        <w:tc>
          <w:tcPr>
            <w:tcW w:w="1699" w:type="dxa"/>
            <w:gridSpan w:val="2"/>
          </w:tcPr>
          <w:p w14:paraId="517E78AF" w14:textId="77777777" w:rsidR="00FE3123" w:rsidRPr="00F42D6C" w:rsidRDefault="00FE3123" w:rsidP="00311D3D">
            <w:pPr>
              <w:rPr>
                <w:snapToGrid w:val="0"/>
              </w:rPr>
            </w:pPr>
            <w:r w:rsidRPr="00F42D6C">
              <w:rPr>
                <w:snapToGrid w:val="0"/>
              </w:rPr>
              <w:t>Assets:</w:t>
            </w:r>
          </w:p>
        </w:tc>
        <w:tc>
          <w:tcPr>
            <w:tcW w:w="2921" w:type="dxa"/>
          </w:tcPr>
          <w:p w14:paraId="7BE8C1BD" w14:textId="77777777" w:rsidR="00FE3123" w:rsidRPr="00F42D6C" w:rsidRDefault="00FE3123" w:rsidP="00311D3D">
            <w:pPr>
              <w:jc w:val="right"/>
              <w:rPr>
                <w:snapToGrid w:val="0"/>
              </w:rPr>
            </w:pPr>
          </w:p>
        </w:tc>
        <w:tc>
          <w:tcPr>
            <w:tcW w:w="478" w:type="dxa"/>
          </w:tcPr>
          <w:p w14:paraId="2B5D6CA4" w14:textId="77777777" w:rsidR="00FE3123" w:rsidRPr="00F42D6C" w:rsidRDefault="00FE3123" w:rsidP="00311D3D">
            <w:pPr>
              <w:jc w:val="right"/>
              <w:rPr>
                <w:snapToGrid w:val="0"/>
              </w:rPr>
            </w:pPr>
          </w:p>
        </w:tc>
        <w:tc>
          <w:tcPr>
            <w:tcW w:w="1208" w:type="dxa"/>
          </w:tcPr>
          <w:p w14:paraId="3A1DA885" w14:textId="77777777" w:rsidR="00FE3123" w:rsidRPr="00F42D6C" w:rsidRDefault="00FE3123" w:rsidP="00311D3D">
            <w:pPr>
              <w:jc w:val="right"/>
              <w:rPr>
                <w:snapToGrid w:val="0"/>
              </w:rPr>
            </w:pPr>
          </w:p>
        </w:tc>
        <w:tc>
          <w:tcPr>
            <w:tcW w:w="1208" w:type="dxa"/>
          </w:tcPr>
          <w:p w14:paraId="1ED6C119" w14:textId="77777777" w:rsidR="00FE3123" w:rsidRPr="00F42D6C" w:rsidRDefault="00FE3123" w:rsidP="00311D3D">
            <w:pPr>
              <w:jc w:val="right"/>
              <w:rPr>
                <w:snapToGrid w:val="0"/>
              </w:rPr>
            </w:pPr>
          </w:p>
        </w:tc>
        <w:tc>
          <w:tcPr>
            <w:tcW w:w="1208" w:type="dxa"/>
          </w:tcPr>
          <w:p w14:paraId="2FBA9A33" w14:textId="77777777" w:rsidR="00FE3123" w:rsidRPr="00F42D6C" w:rsidRDefault="00FE3123" w:rsidP="00311D3D">
            <w:pPr>
              <w:jc w:val="right"/>
              <w:rPr>
                <w:snapToGrid w:val="0"/>
              </w:rPr>
            </w:pPr>
          </w:p>
        </w:tc>
        <w:tc>
          <w:tcPr>
            <w:tcW w:w="1208" w:type="dxa"/>
            <w:tcBorders>
              <w:top w:val="single" w:sz="4" w:space="0" w:color="auto"/>
            </w:tcBorders>
          </w:tcPr>
          <w:p w14:paraId="24BA6042" w14:textId="77777777" w:rsidR="00FE3123" w:rsidRPr="00F42D6C" w:rsidRDefault="00FE3123" w:rsidP="00311D3D">
            <w:pPr>
              <w:jc w:val="right"/>
              <w:rPr>
                <w:snapToGrid w:val="0"/>
              </w:rPr>
            </w:pPr>
          </w:p>
        </w:tc>
      </w:tr>
      <w:tr w:rsidR="00FE3123" w:rsidRPr="00F42D6C" w14:paraId="3AD0485D" w14:textId="77777777" w:rsidTr="00311D3D">
        <w:trPr>
          <w:trHeight w:val="276"/>
        </w:trPr>
        <w:tc>
          <w:tcPr>
            <w:tcW w:w="237" w:type="dxa"/>
          </w:tcPr>
          <w:p w14:paraId="602B3E2F" w14:textId="77777777" w:rsidR="00FE3123" w:rsidRPr="00F42D6C" w:rsidRDefault="00FE3123" w:rsidP="00311D3D">
            <w:pPr>
              <w:jc w:val="right"/>
              <w:rPr>
                <w:snapToGrid w:val="0"/>
              </w:rPr>
            </w:pPr>
            <w:bookmarkStart w:id="4" w:name="_Hlk69717749"/>
          </w:p>
        </w:tc>
        <w:tc>
          <w:tcPr>
            <w:tcW w:w="4383" w:type="dxa"/>
            <w:gridSpan w:val="2"/>
          </w:tcPr>
          <w:p w14:paraId="75FD81D7" w14:textId="77777777" w:rsidR="00FE3123" w:rsidRPr="00F42D6C" w:rsidRDefault="00FE3123" w:rsidP="00311D3D">
            <w:pPr>
              <w:rPr>
                <w:snapToGrid w:val="0"/>
              </w:rPr>
            </w:pPr>
            <w:r w:rsidRPr="00F42D6C">
              <w:rPr>
                <w:snapToGrid w:val="0"/>
              </w:rPr>
              <w:t>Cash and cash equivalents</w:t>
            </w:r>
          </w:p>
        </w:tc>
        <w:tc>
          <w:tcPr>
            <w:tcW w:w="478" w:type="dxa"/>
          </w:tcPr>
          <w:p w14:paraId="196AFD1C" w14:textId="77777777" w:rsidR="00FE3123" w:rsidRPr="00F42D6C" w:rsidRDefault="00FE3123" w:rsidP="00311D3D">
            <w:pPr>
              <w:jc w:val="right"/>
              <w:rPr>
                <w:snapToGrid w:val="0"/>
              </w:rPr>
            </w:pPr>
          </w:p>
        </w:tc>
        <w:tc>
          <w:tcPr>
            <w:tcW w:w="1208" w:type="dxa"/>
          </w:tcPr>
          <w:p w14:paraId="387CD325" w14:textId="77777777" w:rsidR="00FE3123" w:rsidRPr="00F42D6C" w:rsidRDefault="00FE3123" w:rsidP="00311D3D">
            <w:pPr>
              <w:tabs>
                <w:tab w:val="left" w:pos="150"/>
                <w:tab w:val="decimal" w:pos="960"/>
              </w:tabs>
              <w:rPr>
                <w:snapToGrid w:val="0"/>
              </w:rPr>
            </w:pPr>
          </w:p>
        </w:tc>
        <w:tc>
          <w:tcPr>
            <w:tcW w:w="1208" w:type="dxa"/>
          </w:tcPr>
          <w:p w14:paraId="27BD0038" w14:textId="77777777" w:rsidR="00FE3123" w:rsidRPr="00F42D6C" w:rsidRDefault="00FE3123" w:rsidP="00311D3D">
            <w:pPr>
              <w:tabs>
                <w:tab w:val="left" w:pos="180"/>
                <w:tab w:val="decimal" w:pos="910"/>
              </w:tabs>
              <w:rPr>
                <w:snapToGrid w:val="0"/>
              </w:rPr>
            </w:pPr>
          </w:p>
        </w:tc>
        <w:tc>
          <w:tcPr>
            <w:tcW w:w="1208" w:type="dxa"/>
          </w:tcPr>
          <w:p w14:paraId="18BE2CA7" w14:textId="77777777" w:rsidR="00FE3123" w:rsidRPr="00F42D6C" w:rsidRDefault="00FE3123" w:rsidP="00311D3D">
            <w:pPr>
              <w:tabs>
                <w:tab w:val="left" w:pos="165"/>
                <w:tab w:val="decimal" w:pos="960"/>
              </w:tabs>
              <w:rPr>
                <w:snapToGrid w:val="0"/>
              </w:rPr>
            </w:pPr>
            <w:r w:rsidRPr="00F42D6C">
              <w:rPr>
                <w:snapToGrid w:val="0"/>
              </w:rPr>
              <w:t>$</w:t>
            </w:r>
            <w:r w:rsidRPr="00F42D6C">
              <w:rPr>
                <w:snapToGrid w:val="0"/>
              </w:rPr>
              <w:tab/>
            </w:r>
            <w:r w:rsidRPr="00F42D6C">
              <w:rPr>
                <w:snapToGrid w:val="0"/>
              </w:rPr>
              <w:tab/>
            </w:r>
            <w:r>
              <w:rPr>
                <w:snapToGrid w:val="0"/>
              </w:rPr>
              <w:t>769</w:t>
            </w:r>
          </w:p>
        </w:tc>
        <w:tc>
          <w:tcPr>
            <w:tcW w:w="1208" w:type="dxa"/>
          </w:tcPr>
          <w:p w14:paraId="52C3C102" w14:textId="77777777" w:rsidR="00FE3123" w:rsidRPr="00F42D6C" w:rsidRDefault="00FE3123" w:rsidP="00311D3D">
            <w:pPr>
              <w:tabs>
                <w:tab w:val="left" w:pos="150"/>
                <w:tab w:val="decimal" w:pos="1005"/>
              </w:tabs>
              <w:rPr>
                <w:snapToGrid w:val="0"/>
              </w:rPr>
            </w:pPr>
            <w:r w:rsidRPr="00F42D6C">
              <w:rPr>
                <w:snapToGrid w:val="0"/>
              </w:rPr>
              <w:t>$</w:t>
            </w:r>
            <w:r w:rsidRPr="00F42D6C">
              <w:rPr>
                <w:snapToGrid w:val="0"/>
              </w:rPr>
              <w:tab/>
            </w:r>
            <w:r w:rsidRPr="00F42D6C">
              <w:rPr>
                <w:snapToGrid w:val="0"/>
              </w:rPr>
              <w:tab/>
            </w:r>
            <w:r>
              <w:rPr>
                <w:snapToGrid w:val="0"/>
              </w:rPr>
              <w:t>6,453</w:t>
            </w:r>
          </w:p>
        </w:tc>
      </w:tr>
      <w:tr w:rsidR="00FE3123" w:rsidRPr="00F42D6C" w14:paraId="2FBF56F3" w14:textId="77777777" w:rsidTr="00311D3D">
        <w:trPr>
          <w:trHeight w:val="276"/>
        </w:trPr>
        <w:tc>
          <w:tcPr>
            <w:tcW w:w="237" w:type="dxa"/>
          </w:tcPr>
          <w:p w14:paraId="6374DB12" w14:textId="77777777" w:rsidR="00FE3123" w:rsidRPr="00F42D6C" w:rsidRDefault="00FE3123" w:rsidP="00311D3D">
            <w:pPr>
              <w:jc w:val="right"/>
              <w:rPr>
                <w:snapToGrid w:val="0"/>
              </w:rPr>
            </w:pPr>
            <w:bookmarkStart w:id="5" w:name="_Hlk69717696"/>
            <w:bookmarkEnd w:id="4"/>
          </w:p>
        </w:tc>
        <w:tc>
          <w:tcPr>
            <w:tcW w:w="4383" w:type="dxa"/>
            <w:gridSpan w:val="2"/>
          </w:tcPr>
          <w:p w14:paraId="15051FBA" w14:textId="77777777" w:rsidR="00FE3123" w:rsidRPr="00F42D6C" w:rsidRDefault="00FE3123" w:rsidP="00311D3D">
            <w:pPr>
              <w:rPr>
                <w:snapToGrid w:val="0"/>
              </w:rPr>
            </w:pPr>
            <w:r w:rsidRPr="00F42D6C">
              <w:rPr>
                <w:snapToGrid w:val="0"/>
              </w:rPr>
              <w:t>Other current assets</w:t>
            </w:r>
          </w:p>
        </w:tc>
        <w:tc>
          <w:tcPr>
            <w:tcW w:w="478" w:type="dxa"/>
          </w:tcPr>
          <w:p w14:paraId="009EE26A" w14:textId="77777777" w:rsidR="00FE3123" w:rsidRPr="00F42D6C" w:rsidRDefault="00FE3123" w:rsidP="00311D3D">
            <w:pPr>
              <w:jc w:val="right"/>
              <w:rPr>
                <w:snapToGrid w:val="0"/>
              </w:rPr>
            </w:pPr>
          </w:p>
        </w:tc>
        <w:tc>
          <w:tcPr>
            <w:tcW w:w="1208" w:type="dxa"/>
          </w:tcPr>
          <w:p w14:paraId="6A60A6B1" w14:textId="77777777" w:rsidR="00FE3123" w:rsidRPr="00F42D6C" w:rsidRDefault="00FE3123" w:rsidP="00311D3D">
            <w:pPr>
              <w:rPr>
                <w:snapToGrid w:val="0"/>
              </w:rPr>
            </w:pPr>
          </w:p>
        </w:tc>
        <w:tc>
          <w:tcPr>
            <w:tcW w:w="1208" w:type="dxa"/>
          </w:tcPr>
          <w:p w14:paraId="18E7B842" w14:textId="77777777" w:rsidR="00FE3123" w:rsidRPr="00F42D6C" w:rsidRDefault="00FE3123" w:rsidP="00311D3D">
            <w:pPr>
              <w:rPr>
                <w:snapToGrid w:val="0"/>
              </w:rPr>
            </w:pPr>
          </w:p>
        </w:tc>
        <w:tc>
          <w:tcPr>
            <w:tcW w:w="1208" w:type="dxa"/>
            <w:tcBorders>
              <w:bottom w:val="single" w:sz="4" w:space="0" w:color="auto"/>
            </w:tcBorders>
          </w:tcPr>
          <w:p w14:paraId="0C9486C2" w14:textId="77777777" w:rsidR="00FE3123" w:rsidRPr="00F42D6C" w:rsidRDefault="00FE3123" w:rsidP="00311D3D">
            <w:pPr>
              <w:tabs>
                <w:tab w:val="decimal" w:pos="960"/>
              </w:tabs>
              <w:rPr>
                <w:snapToGrid w:val="0"/>
              </w:rPr>
            </w:pPr>
            <w:r>
              <w:rPr>
                <w:snapToGrid w:val="0"/>
              </w:rPr>
              <w:t>2,093</w:t>
            </w:r>
          </w:p>
        </w:tc>
        <w:tc>
          <w:tcPr>
            <w:tcW w:w="1208" w:type="dxa"/>
            <w:tcBorders>
              <w:bottom w:val="single" w:sz="4" w:space="0" w:color="auto"/>
            </w:tcBorders>
          </w:tcPr>
          <w:p w14:paraId="39027E98" w14:textId="77777777" w:rsidR="00FE3123" w:rsidRPr="00F42D6C" w:rsidRDefault="00FE3123" w:rsidP="00311D3D">
            <w:pPr>
              <w:tabs>
                <w:tab w:val="decimal" w:pos="1005"/>
              </w:tabs>
              <w:rPr>
                <w:snapToGrid w:val="0"/>
              </w:rPr>
            </w:pPr>
            <w:r>
              <w:rPr>
                <w:snapToGrid w:val="0"/>
              </w:rPr>
              <w:t>1,433</w:t>
            </w:r>
          </w:p>
        </w:tc>
      </w:tr>
      <w:bookmarkEnd w:id="5"/>
      <w:tr w:rsidR="00FE3123" w:rsidRPr="00F42D6C" w14:paraId="23913E67" w14:textId="77777777" w:rsidTr="00311D3D">
        <w:trPr>
          <w:trHeight w:val="276"/>
        </w:trPr>
        <w:tc>
          <w:tcPr>
            <w:tcW w:w="237" w:type="dxa"/>
          </w:tcPr>
          <w:p w14:paraId="5A7777ED" w14:textId="77777777" w:rsidR="00FE3123" w:rsidRPr="00F42D6C" w:rsidRDefault="00FE3123" w:rsidP="00311D3D">
            <w:pPr>
              <w:jc w:val="right"/>
              <w:rPr>
                <w:snapToGrid w:val="0"/>
              </w:rPr>
            </w:pPr>
          </w:p>
        </w:tc>
        <w:tc>
          <w:tcPr>
            <w:tcW w:w="4383" w:type="dxa"/>
            <w:gridSpan w:val="2"/>
          </w:tcPr>
          <w:p w14:paraId="34409C29" w14:textId="77777777" w:rsidR="00FE3123" w:rsidRPr="00F42D6C" w:rsidRDefault="00FE3123" w:rsidP="00311D3D">
            <w:pPr>
              <w:rPr>
                <w:snapToGrid w:val="0"/>
              </w:rPr>
            </w:pPr>
            <w:r w:rsidRPr="00F42D6C">
              <w:rPr>
                <w:snapToGrid w:val="0"/>
              </w:rPr>
              <w:t>Total current assets</w:t>
            </w:r>
          </w:p>
        </w:tc>
        <w:tc>
          <w:tcPr>
            <w:tcW w:w="478" w:type="dxa"/>
          </w:tcPr>
          <w:p w14:paraId="2DB39B4D" w14:textId="77777777" w:rsidR="00FE3123" w:rsidRPr="00F42D6C" w:rsidRDefault="00FE3123" w:rsidP="00311D3D">
            <w:pPr>
              <w:jc w:val="right"/>
              <w:rPr>
                <w:snapToGrid w:val="0"/>
              </w:rPr>
            </w:pPr>
          </w:p>
        </w:tc>
        <w:tc>
          <w:tcPr>
            <w:tcW w:w="1208" w:type="dxa"/>
          </w:tcPr>
          <w:p w14:paraId="5E599A9C" w14:textId="77777777" w:rsidR="00FE3123" w:rsidRPr="00F42D6C" w:rsidRDefault="00FE3123" w:rsidP="00311D3D">
            <w:pPr>
              <w:jc w:val="right"/>
              <w:rPr>
                <w:snapToGrid w:val="0"/>
              </w:rPr>
            </w:pPr>
          </w:p>
        </w:tc>
        <w:tc>
          <w:tcPr>
            <w:tcW w:w="1208" w:type="dxa"/>
          </w:tcPr>
          <w:p w14:paraId="2E8D3102" w14:textId="77777777" w:rsidR="00FE3123" w:rsidRPr="00F42D6C" w:rsidRDefault="00FE3123" w:rsidP="00311D3D">
            <w:pPr>
              <w:jc w:val="right"/>
              <w:rPr>
                <w:snapToGrid w:val="0"/>
              </w:rPr>
            </w:pPr>
          </w:p>
        </w:tc>
        <w:tc>
          <w:tcPr>
            <w:tcW w:w="1208" w:type="dxa"/>
            <w:tcBorders>
              <w:top w:val="single" w:sz="4" w:space="0" w:color="auto"/>
            </w:tcBorders>
          </w:tcPr>
          <w:p w14:paraId="799DE780" w14:textId="77777777" w:rsidR="00FE3123" w:rsidRPr="00F42D6C" w:rsidRDefault="00FE3123" w:rsidP="00311D3D">
            <w:pPr>
              <w:tabs>
                <w:tab w:val="left" w:pos="150"/>
                <w:tab w:val="decimal" w:pos="960"/>
              </w:tabs>
              <w:rPr>
                <w:snapToGrid w:val="0"/>
              </w:rPr>
            </w:pPr>
            <w:r w:rsidRPr="00F42D6C">
              <w:rPr>
                <w:snapToGrid w:val="0"/>
              </w:rPr>
              <w:tab/>
            </w:r>
            <w:r w:rsidRPr="00F42D6C">
              <w:rPr>
                <w:snapToGrid w:val="0"/>
              </w:rPr>
              <w:tab/>
            </w:r>
            <w:r>
              <w:rPr>
                <w:snapToGrid w:val="0"/>
              </w:rPr>
              <w:t>2,862</w:t>
            </w:r>
          </w:p>
        </w:tc>
        <w:tc>
          <w:tcPr>
            <w:tcW w:w="1208" w:type="dxa"/>
            <w:tcBorders>
              <w:top w:val="single" w:sz="4" w:space="0" w:color="auto"/>
            </w:tcBorders>
          </w:tcPr>
          <w:p w14:paraId="39C7082B" w14:textId="77777777" w:rsidR="00FE3123" w:rsidRPr="00F42D6C" w:rsidRDefault="00FE3123" w:rsidP="00311D3D">
            <w:pPr>
              <w:tabs>
                <w:tab w:val="left" w:pos="195"/>
                <w:tab w:val="decimal" w:pos="1005"/>
              </w:tabs>
              <w:rPr>
                <w:snapToGrid w:val="0"/>
              </w:rPr>
            </w:pPr>
            <w:r w:rsidRPr="00F42D6C">
              <w:rPr>
                <w:snapToGrid w:val="0"/>
              </w:rPr>
              <w:tab/>
            </w:r>
            <w:r w:rsidRPr="00F42D6C">
              <w:rPr>
                <w:snapToGrid w:val="0"/>
              </w:rPr>
              <w:tab/>
            </w:r>
            <w:r>
              <w:rPr>
                <w:snapToGrid w:val="0"/>
              </w:rPr>
              <w:t>7,886</w:t>
            </w:r>
          </w:p>
        </w:tc>
      </w:tr>
      <w:tr w:rsidR="00FE3123" w:rsidRPr="00F42D6C" w14:paraId="62C8C01E" w14:textId="77777777" w:rsidTr="00311D3D">
        <w:trPr>
          <w:trHeight w:val="276"/>
        </w:trPr>
        <w:tc>
          <w:tcPr>
            <w:tcW w:w="237" w:type="dxa"/>
          </w:tcPr>
          <w:p w14:paraId="1613B4A9" w14:textId="77777777" w:rsidR="00FE3123" w:rsidRPr="00F42D6C" w:rsidRDefault="00FE3123" w:rsidP="00311D3D">
            <w:pPr>
              <w:jc w:val="right"/>
              <w:rPr>
                <w:snapToGrid w:val="0"/>
              </w:rPr>
            </w:pPr>
          </w:p>
        </w:tc>
        <w:tc>
          <w:tcPr>
            <w:tcW w:w="4383" w:type="dxa"/>
            <w:gridSpan w:val="2"/>
          </w:tcPr>
          <w:p w14:paraId="0D067690" w14:textId="77777777" w:rsidR="00FE3123" w:rsidRPr="00F42D6C" w:rsidRDefault="00FE3123" w:rsidP="00311D3D">
            <w:pPr>
              <w:rPr>
                <w:snapToGrid w:val="0"/>
              </w:rPr>
            </w:pPr>
            <w:r w:rsidRPr="00F42D6C">
              <w:rPr>
                <w:snapToGrid w:val="0"/>
              </w:rPr>
              <w:t>Property and other assets, net</w:t>
            </w:r>
          </w:p>
        </w:tc>
        <w:tc>
          <w:tcPr>
            <w:tcW w:w="478" w:type="dxa"/>
          </w:tcPr>
          <w:p w14:paraId="4BFF2A82" w14:textId="77777777" w:rsidR="00FE3123" w:rsidRPr="00F42D6C" w:rsidRDefault="00FE3123" w:rsidP="00311D3D">
            <w:pPr>
              <w:jc w:val="right"/>
              <w:rPr>
                <w:snapToGrid w:val="0"/>
              </w:rPr>
            </w:pPr>
          </w:p>
        </w:tc>
        <w:tc>
          <w:tcPr>
            <w:tcW w:w="1208" w:type="dxa"/>
          </w:tcPr>
          <w:p w14:paraId="170E9FE9" w14:textId="77777777" w:rsidR="00FE3123" w:rsidRPr="00F42D6C" w:rsidRDefault="00FE3123" w:rsidP="00311D3D">
            <w:pPr>
              <w:rPr>
                <w:snapToGrid w:val="0"/>
              </w:rPr>
            </w:pPr>
          </w:p>
        </w:tc>
        <w:tc>
          <w:tcPr>
            <w:tcW w:w="1208" w:type="dxa"/>
          </w:tcPr>
          <w:p w14:paraId="27196997" w14:textId="77777777" w:rsidR="00FE3123" w:rsidRPr="00F42D6C" w:rsidRDefault="00FE3123" w:rsidP="00311D3D">
            <w:pPr>
              <w:rPr>
                <w:snapToGrid w:val="0"/>
              </w:rPr>
            </w:pPr>
          </w:p>
        </w:tc>
        <w:tc>
          <w:tcPr>
            <w:tcW w:w="1208" w:type="dxa"/>
            <w:tcBorders>
              <w:bottom w:val="single" w:sz="4" w:space="0" w:color="auto"/>
            </w:tcBorders>
          </w:tcPr>
          <w:p w14:paraId="14F48553" w14:textId="77777777" w:rsidR="00FE3123" w:rsidRPr="00F42D6C" w:rsidRDefault="00FE3123" w:rsidP="00311D3D">
            <w:pPr>
              <w:tabs>
                <w:tab w:val="decimal" w:pos="960"/>
              </w:tabs>
              <w:rPr>
                <w:snapToGrid w:val="0"/>
              </w:rPr>
            </w:pPr>
            <w:r>
              <w:rPr>
                <w:snapToGrid w:val="0"/>
              </w:rPr>
              <w:t>496</w:t>
            </w:r>
          </w:p>
        </w:tc>
        <w:tc>
          <w:tcPr>
            <w:tcW w:w="1208" w:type="dxa"/>
            <w:tcBorders>
              <w:bottom w:val="single" w:sz="4" w:space="0" w:color="auto"/>
            </w:tcBorders>
          </w:tcPr>
          <w:p w14:paraId="03AB6EDD" w14:textId="77777777" w:rsidR="00FE3123" w:rsidRPr="00F42D6C" w:rsidRDefault="00FE3123" w:rsidP="00311D3D">
            <w:pPr>
              <w:tabs>
                <w:tab w:val="decimal" w:pos="1005"/>
              </w:tabs>
              <w:rPr>
                <w:snapToGrid w:val="0"/>
              </w:rPr>
            </w:pPr>
            <w:r>
              <w:rPr>
                <w:snapToGrid w:val="0"/>
              </w:rPr>
              <w:t>1,397</w:t>
            </w:r>
          </w:p>
        </w:tc>
      </w:tr>
      <w:tr w:rsidR="00FE3123" w:rsidRPr="00F42D6C" w14:paraId="51A45EAF" w14:textId="77777777" w:rsidTr="00311D3D">
        <w:trPr>
          <w:trHeight w:val="276"/>
        </w:trPr>
        <w:tc>
          <w:tcPr>
            <w:tcW w:w="237" w:type="dxa"/>
          </w:tcPr>
          <w:p w14:paraId="4A7F22B4" w14:textId="77777777" w:rsidR="00FE3123" w:rsidRPr="00F42D6C" w:rsidRDefault="00FE3123" w:rsidP="00311D3D">
            <w:pPr>
              <w:jc w:val="right"/>
              <w:rPr>
                <w:snapToGrid w:val="0"/>
              </w:rPr>
            </w:pPr>
          </w:p>
        </w:tc>
        <w:tc>
          <w:tcPr>
            <w:tcW w:w="4383" w:type="dxa"/>
            <w:gridSpan w:val="2"/>
          </w:tcPr>
          <w:p w14:paraId="0A632B23" w14:textId="77777777" w:rsidR="00FE3123" w:rsidRPr="00F42D6C" w:rsidRDefault="00FE3123" w:rsidP="00311D3D">
            <w:pPr>
              <w:rPr>
                <w:snapToGrid w:val="0"/>
              </w:rPr>
            </w:pPr>
            <w:r w:rsidRPr="00F42D6C">
              <w:rPr>
                <w:snapToGrid w:val="0"/>
              </w:rPr>
              <w:t>Total assets</w:t>
            </w:r>
          </w:p>
        </w:tc>
        <w:tc>
          <w:tcPr>
            <w:tcW w:w="478" w:type="dxa"/>
          </w:tcPr>
          <w:p w14:paraId="197A85BB" w14:textId="77777777" w:rsidR="00FE3123" w:rsidRPr="00F42D6C" w:rsidRDefault="00FE3123" w:rsidP="00311D3D">
            <w:pPr>
              <w:jc w:val="right"/>
              <w:rPr>
                <w:snapToGrid w:val="0"/>
              </w:rPr>
            </w:pPr>
          </w:p>
        </w:tc>
        <w:tc>
          <w:tcPr>
            <w:tcW w:w="1208" w:type="dxa"/>
          </w:tcPr>
          <w:p w14:paraId="0C690A43" w14:textId="77777777" w:rsidR="00FE3123" w:rsidRPr="00F42D6C" w:rsidRDefault="00FE3123" w:rsidP="00311D3D">
            <w:pPr>
              <w:tabs>
                <w:tab w:val="left" w:pos="150"/>
                <w:tab w:val="decimal" w:pos="960"/>
              </w:tabs>
              <w:rPr>
                <w:snapToGrid w:val="0"/>
              </w:rPr>
            </w:pPr>
          </w:p>
        </w:tc>
        <w:tc>
          <w:tcPr>
            <w:tcW w:w="1208" w:type="dxa"/>
          </w:tcPr>
          <w:p w14:paraId="34BB7013" w14:textId="77777777" w:rsidR="00FE3123" w:rsidRPr="00F42D6C" w:rsidRDefault="00FE3123" w:rsidP="00311D3D">
            <w:pPr>
              <w:tabs>
                <w:tab w:val="left" w:pos="180"/>
                <w:tab w:val="decimal" w:pos="910"/>
              </w:tabs>
              <w:rPr>
                <w:snapToGrid w:val="0"/>
              </w:rPr>
            </w:pPr>
          </w:p>
        </w:tc>
        <w:tc>
          <w:tcPr>
            <w:tcW w:w="1208" w:type="dxa"/>
          </w:tcPr>
          <w:p w14:paraId="15C76A89" w14:textId="77777777" w:rsidR="00FE3123" w:rsidRPr="00F42D6C" w:rsidRDefault="00FE3123" w:rsidP="00311D3D">
            <w:pPr>
              <w:tabs>
                <w:tab w:val="left" w:pos="165"/>
                <w:tab w:val="decimal" w:pos="960"/>
              </w:tabs>
              <w:rPr>
                <w:snapToGrid w:val="0"/>
              </w:rPr>
            </w:pPr>
            <w:r w:rsidRPr="00F42D6C">
              <w:rPr>
                <w:snapToGrid w:val="0"/>
              </w:rPr>
              <w:t>$</w:t>
            </w:r>
            <w:r w:rsidRPr="00F42D6C">
              <w:rPr>
                <w:snapToGrid w:val="0"/>
              </w:rPr>
              <w:tab/>
            </w:r>
            <w:r w:rsidRPr="00F42D6C">
              <w:rPr>
                <w:snapToGrid w:val="0"/>
              </w:rPr>
              <w:tab/>
            </w:r>
            <w:r>
              <w:rPr>
                <w:snapToGrid w:val="0"/>
              </w:rPr>
              <w:t>3,358</w:t>
            </w:r>
          </w:p>
        </w:tc>
        <w:tc>
          <w:tcPr>
            <w:tcW w:w="1208" w:type="dxa"/>
          </w:tcPr>
          <w:p w14:paraId="1E4ED73F" w14:textId="77777777" w:rsidR="00FE3123" w:rsidRPr="00F42D6C" w:rsidRDefault="00FE3123" w:rsidP="00311D3D">
            <w:pPr>
              <w:tabs>
                <w:tab w:val="left" w:pos="150"/>
                <w:tab w:val="decimal" w:pos="1005"/>
              </w:tabs>
              <w:rPr>
                <w:snapToGrid w:val="0"/>
              </w:rPr>
            </w:pPr>
            <w:r w:rsidRPr="00F42D6C">
              <w:rPr>
                <w:snapToGrid w:val="0"/>
              </w:rPr>
              <w:t>$</w:t>
            </w:r>
            <w:r w:rsidRPr="00F42D6C">
              <w:rPr>
                <w:snapToGrid w:val="0"/>
              </w:rPr>
              <w:tab/>
            </w:r>
            <w:r w:rsidRPr="00F42D6C">
              <w:rPr>
                <w:snapToGrid w:val="0"/>
              </w:rPr>
              <w:tab/>
            </w:r>
            <w:r>
              <w:rPr>
                <w:snapToGrid w:val="0"/>
              </w:rPr>
              <w:t>9,283</w:t>
            </w:r>
          </w:p>
        </w:tc>
      </w:tr>
      <w:tr w:rsidR="00FE3123" w:rsidRPr="00F42D6C" w14:paraId="563578DC" w14:textId="77777777" w:rsidTr="00311D3D">
        <w:trPr>
          <w:trHeight w:val="276"/>
        </w:trPr>
        <w:tc>
          <w:tcPr>
            <w:tcW w:w="237" w:type="dxa"/>
          </w:tcPr>
          <w:p w14:paraId="29D12E67" w14:textId="77777777" w:rsidR="00FE3123" w:rsidRPr="00F42D6C" w:rsidRDefault="00FE3123" w:rsidP="00311D3D">
            <w:pPr>
              <w:jc w:val="right"/>
              <w:rPr>
                <w:snapToGrid w:val="0"/>
              </w:rPr>
            </w:pPr>
          </w:p>
        </w:tc>
        <w:tc>
          <w:tcPr>
            <w:tcW w:w="1462" w:type="dxa"/>
          </w:tcPr>
          <w:p w14:paraId="58EDDC30" w14:textId="77777777" w:rsidR="00FE3123" w:rsidRPr="00F42D6C" w:rsidRDefault="00FE3123" w:rsidP="00311D3D">
            <w:pPr>
              <w:jc w:val="right"/>
              <w:rPr>
                <w:snapToGrid w:val="0"/>
              </w:rPr>
            </w:pPr>
          </w:p>
        </w:tc>
        <w:tc>
          <w:tcPr>
            <w:tcW w:w="2921" w:type="dxa"/>
          </w:tcPr>
          <w:p w14:paraId="3825152C" w14:textId="77777777" w:rsidR="00FE3123" w:rsidRPr="00F42D6C" w:rsidRDefault="00FE3123" w:rsidP="00311D3D">
            <w:pPr>
              <w:jc w:val="right"/>
              <w:rPr>
                <w:snapToGrid w:val="0"/>
              </w:rPr>
            </w:pPr>
          </w:p>
        </w:tc>
        <w:tc>
          <w:tcPr>
            <w:tcW w:w="478" w:type="dxa"/>
          </w:tcPr>
          <w:p w14:paraId="01AA1CDE" w14:textId="77777777" w:rsidR="00FE3123" w:rsidRPr="00F42D6C" w:rsidRDefault="00FE3123" w:rsidP="00311D3D">
            <w:pPr>
              <w:jc w:val="right"/>
              <w:rPr>
                <w:snapToGrid w:val="0"/>
              </w:rPr>
            </w:pPr>
          </w:p>
        </w:tc>
        <w:tc>
          <w:tcPr>
            <w:tcW w:w="1208" w:type="dxa"/>
          </w:tcPr>
          <w:p w14:paraId="762228FE" w14:textId="77777777" w:rsidR="00FE3123" w:rsidRPr="00F42D6C" w:rsidRDefault="00FE3123" w:rsidP="00311D3D">
            <w:pPr>
              <w:jc w:val="right"/>
              <w:rPr>
                <w:snapToGrid w:val="0"/>
              </w:rPr>
            </w:pPr>
          </w:p>
        </w:tc>
        <w:tc>
          <w:tcPr>
            <w:tcW w:w="1208" w:type="dxa"/>
          </w:tcPr>
          <w:p w14:paraId="178B88E5" w14:textId="77777777" w:rsidR="00FE3123" w:rsidRPr="00F42D6C" w:rsidRDefault="00FE3123" w:rsidP="00311D3D">
            <w:pPr>
              <w:jc w:val="right"/>
              <w:rPr>
                <w:snapToGrid w:val="0"/>
              </w:rPr>
            </w:pPr>
          </w:p>
        </w:tc>
        <w:tc>
          <w:tcPr>
            <w:tcW w:w="1208" w:type="dxa"/>
            <w:tcBorders>
              <w:top w:val="double" w:sz="4" w:space="0" w:color="auto"/>
            </w:tcBorders>
          </w:tcPr>
          <w:p w14:paraId="5F0F7881" w14:textId="77777777" w:rsidR="00FE3123" w:rsidRPr="00F42D6C" w:rsidRDefault="00FE3123" w:rsidP="00311D3D">
            <w:pPr>
              <w:jc w:val="right"/>
              <w:rPr>
                <w:snapToGrid w:val="0"/>
              </w:rPr>
            </w:pPr>
          </w:p>
        </w:tc>
        <w:tc>
          <w:tcPr>
            <w:tcW w:w="1208" w:type="dxa"/>
            <w:tcBorders>
              <w:top w:val="double" w:sz="4" w:space="0" w:color="auto"/>
            </w:tcBorders>
          </w:tcPr>
          <w:p w14:paraId="6F8ED95B" w14:textId="77777777" w:rsidR="00FE3123" w:rsidRPr="00F42D6C" w:rsidRDefault="00FE3123" w:rsidP="00311D3D">
            <w:pPr>
              <w:jc w:val="right"/>
              <w:rPr>
                <w:snapToGrid w:val="0"/>
              </w:rPr>
            </w:pPr>
          </w:p>
        </w:tc>
      </w:tr>
      <w:tr w:rsidR="00FE3123" w:rsidRPr="00F42D6C" w14:paraId="1FCE2FB9" w14:textId="77777777" w:rsidTr="00311D3D">
        <w:trPr>
          <w:trHeight w:val="276"/>
        </w:trPr>
        <w:tc>
          <w:tcPr>
            <w:tcW w:w="4620" w:type="dxa"/>
            <w:gridSpan w:val="3"/>
          </w:tcPr>
          <w:p w14:paraId="5C6A730D" w14:textId="77777777" w:rsidR="00FE3123" w:rsidRPr="00F42D6C" w:rsidRDefault="00FE3123" w:rsidP="00311D3D">
            <w:pPr>
              <w:rPr>
                <w:snapToGrid w:val="0"/>
              </w:rPr>
            </w:pPr>
            <w:r w:rsidRPr="00F42D6C">
              <w:rPr>
                <w:snapToGrid w:val="0"/>
              </w:rPr>
              <w:t>Liabilities and stockholders’ equity</w:t>
            </w:r>
          </w:p>
        </w:tc>
        <w:tc>
          <w:tcPr>
            <w:tcW w:w="478" w:type="dxa"/>
          </w:tcPr>
          <w:p w14:paraId="7ACC9F79" w14:textId="77777777" w:rsidR="00FE3123" w:rsidRPr="00F42D6C" w:rsidRDefault="00FE3123" w:rsidP="00311D3D">
            <w:pPr>
              <w:jc w:val="right"/>
              <w:rPr>
                <w:snapToGrid w:val="0"/>
              </w:rPr>
            </w:pPr>
          </w:p>
        </w:tc>
        <w:tc>
          <w:tcPr>
            <w:tcW w:w="1208" w:type="dxa"/>
          </w:tcPr>
          <w:p w14:paraId="170ED86D" w14:textId="77777777" w:rsidR="00FE3123" w:rsidRPr="00F42D6C" w:rsidRDefault="00FE3123" w:rsidP="00311D3D">
            <w:pPr>
              <w:jc w:val="right"/>
              <w:rPr>
                <w:snapToGrid w:val="0"/>
              </w:rPr>
            </w:pPr>
          </w:p>
        </w:tc>
        <w:tc>
          <w:tcPr>
            <w:tcW w:w="1208" w:type="dxa"/>
          </w:tcPr>
          <w:p w14:paraId="2F917DA1" w14:textId="77777777" w:rsidR="00FE3123" w:rsidRPr="00F42D6C" w:rsidRDefault="00FE3123" w:rsidP="00311D3D">
            <w:pPr>
              <w:jc w:val="right"/>
              <w:rPr>
                <w:snapToGrid w:val="0"/>
              </w:rPr>
            </w:pPr>
          </w:p>
        </w:tc>
        <w:tc>
          <w:tcPr>
            <w:tcW w:w="1208" w:type="dxa"/>
          </w:tcPr>
          <w:p w14:paraId="7B8D4D85" w14:textId="77777777" w:rsidR="00FE3123" w:rsidRPr="00F42D6C" w:rsidRDefault="00FE3123" w:rsidP="00311D3D">
            <w:pPr>
              <w:jc w:val="right"/>
              <w:rPr>
                <w:snapToGrid w:val="0"/>
              </w:rPr>
            </w:pPr>
          </w:p>
        </w:tc>
        <w:tc>
          <w:tcPr>
            <w:tcW w:w="1208" w:type="dxa"/>
          </w:tcPr>
          <w:p w14:paraId="76E3E4D1" w14:textId="77777777" w:rsidR="00FE3123" w:rsidRPr="00F42D6C" w:rsidRDefault="00FE3123" w:rsidP="00311D3D">
            <w:pPr>
              <w:jc w:val="right"/>
              <w:rPr>
                <w:snapToGrid w:val="0"/>
              </w:rPr>
            </w:pPr>
          </w:p>
        </w:tc>
      </w:tr>
      <w:tr w:rsidR="00FE3123" w:rsidRPr="00F42D6C" w14:paraId="18D82A3A" w14:textId="77777777" w:rsidTr="00311D3D">
        <w:trPr>
          <w:trHeight w:val="276"/>
        </w:trPr>
        <w:tc>
          <w:tcPr>
            <w:tcW w:w="237" w:type="dxa"/>
          </w:tcPr>
          <w:p w14:paraId="4409812E" w14:textId="77777777" w:rsidR="00FE3123" w:rsidRPr="00F42D6C" w:rsidRDefault="00FE3123" w:rsidP="00311D3D">
            <w:pPr>
              <w:jc w:val="right"/>
              <w:rPr>
                <w:snapToGrid w:val="0"/>
              </w:rPr>
            </w:pPr>
          </w:p>
        </w:tc>
        <w:tc>
          <w:tcPr>
            <w:tcW w:w="4383" w:type="dxa"/>
            <w:gridSpan w:val="2"/>
          </w:tcPr>
          <w:p w14:paraId="3BADABA9" w14:textId="77777777" w:rsidR="00FE3123" w:rsidRPr="00F42D6C" w:rsidRDefault="00FE3123" w:rsidP="00311D3D">
            <w:pPr>
              <w:rPr>
                <w:snapToGrid w:val="0"/>
              </w:rPr>
            </w:pPr>
            <w:r w:rsidRPr="00F42D6C">
              <w:rPr>
                <w:snapToGrid w:val="0"/>
              </w:rPr>
              <w:t>Total liabilities</w:t>
            </w:r>
          </w:p>
        </w:tc>
        <w:tc>
          <w:tcPr>
            <w:tcW w:w="478" w:type="dxa"/>
          </w:tcPr>
          <w:p w14:paraId="109F4618" w14:textId="77777777" w:rsidR="00FE3123" w:rsidRPr="00F42D6C" w:rsidRDefault="00FE3123" w:rsidP="00311D3D">
            <w:pPr>
              <w:jc w:val="right"/>
              <w:rPr>
                <w:snapToGrid w:val="0"/>
              </w:rPr>
            </w:pPr>
          </w:p>
        </w:tc>
        <w:tc>
          <w:tcPr>
            <w:tcW w:w="1208" w:type="dxa"/>
          </w:tcPr>
          <w:p w14:paraId="4950B613" w14:textId="77777777" w:rsidR="00FE3123" w:rsidRPr="00F42D6C" w:rsidRDefault="00FE3123" w:rsidP="00311D3D">
            <w:pPr>
              <w:jc w:val="right"/>
              <w:rPr>
                <w:snapToGrid w:val="0"/>
              </w:rPr>
            </w:pPr>
          </w:p>
        </w:tc>
        <w:tc>
          <w:tcPr>
            <w:tcW w:w="1208" w:type="dxa"/>
          </w:tcPr>
          <w:p w14:paraId="3865C8F3" w14:textId="77777777" w:rsidR="00FE3123" w:rsidRPr="00F42D6C" w:rsidRDefault="00FE3123" w:rsidP="00311D3D">
            <w:pPr>
              <w:jc w:val="right"/>
              <w:rPr>
                <w:snapToGrid w:val="0"/>
              </w:rPr>
            </w:pPr>
          </w:p>
        </w:tc>
        <w:tc>
          <w:tcPr>
            <w:tcW w:w="1208" w:type="dxa"/>
          </w:tcPr>
          <w:p w14:paraId="33DAE825" w14:textId="77777777" w:rsidR="00FE3123" w:rsidRPr="00F42D6C" w:rsidRDefault="00FE3123" w:rsidP="00311D3D">
            <w:pPr>
              <w:tabs>
                <w:tab w:val="left" w:pos="150"/>
                <w:tab w:val="decimal" w:pos="960"/>
              </w:tabs>
              <w:rPr>
                <w:snapToGrid w:val="0"/>
              </w:rPr>
            </w:pPr>
            <w:r w:rsidRPr="00F42D6C">
              <w:rPr>
                <w:snapToGrid w:val="0"/>
              </w:rPr>
              <w:t>$</w:t>
            </w:r>
            <w:r w:rsidRPr="00F42D6C">
              <w:rPr>
                <w:snapToGrid w:val="0"/>
              </w:rPr>
              <w:tab/>
            </w:r>
            <w:r w:rsidRPr="00F42D6C">
              <w:rPr>
                <w:snapToGrid w:val="0"/>
              </w:rPr>
              <w:tab/>
            </w:r>
            <w:r>
              <w:rPr>
                <w:snapToGrid w:val="0"/>
              </w:rPr>
              <w:t>3,304</w:t>
            </w:r>
          </w:p>
        </w:tc>
        <w:tc>
          <w:tcPr>
            <w:tcW w:w="1208" w:type="dxa"/>
          </w:tcPr>
          <w:p w14:paraId="7008B36C" w14:textId="77777777" w:rsidR="00FE3123" w:rsidRPr="00F42D6C" w:rsidRDefault="00FE3123" w:rsidP="00311D3D">
            <w:pPr>
              <w:tabs>
                <w:tab w:val="left" w:pos="165"/>
                <w:tab w:val="decimal" w:pos="1005"/>
              </w:tabs>
              <w:rPr>
                <w:snapToGrid w:val="0"/>
              </w:rPr>
            </w:pPr>
            <w:r w:rsidRPr="00F42D6C">
              <w:rPr>
                <w:snapToGrid w:val="0"/>
              </w:rPr>
              <w:t>$</w:t>
            </w:r>
            <w:r w:rsidRPr="00F42D6C">
              <w:rPr>
                <w:snapToGrid w:val="0"/>
              </w:rPr>
              <w:tab/>
            </w:r>
            <w:r w:rsidRPr="00F42D6C">
              <w:rPr>
                <w:snapToGrid w:val="0"/>
              </w:rPr>
              <w:tab/>
            </w:r>
            <w:r>
              <w:rPr>
                <w:snapToGrid w:val="0"/>
              </w:rPr>
              <w:t>3,520</w:t>
            </w:r>
          </w:p>
        </w:tc>
      </w:tr>
      <w:tr w:rsidR="00FE3123" w:rsidRPr="00F42D6C" w14:paraId="75C2EFA1" w14:textId="77777777" w:rsidTr="00311D3D">
        <w:trPr>
          <w:trHeight w:val="276"/>
        </w:trPr>
        <w:tc>
          <w:tcPr>
            <w:tcW w:w="237" w:type="dxa"/>
          </w:tcPr>
          <w:p w14:paraId="37D8AD71" w14:textId="77777777" w:rsidR="00FE3123" w:rsidRPr="00F42D6C" w:rsidRDefault="00FE3123" w:rsidP="00311D3D">
            <w:pPr>
              <w:jc w:val="right"/>
              <w:rPr>
                <w:snapToGrid w:val="0"/>
              </w:rPr>
            </w:pPr>
          </w:p>
        </w:tc>
        <w:tc>
          <w:tcPr>
            <w:tcW w:w="4383" w:type="dxa"/>
            <w:gridSpan w:val="2"/>
          </w:tcPr>
          <w:p w14:paraId="0E828EA3" w14:textId="77777777" w:rsidR="00FE3123" w:rsidRPr="00F42D6C" w:rsidRDefault="00FE3123" w:rsidP="00311D3D">
            <w:pPr>
              <w:rPr>
                <w:snapToGrid w:val="0"/>
              </w:rPr>
            </w:pPr>
            <w:r w:rsidRPr="00F42D6C">
              <w:rPr>
                <w:snapToGrid w:val="0"/>
              </w:rPr>
              <w:t>Stockholders’ equity</w:t>
            </w:r>
          </w:p>
        </w:tc>
        <w:tc>
          <w:tcPr>
            <w:tcW w:w="478" w:type="dxa"/>
          </w:tcPr>
          <w:p w14:paraId="41A6BABD" w14:textId="77777777" w:rsidR="00FE3123" w:rsidRPr="00F42D6C" w:rsidRDefault="00FE3123" w:rsidP="00311D3D">
            <w:pPr>
              <w:jc w:val="right"/>
              <w:rPr>
                <w:snapToGrid w:val="0"/>
              </w:rPr>
            </w:pPr>
          </w:p>
        </w:tc>
        <w:tc>
          <w:tcPr>
            <w:tcW w:w="1208" w:type="dxa"/>
          </w:tcPr>
          <w:p w14:paraId="3456AEFD" w14:textId="77777777" w:rsidR="00FE3123" w:rsidRPr="00F42D6C" w:rsidRDefault="00FE3123" w:rsidP="00311D3D">
            <w:pPr>
              <w:jc w:val="right"/>
              <w:rPr>
                <w:snapToGrid w:val="0"/>
              </w:rPr>
            </w:pPr>
          </w:p>
        </w:tc>
        <w:tc>
          <w:tcPr>
            <w:tcW w:w="1208" w:type="dxa"/>
          </w:tcPr>
          <w:p w14:paraId="7C8400F0" w14:textId="77777777" w:rsidR="00FE3123" w:rsidRPr="00F42D6C" w:rsidRDefault="00FE3123" w:rsidP="00311D3D">
            <w:pPr>
              <w:jc w:val="right"/>
              <w:rPr>
                <w:snapToGrid w:val="0"/>
              </w:rPr>
            </w:pPr>
          </w:p>
        </w:tc>
        <w:tc>
          <w:tcPr>
            <w:tcW w:w="1208" w:type="dxa"/>
            <w:tcBorders>
              <w:bottom w:val="single" w:sz="4" w:space="0" w:color="auto"/>
            </w:tcBorders>
          </w:tcPr>
          <w:p w14:paraId="6F250001" w14:textId="77777777" w:rsidR="00FE3123" w:rsidRPr="00F42D6C" w:rsidRDefault="00FE3123" w:rsidP="00311D3D">
            <w:pPr>
              <w:tabs>
                <w:tab w:val="decimal" w:pos="960"/>
              </w:tabs>
              <w:rPr>
                <w:snapToGrid w:val="0"/>
              </w:rPr>
            </w:pPr>
            <w:r>
              <w:rPr>
                <w:snapToGrid w:val="0"/>
              </w:rPr>
              <w:t>54</w:t>
            </w:r>
          </w:p>
        </w:tc>
        <w:tc>
          <w:tcPr>
            <w:tcW w:w="1208" w:type="dxa"/>
            <w:tcBorders>
              <w:bottom w:val="single" w:sz="4" w:space="0" w:color="auto"/>
            </w:tcBorders>
          </w:tcPr>
          <w:p w14:paraId="797E1A46" w14:textId="77777777" w:rsidR="00FE3123" w:rsidRPr="00F42D6C" w:rsidRDefault="00FE3123" w:rsidP="00311D3D">
            <w:pPr>
              <w:tabs>
                <w:tab w:val="decimal" w:pos="1005"/>
              </w:tabs>
              <w:rPr>
                <w:snapToGrid w:val="0"/>
              </w:rPr>
            </w:pPr>
            <w:r>
              <w:rPr>
                <w:snapToGrid w:val="0"/>
              </w:rPr>
              <w:t>5,763</w:t>
            </w:r>
          </w:p>
        </w:tc>
      </w:tr>
      <w:tr w:rsidR="00FE3123" w:rsidRPr="00F42D6C" w14:paraId="74C40936" w14:textId="77777777" w:rsidTr="00311D3D">
        <w:trPr>
          <w:trHeight w:val="276"/>
        </w:trPr>
        <w:tc>
          <w:tcPr>
            <w:tcW w:w="237" w:type="dxa"/>
          </w:tcPr>
          <w:p w14:paraId="526FEB99" w14:textId="77777777" w:rsidR="00FE3123" w:rsidRPr="00F42D6C" w:rsidRDefault="00FE3123" w:rsidP="00311D3D">
            <w:pPr>
              <w:jc w:val="right"/>
              <w:rPr>
                <w:snapToGrid w:val="0"/>
              </w:rPr>
            </w:pPr>
          </w:p>
        </w:tc>
        <w:tc>
          <w:tcPr>
            <w:tcW w:w="6069" w:type="dxa"/>
            <w:gridSpan w:val="4"/>
          </w:tcPr>
          <w:p w14:paraId="2AAE2D04" w14:textId="77777777" w:rsidR="00FE3123" w:rsidRPr="00F42D6C" w:rsidRDefault="00FE3123" w:rsidP="00311D3D">
            <w:pPr>
              <w:rPr>
                <w:snapToGrid w:val="0"/>
              </w:rPr>
            </w:pPr>
            <w:r w:rsidRPr="00F42D6C">
              <w:rPr>
                <w:snapToGrid w:val="0"/>
              </w:rPr>
              <w:t>Total liabilities and stockholders’ equity</w:t>
            </w:r>
          </w:p>
        </w:tc>
        <w:tc>
          <w:tcPr>
            <w:tcW w:w="1208" w:type="dxa"/>
          </w:tcPr>
          <w:p w14:paraId="7701C386" w14:textId="77777777" w:rsidR="00FE3123" w:rsidRPr="00F42D6C" w:rsidRDefault="00FE3123" w:rsidP="00311D3D">
            <w:pPr>
              <w:jc w:val="right"/>
              <w:rPr>
                <w:snapToGrid w:val="0"/>
              </w:rPr>
            </w:pPr>
          </w:p>
        </w:tc>
        <w:tc>
          <w:tcPr>
            <w:tcW w:w="1208" w:type="dxa"/>
            <w:tcBorders>
              <w:top w:val="single" w:sz="4" w:space="0" w:color="auto"/>
              <w:bottom w:val="double" w:sz="4" w:space="0" w:color="auto"/>
            </w:tcBorders>
          </w:tcPr>
          <w:p w14:paraId="19B6DA0D" w14:textId="77777777" w:rsidR="00FE3123" w:rsidRPr="00F42D6C" w:rsidRDefault="00FE3123" w:rsidP="00311D3D">
            <w:pPr>
              <w:tabs>
                <w:tab w:val="left" w:pos="165"/>
                <w:tab w:val="decimal" w:pos="960"/>
              </w:tabs>
              <w:rPr>
                <w:snapToGrid w:val="0"/>
              </w:rPr>
            </w:pPr>
            <w:r w:rsidRPr="00F42D6C">
              <w:rPr>
                <w:snapToGrid w:val="0"/>
              </w:rPr>
              <w:t>$</w:t>
            </w:r>
            <w:r w:rsidRPr="00F42D6C">
              <w:rPr>
                <w:snapToGrid w:val="0"/>
              </w:rPr>
              <w:tab/>
            </w:r>
            <w:r w:rsidRPr="00F42D6C">
              <w:rPr>
                <w:snapToGrid w:val="0"/>
              </w:rPr>
              <w:tab/>
            </w:r>
            <w:r>
              <w:rPr>
                <w:snapToGrid w:val="0"/>
              </w:rPr>
              <w:t>3,358</w:t>
            </w:r>
          </w:p>
        </w:tc>
        <w:tc>
          <w:tcPr>
            <w:tcW w:w="1208" w:type="dxa"/>
            <w:tcBorders>
              <w:top w:val="single" w:sz="4" w:space="0" w:color="auto"/>
              <w:bottom w:val="double" w:sz="4" w:space="0" w:color="auto"/>
            </w:tcBorders>
          </w:tcPr>
          <w:p w14:paraId="16D7EDA1" w14:textId="77777777" w:rsidR="00FE3123" w:rsidRPr="00F42D6C" w:rsidRDefault="00FE3123" w:rsidP="00311D3D">
            <w:pPr>
              <w:tabs>
                <w:tab w:val="left" w:pos="105"/>
                <w:tab w:val="decimal" w:pos="1005"/>
              </w:tabs>
              <w:rPr>
                <w:snapToGrid w:val="0"/>
              </w:rPr>
            </w:pPr>
            <w:r w:rsidRPr="00F42D6C">
              <w:rPr>
                <w:snapToGrid w:val="0"/>
              </w:rPr>
              <w:t>$</w:t>
            </w:r>
            <w:r w:rsidRPr="00F42D6C">
              <w:rPr>
                <w:snapToGrid w:val="0"/>
              </w:rPr>
              <w:tab/>
            </w:r>
            <w:r>
              <w:rPr>
                <w:snapToGrid w:val="0"/>
              </w:rPr>
              <w:tab/>
              <w:t>9,283</w:t>
            </w:r>
          </w:p>
        </w:tc>
      </w:tr>
      <w:tr w:rsidR="00FE3123" w:rsidRPr="00F42D6C" w14:paraId="5741ADFA" w14:textId="77777777" w:rsidTr="00311D3D">
        <w:trPr>
          <w:trHeight w:val="276"/>
        </w:trPr>
        <w:tc>
          <w:tcPr>
            <w:tcW w:w="237" w:type="dxa"/>
          </w:tcPr>
          <w:p w14:paraId="1FA240A6" w14:textId="77777777" w:rsidR="00FE3123" w:rsidRPr="00F42D6C" w:rsidRDefault="00FE3123" w:rsidP="00311D3D">
            <w:pPr>
              <w:jc w:val="right"/>
              <w:rPr>
                <w:snapToGrid w:val="0"/>
              </w:rPr>
            </w:pPr>
          </w:p>
        </w:tc>
        <w:tc>
          <w:tcPr>
            <w:tcW w:w="4383" w:type="dxa"/>
            <w:gridSpan w:val="2"/>
          </w:tcPr>
          <w:p w14:paraId="2E96E6AA" w14:textId="77777777" w:rsidR="00FE3123" w:rsidRPr="00F42D6C" w:rsidRDefault="00FE3123" w:rsidP="00311D3D">
            <w:pPr>
              <w:rPr>
                <w:snapToGrid w:val="0"/>
              </w:rPr>
            </w:pPr>
          </w:p>
        </w:tc>
        <w:tc>
          <w:tcPr>
            <w:tcW w:w="478" w:type="dxa"/>
          </w:tcPr>
          <w:p w14:paraId="6E1BD0BC" w14:textId="77777777" w:rsidR="00FE3123" w:rsidRPr="00F42D6C" w:rsidRDefault="00FE3123" w:rsidP="00311D3D">
            <w:pPr>
              <w:jc w:val="right"/>
              <w:rPr>
                <w:snapToGrid w:val="0"/>
              </w:rPr>
            </w:pPr>
          </w:p>
        </w:tc>
        <w:tc>
          <w:tcPr>
            <w:tcW w:w="1208" w:type="dxa"/>
          </w:tcPr>
          <w:p w14:paraId="3C23B95A" w14:textId="77777777" w:rsidR="00FE3123" w:rsidRPr="00F42D6C" w:rsidRDefault="00FE3123" w:rsidP="00311D3D">
            <w:pPr>
              <w:jc w:val="right"/>
              <w:rPr>
                <w:snapToGrid w:val="0"/>
              </w:rPr>
            </w:pPr>
          </w:p>
        </w:tc>
        <w:tc>
          <w:tcPr>
            <w:tcW w:w="1208" w:type="dxa"/>
          </w:tcPr>
          <w:p w14:paraId="418A91AE" w14:textId="77777777" w:rsidR="00FE3123" w:rsidRPr="00F42D6C" w:rsidRDefault="00FE3123" w:rsidP="00311D3D">
            <w:pPr>
              <w:jc w:val="right"/>
              <w:rPr>
                <w:snapToGrid w:val="0"/>
              </w:rPr>
            </w:pPr>
          </w:p>
        </w:tc>
        <w:tc>
          <w:tcPr>
            <w:tcW w:w="1208" w:type="dxa"/>
          </w:tcPr>
          <w:p w14:paraId="7C038DD5" w14:textId="77777777" w:rsidR="00FE3123" w:rsidRPr="00F42D6C" w:rsidRDefault="00FE3123" w:rsidP="00311D3D">
            <w:pPr>
              <w:jc w:val="right"/>
              <w:rPr>
                <w:snapToGrid w:val="0"/>
              </w:rPr>
            </w:pPr>
          </w:p>
        </w:tc>
        <w:tc>
          <w:tcPr>
            <w:tcW w:w="1208" w:type="dxa"/>
          </w:tcPr>
          <w:p w14:paraId="2F652B7A" w14:textId="77777777" w:rsidR="00FE3123" w:rsidRPr="00F42D6C" w:rsidRDefault="00FE3123" w:rsidP="00311D3D">
            <w:pPr>
              <w:jc w:val="right"/>
              <w:rPr>
                <w:snapToGrid w:val="0"/>
              </w:rPr>
            </w:pPr>
          </w:p>
        </w:tc>
      </w:tr>
      <w:tr w:rsidR="00FE3123" w:rsidRPr="00F42D6C" w14:paraId="0ABB0AF8" w14:textId="77777777" w:rsidTr="00311D3D">
        <w:trPr>
          <w:trHeight w:val="276"/>
        </w:trPr>
        <w:tc>
          <w:tcPr>
            <w:tcW w:w="237" w:type="dxa"/>
          </w:tcPr>
          <w:p w14:paraId="0DBC34AD" w14:textId="77777777" w:rsidR="00FE3123" w:rsidRPr="00F42D6C" w:rsidRDefault="00FE3123" w:rsidP="00311D3D">
            <w:pPr>
              <w:jc w:val="right"/>
              <w:rPr>
                <w:snapToGrid w:val="0"/>
              </w:rPr>
            </w:pPr>
          </w:p>
        </w:tc>
        <w:tc>
          <w:tcPr>
            <w:tcW w:w="4383" w:type="dxa"/>
            <w:gridSpan w:val="2"/>
          </w:tcPr>
          <w:p w14:paraId="083D970F" w14:textId="77777777" w:rsidR="00FE3123" w:rsidRPr="00F42D6C" w:rsidRDefault="00FE3123" w:rsidP="00311D3D">
            <w:pPr>
              <w:rPr>
                <w:snapToGrid w:val="0"/>
              </w:rPr>
            </w:pPr>
            <w:r w:rsidRPr="00F42D6C">
              <w:rPr>
                <w:snapToGrid w:val="0"/>
              </w:rPr>
              <w:t>Common shares outstanding</w:t>
            </w:r>
          </w:p>
        </w:tc>
        <w:tc>
          <w:tcPr>
            <w:tcW w:w="478" w:type="dxa"/>
          </w:tcPr>
          <w:p w14:paraId="3DD8D57E" w14:textId="77777777" w:rsidR="00FE3123" w:rsidRPr="00F42D6C" w:rsidRDefault="00FE3123" w:rsidP="00311D3D">
            <w:pPr>
              <w:jc w:val="right"/>
              <w:rPr>
                <w:snapToGrid w:val="0"/>
              </w:rPr>
            </w:pPr>
          </w:p>
        </w:tc>
        <w:tc>
          <w:tcPr>
            <w:tcW w:w="1208" w:type="dxa"/>
          </w:tcPr>
          <w:p w14:paraId="428321B5" w14:textId="77777777" w:rsidR="00FE3123" w:rsidRPr="00F42D6C" w:rsidRDefault="00FE3123" w:rsidP="00311D3D">
            <w:pPr>
              <w:jc w:val="right"/>
              <w:rPr>
                <w:snapToGrid w:val="0"/>
              </w:rPr>
            </w:pPr>
          </w:p>
        </w:tc>
        <w:tc>
          <w:tcPr>
            <w:tcW w:w="1208" w:type="dxa"/>
          </w:tcPr>
          <w:p w14:paraId="3BB0FBEA" w14:textId="77777777" w:rsidR="00FE3123" w:rsidRPr="00F42D6C" w:rsidRDefault="00FE3123" w:rsidP="00311D3D">
            <w:pPr>
              <w:jc w:val="right"/>
              <w:rPr>
                <w:snapToGrid w:val="0"/>
              </w:rPr>
            </w:pPr>
          </w:p>
        </w:tc>
        <w:tc>
          <w:tcPr>
            <w:tcW w:w="1208" w:type="dxa"/>
          </w:tcPr>
          <w:p w14:paraId="0FBD0DB6" w14:textId="77777777" w:rsidR="00FE3123" w:rsidRPr="00F42D6C" w:rsidRDefault="00FE3123" w:rsidP="00311D3D">
            <w:pPr>
              <w:tabs>
                <w:tab w:val="left" w:pos="150"/>
                <w:tab w:val="decimal" w:pos="960"/>
              </w:tabs>
              <w:rPr>
                <w:snapToGrid w:val="0"/>
              </w:rPr>
            </w:pPr>
            <w:r w:rsidRPr="00F42D6C">
              <w:rPr>
                <w:snapToGrid w:val="0"/>
              </w:rPr>
              <w:tab/>
            </w:r>
            <w:r w:rsidRPr="00F42D6C">
              <w:rPr>
                <w:snapToGrid w:val="0"/>
              </w:rPr>
              <w:tab/>
            </w:r>
            <w:r>
              <w:rPr>
                <w:snapToGrid w:val="0"/>
              </w:rPr>
              <w:t>2,308,309</w:t>
            </w:r>
          </w:p>
        </w:tc>
        <w:tc>
          <w:tcPr>
            <w:tcW w:w="1208" w:type="dxa"/>
          </w:tcPr>
          <w:p w14:paraId="62C3C074" w14:textId="77777777" w:rsidR="00FE3123" w:rsidRPr="00F42D6C" w:rsidRDefault="00FE3123" w:rsidP="00311D3D">
            <w:pPr>
              <w:tabs>
                <w:tab w:val="left" w:pos="165"/>
                <w:tab w:val="decimal" w:pos="1005"/>
              </w:tabs>
              <w:rPr>
                <w:snapToGrid w:val="0"/>
              </w:rPr>
            </w:pPr>
            <w:r w:rsidRPr="00F42D6C">
              <w:rPr>
                <w:snapToGrid w:val="0"/>
              </w:rPr>
              <w:tab/>
            </w:r>
            <w:r w:rsidRPr="00F42D6C">
              <w:rPr>
                <w:snapToGrid w:val="0"/>
              </w:rPr>
              <w:tab/>
            </w:r>
            <w:r>
              <w:rPr>
                <w:snapToGrid w:val="0"/>
              </w:rPr>
              <w:t>1,977,152</w:t>
            </w:r>
          </w:p>
        </w:tc>
      </w:tr>
    </w:tbl>
    <w:p w14:paraId="44A083FE" w14:textId="77777777" w:rsidR="00FE3123" w:rsidRPr="00F42D6C" w:rsidRDefault="00FE3123" w:rsidP="00FE3123">
      <w:pPr>
        <w:jc w:val="both"/>
      </w:pPr>
    </w:p>
    <w:p w14:paraId="5CF46E14" w14:textId="77777777" w:rsidR="00FE3123" w:rsidRPr="00F42D6C" w:rsidRDefault="00FE3123" w:rsidP="00FE3123">
      <w:pPr>
        <w:jc w:val="both"/>
      </w:pPr>
    </w:p>
    <w:p w14:paraId="282FE80F" w14:textId="77777777" w:rsidR="00FE3123" w:rsidRPr="00F42D6C" w:rsidRDefault="00FE3123" w:rsidP="00FE3123">
      <w:pPr>
        <w:jc w:val="both"/>
      </w:pPr>
    </w:p>
    <w:p w14:paraId="2B519A86" w14:textId="484BD6C3" w:rsidR="004B3179" w:rsidRPr="008D7E3A" w:rsidRDefault="004B3179" w:rsidP="008D7E3A"/>
    <w:sectPr w:rsidR="004B3179" w:rsidRPr="008D7E3A" w:rsidSect="00FE3123">
      <w:headerReference w:type="first" r:id="rId22"/>
      <w:footerReference w:type="first" r:id="rId23"/>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50BE" w14:textId="77777777" w:rsidR="00A345F7" w:rsidRDefault="00A345F7" w:rsidP="004422FB">
      <w:r>
        <w:separator/>
      </w:r>
    </w:p>
  </w:endnote>
  <w:endnote w:type="continuationSeparator" w:id="0">
    <w:p w14:paraId="046B65B1" w14:textId="77777777" w:rsidR="00A345F7" w:rsidRDefault="00A345F7"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0C3" w14:textId="77777777" w:rsidR="002F020C" w:rsidRDefault="002F0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456A" w14:textId="77777777" w:rsidR="00FE3123" w:rsidRPr="00AA6838" w:rsidRDefault="00FE3123" w:rsidP="00AA6838">
    <w:pPr>
      <w:pStyle w:val="Footer"/>
      <w:jc w:val="center"/>
      <w:rPr>
        <w:b/>
      </w:rPr>
    </w:pPr>
    <w:r>
      <w:rPr>
        <w:b/>
      </w:rPr>
      <w:t>MORE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8CD8" w14:textId="77777777" w:rsidR="00FE3123" w:rsidRPr="00AA6838" w:rsidRDefault="00FE3123" w:rsidP="00AA6838">
    <w:pPr>
      <w:pStyle w:val="Footer"/>
      <w:jc w:val="center"/>
      <w:rPr>
        <w:b/>
      </w:rPr>
    </w:pPr>
    <w:r>
      <w:rPr>
        <w:b/>
      </w:rPr>
      <w:t>MORE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D42D" w14:textId="77777777" w:rsidR="00FE3123" w:rsidRDefault="00FE3123"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48AC" w14:textId="77777777" w:rsidR="00A345F7" w:rsidRDefault="00A345F7" w:rsidP="004422FB">
      <w:r>
        <w:separator/>
      </w:r>
    </w:p>
  </w:footnote>
  <w:footnote w:type="continuationSeparator" w:id="0">
    <w:p w14:paraId="57791EC2" w14:textId="77777777" w:rsidR="00A345F7" w:rsidRDefault="00A345F7"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A308" w14:textId="77777777" w:rsidR="002F020C" w:rsidRDefault="002F0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B2A6" w14:textId="77777777" w:rsidR="00FE3123" w:rsidRDefault="00FE3123">
    <w:pPr>
      <w:pStyle w:val="Header"/>
    </w:pPr>
    <w:r w:rsidRPr="004F39CB">
      <w:rPr>
        <w:noProof/>
      </w:rPr>
      <w:drawing>
        <wp:inline distT="0" distB="0" distL="0" distR="0" wp14:anchorId="6AA96F29" wp14:editId="011A76D4">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4AF3" w14:textId="77777777" w:rsidR="00FE3123" w:rsidRPr="00472920" w:rsidRDefault="00FE3123"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B312F"/>
    <w:multiLevelType w:val="hybridMultilevel"/>
    <w:tmpl w:val="85A6953C"/>
    <w:lvl w:ilvl="0" w:tplc="D3F026D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1"/>
  </w:num>
  <w:num w:numId="2" w16cid:durableId="1845196331">
    <w:abstractNumId w:val="2"/>
  </w:num>
  <w:num w:numId="3" w16cid:durableId="16091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6511"/>
    <w:rsid w:val="000E6508"/>
    <w:rsid w:val="00134BBC"/>
    <w:rsid w:val="00144D4F"/>
    <w:rsid w:val="00153CF3"/>
    <w:rsid w:val="00172B54"/>
    <w:rsid w:val="00186A50"/>
    <w:rsid w:val="001A687F"/>
    <w:rsid w:val="001D3520"/>
    <w:rsid w:val="002049D0"/>
    <w:rsid w:val="00220F69"/>
    <w:rsid w:val="00241DEF"/>
    <w:rsid w:val="00246139"/>
    <w:rsid w:val="00251615"/>
    <w:rsid w:val="00277674"/>
    <w:rsid w:val="00296BF7"/>
    <w:rsid w:val="002E7A44"/>
    <w:rsid w:val="002F020C"/>
    <w:rsid w:val="002F47BC"/>
    <w:rsid w:val="00304DE8"/>
    <w:rsid w:val="0036369E"/>
    <w:rsid w:val="003643C1"/>
    <w:rsid w:val="00376DEC"/>
    <w:rsid w:val="0038612B"/>
    <w:rsid w:val="003A4BB3"/>
    <w:rsid w:val="003B3474"/>
    <w:rsid w:val="003B670F"/>
    <w:rsid w:val="003F3DEB"/>
    <w:rsid w:val="00401F33"/>
    <w:rsid w:val="00404B0F"/>
    <w:rsid w:val="00414E31"/>
    <w:rsid w:val="004422FB"/>
    <w:rsid w:val="004433D8"/>
    <w:rsid w:val="004562CE"/>
    <w:rsid w:val="004641B9"/>
    <w:rsid w:val="00494777"/>
    <w:rsid w:val="004B3179"/>
    <w:rsid w:val="004C2859"/>
    <w:rsid w:val="004D4E0A"/>
    <w:rsid w:val="004F383B"/>
    <w:rsid w:val="00516CAC"/>
    <w:rsid w:val="00552D47"/>
    <w:rsid w:val="00583D37"/>
    <w:rsid w:val="00594A72"/>
    <w:rsid w:val="005A1F60"/>
    <w:rsid w:val="005A5B22"/>
    <w:rsid w:val="006131D7"/>
    <w:rsid w:val="00652DCC"/>
    <w:rsid w:val="00677F25"/>
    <w:rsid w:val="00691E45"/>
    <w:rsid w:val="006959EC"/>
    <w:rsid w:val="006A30B4"/>
    <w:rsid w:val="006B4011"/>
    <w:rsid w:val="006C4831"/>
    <w:rsid w:val="006E7AA3"/>
    <w:rsid w:val="007150B5"/>
    <w:rsid w:val="00716A75"/>
    <w:rsid w:val="00734084"/>
    <w:rsid w:val="00766EB9"/>
    <w:rsid w:val="0079268C"/>
    <w:rsid w:val="007B1C14"/>
    <w:rsid w:val="007B5113"/>
    <w:rsid w:val="007C095B"/>
    <w:rsid w:val="007E3D57"/>
    <w:rsid w:val="00833F99"/>
    <w:rsid w:val="00846F5B"/>
    <w:rsid w:val="00851166"/>
    <w:rsid w:val="0089446A"/>
    <w:rsid w:val="008A3A73"/>
    <w:rsid w:val="008A45B8"/>
    <w:rsid w:val="008A5F28"/>
    <w:rsid w:val="008B7616"/>
    <w:rsid w:val="008D7E3A"/>
    <w:rsid w:val="008E4E77"/>
    <w:rsid w:val="008F5D07"/>
    <w:rsid w:val="00903941"/>
    <w:rsid w:val="00922B4A"/>
    <w:rsid w:val="00922FCF"/>
    <w:rsid w:val="0095070C"/>
    <w:rsid w:val="00995863"/>
    <w:rsid w:val="009B15B2"/>
    <w:rsid w:val="009F16FD"/>
    <w:rsid w:val="009F32C7"/>
    <w:rsid w:val="009F7B30"/>
    <w:rsid w:val="00A213F5"/>
    <w:rsid w:val="00A30573"/>
    <w:rsid w:val="00A345F7"/>
    <w:rsid w:val="00A7343F"/>
    <w:rsid w:val="00A7489D"/>
    <w:rsid w:val="00A7711D"/>
    <w:rsid w:val="00AA2DDC"/>
    <w:rsid w:val="00AA3D35"/>
    <w:rsid w:val="00AC4D41"/>
    <w:rsid w:val="00B02C57"/>
    <w:rsid w:val="00B2632B"/>
    <w:rsid w:val="00B44E7B"/>
    <w:rsid w:val="00B4616E"/>
    <w:rsid w:val="00B4673C"/>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60567"/>
    <w:rsid w:val="00D74319"/>
    <w:rsid w:val="00D95C48"/>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D1599"/>
    <w:rsid w:val="00FD747F"/>
    <w:rsid w:val="00FE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r@roberts-communications.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ustin.murtagh@sterni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geovax.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ovax.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ge.media-server.com/mmc/p/m379oy9j" TargetMode="Externa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2024-05-15T14:40:00Z</dcterms:created>
  <dcterms:modified xsi:type="dcterms:W3CDTF">2024-05-15T14:40:00Z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