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653859"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12EEB8E9" w:rsidR="008D7E3A" w:rsidRDefault="008D7E3A" w:rsidP="008D7E3A">
      <w:pPr>
        <w:ind w:left="144" w:right="144"/>
        <w:jc w:val="center"/>
        <w:rPr>
          <w:sz w:val="20"/>
          <w:szCs w:val="20"/>
        </w:rPr>
      </w:pPr>
      <w:r>
        <w:rPr>
          <w:b/>
          <w:bCs/>
          <w:sz w:val="20"/>
          <w:szCs w:val="20"/>
        </w:rPr>
        <w:t>Date of report (Date of earliest event reported)</w:t>
      </w:r>
      <w:proofErr w:type="gramStart"/>
      <w:r>
        <w:rPr>
          <w:b/>
          <w:bCs/>
          <w:sz w:val="20"/>
          <w:szCs w:val="20"/>
        </w:rPr>
        <w:t>:  </w:t>
      </w:r>
      <w:r w:rsidR="00DA73E9">
        <w:rPr>
          <w:b/>
          <w:bCs/>
          <w:sz w:val="20"/>
          <w:szCs w:val="20"/>
        </w:rPr>
        <w:t>May</w:t>
      </w:r>
      <w:proofErr w:type="gramEnd"/>
      <w:r w:rsidR="00DA73E9">
        <w:rPr>
          <w:b/>
          <w:bCs/>
          <w:sz w:val="20"/>
          <w:szCs w:val="20"/>
        </w:rPr>
        <w:t xml:space="preserve"> 1</w:t>
      </w:r>
      <w:r>
        <w:rPr>
          <w:b/>
          <w:bCs/>
          <w:sz w:val="20"/>
          <w:szCs w:val="20"/>
        </w:rPr>
        <w:t>, 202</w:t>
      </w:r>
      <w:r w:rsidR="00D93377">
        <w:rPr>
          <w:b/>
          <w:bCs/>
          <w:sz w:val="20"/>
          <w:szCs w:val="20"/>
        </w:rPr>
        <w:t>5</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653859"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77777777" w:rsidR="003F3DEB" w:rsidRDefault="003F3DEB" w:rsidP="00272EA7">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543D638B" w14:textId="77777777" w:rsidR="003F3DEB" w:rsidRDefault="003F3DEB" w:rsidP="00272EA7">
            <w:pPr>
              <w:rPr>
                <w:color w:val="000000"/>
                <w:sz w:val="20"/>
                <w:szCs w:val="20"/>
              </w:rPr>
            </w:pPr>
            <w:r>
              <w:rPr>
                <w:b/>
                <w:bCs/>
                <w:color w:val="000000"/>
                <w:sz w:val="20"/>
                <w:szCs w:val="20"/>
              </w:rPr>
              <w:t>Results of Operations and Financial Condition.</w:t>
            </w:r>
          </w:p>
        </w:tc>
      </w:tr>
    </w:tbl>
    <w:p w14:paraId="4C7EA2DE" w14:textId="77777777" w:rsidR="003F3DEB" w:rsidRDefault="003F3DEB" w:rsidP="003F3DEB">
      <w:pPr>
        <w:ind w:left="144" w:right="144"/>
        <w:rPr>
          <w:sz w:val="20"/>
          <w:szCs w:val="20"/>
        </w:rPr>
      </w:pPr>
      <w:r>
        <w:rPr>
          <w:b/>
          <w:bCs/>
          <w:i/>
          <w:iCs/>
          <w:sz w:val="20"/>
          <w:szCs w:val="20"/>
        </w:rPr>
        <w:t> </w:t>
      </w:r>
      <w:r>
        <w:rPr>
          <w:sz w:val="20"/>
          <w:szCs w:val="20"/>
        </w:rPr>
        <w:t> </w:t>
      </w:r>
    </w:p>
    <w:p w14:paraId="313AF3C5" w14:textId="4B93F633" w:rsidR="003F3DEB" w:rsidRDefault="003F3DEB" w:rsidP="003F3DEB">
      <w:pPr>
        <w:ind w:left="144" w:right="144"/>
        <w:jc w:val="both"/>
        <w:rPr>
          <w:sz w:val="20"/>
          <w:szCs w:val="20"/>
        </w:rPr>
      </w:pPr>
      <w:r>
        <w:rPr>
          <w:bCs/>
          <w:sz w:val="20"/>
          <w:szCs w:val="20"/>
        </w:rPr>
        <w:t xml:space="preserve">On </w:t>
      </w:r>
      <w:r w:rsidR="004F2672">
        <w:rPr>
          <w:bCs/>
          <w:sz w:val="20"/>
          <w:szCs w:val="20"/>
        </w:rPr>
        <w:t>April</w:t>
      </w:r>
      <w:r>
        <w:rPr>
          <w:bCs/>
          <w:sz w:val="20"/>
          <w:szCs w:val="20"/>
        </w:rPr>
        <w:t xml:space="preserve"> </w:t>
      </w:r>
      <w:r w:rsidR="004F2672">
        <w:rPr>
          <w:bCs/>
          <w:sz w:val="20"/>
          <w:szCs w:val="20"/>
        </w:rPr>
        <w:t>30</w:t>
      </w:r>
      <w:r>
        <w:rPr>
          <w:bCs/>
          <w:sz w:val="20"/>
          <w:szCs w:val="20"/>
        </w:rPr>
        <w:t>, 202</w:t>
      </w:r>
      <w:r w:rsidR="00D93377">
        <w:rPr>
          <w:bCs/>
          <w:sz w:val="20"/>
          <w:szCs w:val="20"/>
        </w:rPr>
        <w:t>5</w:t>
      </w:r>
      <w:r>
        <w:rPr>
          <w:bCs/>
          <w:sz w:val="20"/>
          <w:szCs w:val="20"/>
        </w:rPr>
        <w:t xml:space="preserve">, </w:t>
      </w:r>
      <w:r w:rsidR="00EC3F8A">
        <w:rPr>
          <w:bCs/>
          <w:sz w:val="20"/>
          <w:szCs w:val="20"/>
        </w:rPr>
        <w:t xml:space="preserve">GeoVax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4F2672">
        <w:rPr>
          <w:bCs/>
          <w:sz w:val="20"/>
          <w:szCs w:val="20"/>
        </w:rPr>
        <w:t>quarter</w:t>
      </w:r>
      <w:r>
        <w:rPr>
          <w:bCs/>
          <w:sz w:val="20"/>
          <w:szCs w:val="20"/>
        </w:rPr>
        <w:t xml:space="preserve"> ended </w:t>
      </w:r>
      <w:r w:rsidR="004F2672">
        <w:rPr>
          <w:bCs/>
          <w:sz w:val="20"/>
          <w:szCs w:val="20"/>
        </w:rPr>
        <w:t>March</w:t>
      </w:r>
      <w:r w:rsidR="00F470EC">
        <w:rPr>
          <w:bCs/>
          <w:sz w:val="20"/>
          <w:szCs w:val="20"/>
        </w:rPr>
        <w:t xml:space="preserve"> 31</w:t>
      </w:r>
      <w:r>
        <w:rPr>
          <w:bCs/>
          <w:sz w:val="20"/>
          <w:szCs w:val="20"/>
        </w:rPr>
        <w:t>, 202</w:t>
      </w:r>
      <w:r w:rsidR="004F2672">
        <w:rPr>
          <w:bCs/>
          <w:sz w:val="20"/>
          <w:szCs w:val="20"/>
        </w:rPr>
        <w:t>5</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0625A990" w:rsidR="008D7E3A" w:rsidRDefault="00EC3F8A" w:rsidP="00EC3F8A">
            <w:pPr>
              <w:rPr>
                <w:sz w:val="20"/>
                <w:szCs w:val="20"/>
              </w:rPr>
            </w:pPr>
            <w:r w:rsidRPr="00B02C57">
              <w:rPr>
                <w:bCs/>
                <w:sz w:val="20"/>
                <w:szCs w:val="20"/>
              </w:rPr>
              <w:t xml:space="preserve">Press Release dated </w:t>
            </w:r>
            <w:r w:rsidR="00DA73E9">
              <w:rPr>
                <w:bCs/>
                <w:sz w:val="20"/>
                <w:szCs w:val="20"/>
              </w:rPr>
              <w:t>May</w:t>
            </w:r>
            <w:r w:rsidR="00DA73E9" w:rsidRPr="00B02C57">
              <w:rPr>
                <w:bCs/>
                <w:sz w:val="20"/>
                <w:szCs w:val="20"/>
              </w:rPr>
              <w:t xml:space="preserve"> </w:t>
            </w:r>
            <w:r w:rsidR="00DA73E9">
              <w:rPr>
                <w:bCs/>
                <w:sz w:val="20"/>
                <w:szCs w:val="20"/>
              </w:rPr>
              <w:t>1</w:t>
            </w:r>
            <w:r w:rsidRPr="00B02C57">
              <w:rPr>
                <w:bCs/>
                <w:sz w:val="20"/>
                <w:szCs w:val="20"/>
              </w:rPr>
              <w:t>, 202</w:t>
            </w:r>
            <w:r w:rsidR="00D93377">
              <w:rPr>
                <w:bCs/>
                <w:sz w:val="20"/>
                <w:szCs w:val="20"/>
              </w:rPr>
              <w:t>5</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601E0F2E" w:rsidR="008D7E3A" w:rsidRDefault="008D7E3A" w:rsidP="008D7E3A">
      <w:pPr>
        <w:ind w:left="144" w:right="144"/>
        <w:rPr>
          <w:sz w:val="20"/>
          <w:szCs w:val="20"/>
        </w:rPr>
      </w:pPr>
      <w:r>
        <w:rPr>
          <w:sz w:val="20"/>
          <w:szCs w:val="20"/>
        </w:rPr>
        <w:t xml:space="preserve">Date: </w:t>
      </w:r>
      <w:r w:rsidR="00DA73E9">
        <w:rPr>
          <w:sz w:val="20"/>
          <w:szCs w:val="20"/>
        </w:rPr>
        <w:t>May 1</w:t>
      </w:r>
      <w:r>
        <w:rPr>
          <w:sz w:val="20"/>
          <w:szCs w:val="20"/>
        </w:rPr>
        <w:t>, 202</w:t>
      </w:r>
      <w:r w:rsidR="00D93377">
        <w:rPr>
          <w:sz w:val="20"/>
          <w:szCs w:val="20"/>
        </w:rPr>
        <w:t>5</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CB0AE93" w14:textId="77777777" w:rsidR="00653859" w:rsidRDefault="00653859" w:rsidP="008D7E3A">
      <w:pPr>
        <w:sectPr w:rsidR="00653859">
          <w:footerReference w:type="default" r:id="rId8"/>
          <w:pgSz w:w="12240" w:h="15840"/>
          <w:pgMar w:top="576" w:right="720" w:bottom="576" w:left="720" w:header="144" w:footer="432" w:gutter="0"/>
          <w:cols w:space="720"/>
        </w:sectPr>
      </w:pPr>
    </w:p>
    <w:p w14:paraId="59E4E8F6" w14:textId="13D952BD" w:rsidR="00653859" w:rsidRPr="0084584E" w:rsidRDefault="00653859" w:rsidP="00653859">
      <w:pPr>
        <w:jc w:val="center"/>
        <w:rPr>
          <w:b/>
          <w:color w:val="FF0000"/>
          <w:sz w:val="32"/>
          <w:szCs w:val="32"/>
        </w:rPr>
      </w:pPr>
      <w:r>
        <w:rPr>
          <w:noProof/>
        </w:rPr>
        <w:lastRenderedPageBreak/>
        <mc:AlternateContent>
          <mc:Choice Requires="wps">
            <w:drawing>
              <wp:anchor distT="45720" distB="45720" distL="114300" distR="114300" simplePos="0" relativeHeight="251659264" behindDoc="1" locked="0" layoutInCell="1" allowOverlap="1" wp14:anchorId="1347E26C" wp14:editId="01C360C3">
                <wp:simplePos x="0" y="0"/>
                <wp:positionH relativeFrom="column">
                  <wp:posOffset>3968115</wp:posOffset>
                </wp:positionH>
                <wp:positionV relativeFrom="paragraph">
                  <wp:posOffset>-295275</wp:posOffset>
                </wp:positionV>
                <wp:extent cx="2360930" cy="78994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9940"/>
                        </a:xfrm>
                        <a:prstGeom prst="rect">
                          <a:avLst/>
                        </a:prstGeom>
                        <a:solidFill>
                          <a:srgbClr val="FFFFFF"/>
                        </a:solidFill>
                        <a:ln w="9525">
                          <a:noFill/>
                          <a:miter lim="800000"/>
                          <a:headEnd/>
                          <a:tailEnd/>
                        </a:ln>
                      </wps:spPr>
                      <wps:txbx>
                        <w:txbxContent>
                          <w:p w14:paraId="1D279DB1" w14:textId="77777777" w:rsidR="00653859" w:rsidRPr="00653859" w:rsidRDefault="00653859" w:rsidP="00653859">
                            <w:pPr>
                              <w:jc w:val="right"/>
                              <w:rPr>
                                <w:b/>
                                <w:bCs/>
                              </w:rPr>
                            </w:pPr>
                            <w:r w:rsidRPr="00653859">
                              <w:rPr>
                                <w:b/>
                                <w:bCs/>
                              </w:rPr>
                              <w:t>EXHIBIT 99.1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47E26C" id="_x0000_t202" coordsize="21600,21600" o:spt="202" path="m,l,21600r21600,l21600,xe">
                <v:stroke joinstyle="miter"/>
                <v:path gradientshapeok="t" o:connecttype="rect"/>
              </v:shapetype>
              <v:shape id="Text Box 2" o:spid="_x0000_s1026" type="#_x0000_t202" style="position:absolute;left:0;text-align:left;margin-left:312.45pt;margin-top:-23.25pt;width:185.9pt;height:62.2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MNDQ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" stroked="f">
                <v:textbox>
                  <w:txbxContent>
                    <w:p w14:paraId="1D279DB1" w14:textId="77777777" w:rsidR="00653859" w:rsidRPr="00653859" w:rsidRDefault="00653859" w:rsidP="00653859">
                      <w:pPr>
                        <w:jc w:val="right"/>
                        <w:rPr>
                          <w:b/>
                          <w:bCs/>
                        </w:rPr>
                      </w:pPr>
                      <w:r w:rsidRPr="00653859">
                        <w:rPr>
                          <w:b/>
                          <w:bCs/>
                        </w:rPr>
                        <w:t>EXHIBIT 99.1</w:t>
                      </w:r>
                    </w:p>
                  </w:txbxContent>
                </v:textbox>
              </v:shape>
            </w:pict>
          </mc:Fallback>
        </mc:AlternateContent>
      </w:r>
    </w:p>
    <w:p w14:paraId="3DCA14DC" w14:textId="77777777" w:rsidR="00653859" w:rsidRDefault="00653859" w:rsidP="00653859">
      <w:pPr>
        <w:jc w:val="center"/>
        <w:rPr>
          <w:b/>
          <w:color w:val="000000" w:themeColor="text1"/>
          <w:sz w:val="40"/>
          <w:szCs w:val="40"/>
        </w:rPr>
      </w:pPr>
      <w:r w:rsidRPr="00AF318C">
        <w:rPr>
          <w:b/>
          <w:color w:val="000000" w:themeColor="text1"/>
          <w:sz w:val="40"/>
          <w:szCs w:val="40"/>
        </w:rPr>
        <w:t xml:space="preserve">GeoVax </w:t>
      </w:r>
      <w:r>
        <w:rPr>
          <w:b/>
          <w:color w:val="000000" w:themeColor="text1"/>
          <w:sz w:val="40"/>
          <w:szCs w:val="40"/>
        </w:rPr>
        <w:t>Reports First Quarter 2025 Financial Results</w:t>
      </w:r>
    </w:p>
    <w:p w14:paraId="0C8F208E" w14:textId="77777777" w:rsidR="00653859" w:rsidRDefault="00653859" w:rsidP="00653859">
      <w:pPr>
        <w:jc w:val="center"/>
        <w:rPr>
          <w:b/>
          <w:color w:val="000000" w:themeColor="text1"/>
          <w:sz w:val="40"/>
          <w:szCs w:val="40"/>
        </w:rPr>
      </w:pPr>
      <w:r>
        <w:rPr>
          <w:b/>
          <w:color w:val="000000" w:themeColor="text1"/>
          <w:sz w:val="40"/>
          <w:szCs w:val="40"/>
        </w:rPr>
        <w:t>and Provides Business Update</w:t>
      </w:r>
    </w:p>
    <w:p w14:paraId="69E098E3" w14:textId="77777777" w:rsidR="00653859" w:rsidRDefault="00653859" w:rsidP="00653859">
      <w:pPr>
        <w:rPr>
          <w:bCs/>
          <w:i/>
          <w:iCs/>
          <w:color w:val="000000" w:themeColor="text1"/>
          <w:sz w:val="22"/>
          <w:szCs w:val="22"/>
        </w:rPr>
      </w:pPr>
    </w:p>
    <w:p w14:paraId="68562A3C" w14:textId="77777777" w:rsidR="00653859" w:rsidRPr="00772800" w:rsidRDefault="00653859" w:rsidP="00653859">
      <w:pPr>
        <w:jc w:val="center"/>
        <w:rPr>
          <w:bCs/>
          <w:i/>
          <w:iCs/>
          <w:color w:val="000000" w:themeColor="text1"/>
          <w:sz w:val="22"/>
          <w:szCs w:val="22"/>
        </w:rPr>
      </w:pPr>
      <w:r>
        <w:rPr>
          <w:bCs/>
          <w:i/>
          <w:iCs/>
          <w:color w:val="000000" w:themeColor="text1"/>
          <w:sz w:val="22"/>
          <w:szCs w:val="22"/>
        </w:rPr>
        <w:t>COVID-19 vaccine program progressing with a</w:t>
      </w:r>
      <w:r w:rsidRPr="00772800">
        <w:rPr>
          <w:bCs/>
          <w:i/>
          <w:iCs/>
          <w:color w:val="000000" w:themeColor="text1"/>
          <w:sz w:val="22"/>
          <w:szCs w:val="22"/>
        </w:rPr>
        <w:t xml:space="preserve">dditional data evaluating GEO-CM04S1 as </w:t>
      </w:r>
      <w:r w:rsidRPr="00772800">
        <w:rPr>
          <w:rFonts w:eastAsia="Calibri"/>
          <w:i/>
          <w:iCs/>
          <w:kern w:val="2"/>
          <w:sz w:val="22"/>
          <w:szCs w:val="22"/>
          <w14:ligatures w14:val="standardContextual"/>
        </w:rPr>
        <w:t xml:space="preserve">booster to mRNA vaccines in healthy adults expected in </w:t>
      </w:r>
      <w:r>
        <w:rPr>
          <w:bCs/>
          <w:i/>
          <w:iCs/>
          <w:color w:val="000000" w:themeColor="text1"/>
          <w:sz w:val="22"/>
          <w:szCs w:val="22"/>
        </w:rPr>
        <w:t xml:space="preserve">second quarter </w:t>
      </w:r>
      <w:r w:rsidRPr="00772800">
        <w:rPr>
          <w:bCs/>
          <w:i/>
          <w:iCs/>
          <w:color w:val="000000" w:themeColor="text1"/>
          <w:sz w:val="22"/>
          <w:szCs w:val="22"/>
        </w:rPr>
        <w:t>of 2025</w:t>
      </w:r>
    </w:p>
    <w:p w14:paraId="4C9F1D9B" w14:textId="77777777" w:rsidR="00653859" w:rsidRPr="00772800" w:rsidRDefault="00653859" w:rsidP="00653859">
      <w:pPr>
        <w:jc w:val="center"/>
        <w:rPr>
          <w:bCs/>
          <w:i/>
          <w:iCs/>
          <w:color w:val="000000" w:themeColor="text1"/>
          <w:sz w:val="22"/>
          <w:szCs w:val="22"/>
        </w:rPr>
      </w:pPr>
    </w:p>
    <w:p w14:paraId="0F3FAD09" w14:textId="77777777" w:rsidR="00653859" w:rsidRPr="00772800" w:rsidRDefault="00653859" w:rsidP="00653859">
      <w:pPr>
        <w:jc w:val="center"/>
        <w:rPr>
          <w:bCs/>
          <w:i/>
          <w:iCs/>
          <w:color w:val="000000" w:themeColor="text1"/>
          <w:sz w:val="22"/>
          <w:szCs w:val="22"/>
        </w:rPr>
      </w:pPr>
      <w:r w:rsidRPr="00772800">
        <w:rPr>
          <w:bCs/>
          <w:i/>
          <w:iCs/>
          <w:color w:val="000000" w:themeColor="text1"/>
          <w:sz w:val="22"/>
          <w:szCs w:val="22"/>
        </w:rPr>
        <w:t xml:space="preserve">Clinical evaluation of GEO-MVA, vaccine candidate for protection against Mpox and Smallpox, expected </w:t>
      </w:r>
      <w:r>
        <w:rPr>
          <w:bCs/>
          <w:i/>
          <w:iCs/>
          <w:color w:val="000000" w:themeColor="text1"/>
          <w:sz w:val="22"/>
          <w:szCs w:val="22"/>
        </w:rPr>
        <w:t xml:space="preserve">to initiate </w:t>
      </w:r>
      <w:r w:rsidRPr="00772800">
        <w:rPr>
          <w:bCs/>
          <w:i/>
          <w:iCs/>
          <w:color w:val="000000" w:themeColor="text1"/>
          <w:sz w:val="22"/>
          <w:szCs w:val="22"/>
        </w:rPr>
        <w:t>in second half of 2025</w:t>
      </w:r>
    </w:p>
    <w:p w14:paraId="18DDF110" w14:textId="77777777" w:rsidR="00653859" w:rsidRPr="00B62677" w:rsidRDefault="00653859" w:rsidP="00653859">
      <w:pPr>
        <w:jc w:val="center"/>
        <w:rPr>
          <w:bCs/>
          <w:i/>
          <w:iCs/>
          <w:color w:val="000000" w:themeColor="text1"/>
          <w:sz w:val="22"/>
          <w:szCs w:val="22"/>
          <w:highlight w:val="yellow"/>
        </w:rPr>
      </w:pPr>
    </w:p>
    <w:p w14:paraId="1575AE89" w14:textId="77777777" w:rsidR="00653859" w:rsidRPr="002B2C39" w:rsidRDefault="00653859" w:rsidP="00653859">
      <w:pPr>
        <w:jc w:val="center"/>
        <w:rPr>
          <w:bCs/>
          <w:i/>
          <w:iCs/>
          <w:color w:val="000000" w:themeColor="text1"/>
          <w:sz w:val="22"/>
          <w:szCs w:val="22"/>
        </w:rPr>
      </w:pPr>
      <w:r w:rsidRPr="00777AE3">
        <w:rPr>
          <w:bCs/>
          <w:i/>
          <w:iCs/>
          <w:color w:val="000000" w:themeColor="text1"/>
          <w:sz w:val="22"/>
          <w:szCs w:val="22"/>
        </w:rPr>
        <w:t>Gedeptin</w:t>
      </w:r>
      <w:r w:rsidRPr="00777AE3">
        <w:rPr>
          <w:bCs/>
          <w:i/>
          <w:iCs/>
          <w:color w:val="000000" w:themeColor="text1"/>
          <w:sz w:val="22"/>
          <w:szCs w:val="22"/>
          <w:vertAlign w:val="superscript"/>
        </w:rPr>
        <w:t>®</w:t>
      </w:r>
      <w:r w:rsidRPr="00777AE3">
        <w:rPr>
          <w:bCs/>
          <w:i/>
          <w:iCs/>
          <w:color w:val="000000" w:themeColor="text1"/>
          <w:sz w:val="22"/>
          <w:szCs w:val="22"/>
        </w:rPr>
        <w:t xml:space="preserve"> advancing into Phase 2 clinical trial of as treatment for first recurrent head and neck cancer in combination with immune checkpoint inhibitor</w:t>
      </w:r>
    </w:p>
    <w:p w14:paraId="5EB56854" w14:textId="77777777" w:rsidR="00653859" w:rsidRPr="002B2C39" w:rsidRDefault="00653859" w:rsidP="00653859">
      <w:pPr>
        <w:rPr>
          <w:bCs/>
          <w:i/>
          <w:iCs/>
          <w:color w:val="000000" w:themeColor="text1"/>
          <w:sz w:val="22"/>
          <w:szCs w:val="22"/>
          <w:highlight w:val="yellow"/>
        </w:rPr>
      </w:pPr>
    </w:p>
    <w:p w14:paraId="70703EF2" w14:textId="77777777" w:rsidR="00653859" w:rsidRPr="002B2C39" w:rsidRDefault="00653859" w:rsidP="00653859">
      <w:pPr>
        <w:jc w:val="center"/>
        <w:rPr>
          <w:bCs/>
          <w:i/>
          <w:iCs/>
          <w:color w:val="000000" w:themeColor="text1"/>
          <w:sz w:val="22"/>
          <w:szCs w:val="22"/>
        </w:rPr>
      </w:pPr>
      <w:r w:rsidRPr="002B2C39">
        <w:rPr>
          <w:bCs/>
          <w:i/>
          <w:iCs/>
          <w:color w:val="000000" w:themeColor="text1"/>
          <w:sz w:val="22"/>
          <w:szCs w:val="22"/>
        </w:rPr>
        <w:t>Company to host conference call today at 4:30 p.m. ET</w:t>
      </w:r>
    </w:p>
    <w:p w14:paraId="1D2BC15A" w14:textId="77777777" w:rsidR="00653859" w:rsidRDefault="00653859" w:rsidP="00653859">
      <w:pPr>
        <w:tabs>
          <w:tab w:val="left" w:pos="6399"/>
        </w:tabs>
      </w:pPr>
    </w:p>
    <w:p w14:paraId="32A561DA" w14:textId="77777777" w:rsidR="00653859" w:rsidRPr="00956349" w:rsidRDefault="00653859" w:rsidP="00653859">
      <w:pPr>
        <w:widowControl w:val="0"/>
        <w:autoSpaceDE w:val="0"/>
        <w:autoSpaceDN w:val="0"/>
        <w:adjustRightInd w:val="0"/>
        <w:jc w:val="both"/>
        <w:rPr>
          <w:bCs/>
          <w:sz w:val="22"/>
          <w:szCs w:val="22"/>
        </w:rPr>
      </w:pPr>
      <w:r w:rsidRPr="00AD1B9F">
        <w:rPr>
          <w:b/>
          <w:color w:val="000000" w:themeColor="text1"/>
          <w:sz w:val="22"/>
          <w:szCs w:val="22"/>
        </w:rPr>
        <w:t xml:space="preserve">ATLANTA, GA, </w:t>
      </w:r>
      <w:r>
        <w:rPr>
          <w:b/>
          <w:color w:val="000000" w:themeColor="text1"/>
          <w:sz w:val="22"/>
          <w:szCs w:val="22"/>
        </w:rPr>
        <w:t>May</w:t>
      </w:r>
      <w:r w:rsidRPr="00AD1B9F">
        <w:rPr>
          <w:b/>
          <w:color w:val="000000" w:themeColor="text1"/>
          <w:sz w:val="22"/>
          <w:szCs w:val="22"/>
        </w:rPr>
        <w:t xml:space="preserve"> </w:t>
      </w:r>
      <w:r>
        <w:rPr>
          <w:b/>
          <w:color w:val="000000" w:themeColor="text1"/>
          <w:sz w:val="22"/>
          <w:szCs w:val="22"/>
        </w:rPr>
        <w:t>1</w:t>
      </w:r>
      <w:r w:rsidRPr="00AD1B9F">
        <w:rPr>
          <w:b/>
          <w:color w:val="000000" w:themeColor="text1"/>
          <w:sz w:val="22"/>
          <w:szCs w:val="22"/>
        </w:rPr>
        <w:t>, 2025 –</w:t>
      </w:r>
      <w:r w:rsidRPr="00AD1B9F">
        <w:rPr>
          <w:color w:val="000000" w:themeColor="text1"/>
          <w:sz w:val="22"/>
          <w:szCs w:val="22"/>
        </w:rPr>
        <w:t xml:space="preserve"> GeoVax Labs, Inc. (Nasdaq: GOVX), </w:t>
      </w:r>
      <w:r w:rsidRPr="00B62677">
        <w:rPr>
          <w:color w:val="000000" w:themeColor="text1"/>
          <w:sz w:val="22"/>
          <w:szCs w:val="22"/>
        </w:rPr>
        <w:t>a clinical-stage biotechnology company developing human vaccines and immunotherapies against infectious diseases and cancer</w:t>
      </w:r>
      <w:r w:rsidRPr="00AD1B9F">
        <w:rPr>
          <w:color w:val="000000" w:themeColor="text1"/>
          <w:sz w:val="22"/>
          <w:szCs w:val="22"/>
        </w:rPr>
        <w:t xml:space="preserve">, </w:t>
      </w:r>
      <w:r w:rsidRPr="00AD1B9F">
        <w:rPr>
          <w:rFonts w:eastAsia="Calibri"/>
          <w:kern w:val="2"/>
          <w:sz w:val="22"/>
          <w:szCs w:val="22"/>
          <w14:ligatures w14:val="standardContextual"/>
        </w:rPr>
        <w:t xml:space="preserve">today announced its financial results and key operational accomplishments for the </w:t>
      </w:r>
      <w:r>
        <w:rPr>
          <w:rFonts w:eastAsia="Calibri"/>
          <w:kern w:val="2"/>
          <w:sz w:val="22"/>
          <w:szCs w:val="22"/>
          <w14:ligatures w14:val="standardContextual"/>
        </w:rPr>
        <w:t>quarter</w:t>
      </w:r>
      <w:r w:rsidRPr="00AD1B9F">
        <w:rPr>
          <w:rFonts w:eastAsia="Calibri"/>
          <w:kern w:val="2"/>
          <w:sz w:val="22"/>
          <w:szCs w:val="22"/>
          <w14:ligatures w14:val="standardContextual"/>
        </w:rPr>
        <w:t xml:space="preserve"> ended </w:t>
      </w:r>
      <w:r>
        <w:rPr>
          <w:rFonts w:eastAsia="Calibri"/>
          <w:kern w:val="2"/>
          <w:sz w:val="22"/>
          <w:szCs w:val="22"/>
          <w14:ligatures w14:val="standardContextual"/>
        </w:rPr>
        <w:t>March</w:t>
      </w:r>
      <w:r w:rsidRPr="00AD1B9F">
        <w:rPr>
          <w:rFonts w:eastAsia="Calibri"/>
          <w:kern w:val="2"/>
          <w:sz w:val="22"/>
          <w:szCs w:val="22"/>
          <w14:ligatures w14:val="standardContextual"/>
        </w:rPr>
        <w:t xml:space="preserve"> 31, 202</w:t>
      </w:r>
      <w:r>
        <w:rPr>
          <w:rFonts w:eastAsia="Calibri"/>
          <w:kern w:val="2"/>
          <w:sz w:val="22"/>
          <w:szCs w:val="22"/>
          <w14:ligatures w14:val="standardContextual"/>
        </w:rPr>
        <w:t>5</w:t>
      </w:r>
      <w:r w:rsidRPr="00AD1B9F">
        <w:rPr>
          <w:rFonts w:eastAsia="Calibri"/>
          <w:kern w:val="2"/>
          <w:sz w:val="22"/>
          <w:szCs w:val="22"/>
          <w14:ligatures w14:val="standardContextual"/>
        </w:rPr>
        <w:t>.</w:t>
      </w:r>
    </w:p>
    <w:p w14:paraId="0DA7BEF7" w14:textId="77777777" w:rsidR="00653859" w:rsidRDefault="00653859" w:rsidP="00653859">
      <w:pPr>
        <w:jc w:val="both"/>
        <w:rPr>
          <w:rFonts w:eastAsia="Calibri"/>
          <w:b/>
          <w:bCs/>
          <w:kern w:val="2"/>
          <w:sz w:val="22"/>
          <w:szCs w:val="22"/>
          <w14:ligatures w14:val="standardContextual"/>
        </w:rPr>
      </w:pPr>
    </w:p>
    <w:p w14:paraId="7755CA3E" w14:textId="77777777" w:rsidR="00653859" w:rsidRDefault="00653859" w:rsidP="00653859">
      <w:pPr>
        <w:jc w:val="both"/>
        <w:rPr>
          <w:rFonts w:eastAsia="Calibri"/>
          <w:kern w:val="2"/>
          <w:sz w:val="22"/>
          <w:szCs w:val="22"/>
          <w14:ligatures w14:val="standardContextual"/>
        </w:rPr>
      </w:pPr>
      <w:r>
        <w:rPr>
          <w:rFonts w:eastAsia="Calibri"/>
          <w:kern w:val="2"/>
          <w:sz w:val="22"/>
          <w:szCs w:val="22"/>
          <w14:ligatures w14:val="standardContextual"/>
        </w:rPr>
        <w:t>“Despite the recent and unexpected termination of our Project NextGen award by BARDA, our commitment to advancing GEO-CM04S1 remains unwavering. This next-generation, multi-antigen COVID-19 vaccine is highly differentiated and continues to show promise, particularly for the over 40 million immunocompromised individuals in the U.S. who remain vulnerable to current variants. Our ongoing Phase 2 trials, including studies in chronic lymphocytic leukemia patients and stem cell transplant recipients, are progressing well, with key data readouts anticipated in the first half of 2025,” stated David Dodd, GeoVax’s Chairman and CEO.</w:t>
      </w:r>
    </w:p>
    <w:p w14:paraId="313C956D" w14:textId="77777777" w:rsidR="00653859" w:rsidRDefault="00653859" w:rsidP="00653859">
      <w:pPr>
        <w:jc w:val="both"/>
        <w:rPr>
          <w:rFonts w:eastAsia="Calibri"/>
          <w:kern w:val="2"/>
          <w:sz w:val="22"/>
          <w:szCs w:val="22"/>
          <w14:ligatures w14:val="standardContextual"/>
        </w:rPr>
      </w:pPr>
    </w:p>
    <w:p w14:paraId="7C3D3576" w14:textId="77777777" w:rsidR="00653859" w:rsidRDefault="00653859" w:rsidP="00653859">
      <w:pPr>
        <w:jc w:val="both"/>
        <w:rPr>
          <w:rFonts w:eastAsia="Calibri"/>
          <w:kern w:val="2"/>
          <w:sz w:val="22"/>
          <w:szCs w:val="22"/>
          <w14:ligatures w14:val="standardContextual"/>
        </w:rPr>
      </w:pPr>
      <w:r>
        <w:rPr>
          <w:rFonts w:eastAsia="Calibri"/>
          <w:kern w:val="2"/>
          <w:sz w:val="22"/>
          <w:szCs w:val="22"/>
          <w14:ligatures w14:val="standardContextual"/>
        </w:rPr>
        <w:t>Dodd continued, “Concurrently, we are preparing to initiate the clinical evaluation of GEO-MVA during the second half 2025, while a Phase 2 trial of Gedeptin in combination with an immune checkpoint inhibitor for recurrent head and neck cancer is advancing towards trial initiation These efforts underscore GeoVax’s strategic focus on delivering innovative immunotherapies and vaccines that address critical unmet needs across oncology, infectious diseases and biodefense.”</w:t>
      </w:r>
    </w:p>
    <w:p w14:paraId="5338D8EA" w14:textId="77777777" w:rsidR="00653859" w:rsidRDefault="00653859" w:rsidP="00653859">
      <w:pPr>
        <w:jc w:val="both"/>
        <w:rPr>
          <w:rFonts w:eastAsia="Calibri"/>
          <w:b/>
          <w:bCs/>
          <w:kern w:val="2"/>
          <w:sz w:val="22"/>
          <w:szCs w:val="22"/>
          <w14:ligatures w14:val="standardContextual"/>
        </w:rPr>
      </w:pPr>
    </w:p>
    <w:p w14:paraId="46E67C53" w14:textId="77777777" w:rsidR="00653859" w:rsidRPr="00956349" w:rsidRDefault="00653859" w:rsidP="00653859">
      <w:pPr>
        <w:jc w:val="both"/>
        <w:rPr>
          <w:rFonts w:eastAsia="Calibri"/>
          <w:b/>
          <w:bCs/>
          <w:kern w:val="2"/>
          <w:sz w:val="22"/>
          <w:szCs w:val="22"/>
          <w14:ligatures w14:val="standardContextual"/>
        </w:rPr>
      </w:pPr>
      <w:r>
        <w:rPr>
          <w:rFonts w:eastAsia="Calibri"/>
          <w:b/>
          <w:bCs/>
          <w:kern w:val="2"/>
          <w:sz w:val="22"/>
          <w:szCs w:val="22"/>
          <w14:ligatures w14:val="standardContextual"/>
        </w:rPr>
        <w:t>Clinical Trial Progress and Operational Developments</w:t>
      </w:r>
    </w:p>
    <w:p w14:paraId="133C4489" w14:textId="77777777" w:rsidR="00653859" w:rsidRDefault="00653859" w:rsidP="00653859">
      <w:pPr>
        <w:jc w:val="both"/>
        <w:rPr>
          <w:rFonts w:eastAsia="Calibri"/>
          <w:b/>
          <w:bCs/>
          <w:kern w:val="2"/>
          <w:sz w:val="22"/>
          <w:szCs w:val="22"/>
          <w14:ligatures w14:val="standardContextual"/>
        </w:rPr>
      </w:pPr>
    </w:p>
    <w:p w14:paraId="0A1E0115" w14:textId="77777777" w:rsidR="00653859" w:rsidRDefault="00653859" w:rsidP="00653859">
      <w:pPr>
        <w:shd w:val="clear" w:color="auto" w:fill="FFFFFF"/>
        <w:rPr>
          <w:b/>
          <w:bCs/>
          <w:color w:val="000000"/>
          <w:sz w:val="22"/>
          <w:szCs w:val="22"/>
        </w:rPr>
      </w:pPr>
      <w:r w:rsidRPr="007E168F">
        <w:rPr>
          <w:b/>
          <w:bCs/>
          <w:color w:val="000000"/>
          <w:sz w:val="22"/>
          <w:szCs w:val="22"/>
        </w:rPr>
        <w:t>GEO-CM04S1</w:t>
      </w:r>
    </w:p>
    <w:p w14:paraId="3C1C36C8" w14:textId="77777777" w:rsidR="00653859" w:rsidRPr="007E168F" w:rsidRDefault="00653859" w:rsidP="00653859">
      <w:pPr>
        <w:shd w:val="clear" w:color="auto" w:fill="FFFFFF"/>
        <w:rPr>
          <w:color w:val="000000"/>
          <w:sz w:val="22"/>
          <w:szCs w:val="22"/>
        </w:rPr>
      </w:pPr>
    </w:p>
    <w:p w14:paraId="216E5A52" w14:textId="77777777" w:rsidR="00653859" w:rsidRPr="002F303C" w:rsidRDefault="00653859" w:rsidP="00653859">
      <w:pPr>
        <w:pStyle w:val="ListParagraph"/>
        <w:numPr>
          <w:ilvl w:val="0"/>
          <w:numId w:val="3"/>
        </w:numPr>
        <w:contextualSpacing w:val="0"/>
        <w:jc w:val="both"/>
        <w:rPr>
          <w:rFonts w:eastAsia="Calibri"/>
          <w:kern w:val="2"/>
          <w:sz w:val="22"/>
          <w:szCs w:val="22"/>
          <w14:ligatures w14:val="standardContextual"/>
        </w:rPr>
      </w:pPr>
      <w:r w:rsidRPr="00600274">
        <w:rPr>
          <w:rFonts w:eastAsia="Calibri"/>
          <w:b/>
          <w:bCs/>
          <w:kern w:val="2"/>
          <w:sz w:val="22"/>
          <w:szCs w:val="22"/>
          <w14:ligatures w14:val="standardContextual"/>
        </w:rPr>
        <w:t>GEO-CM04S1 continues to demonstrate potential as both a primary and booster vaccine</w:t>
      </w:r>
      <w:r w:rsidRPr="002F303C">
        <w:rPr>
          <w:rFonts w:eastAsia="Calibri"/>
          <w:kern w:val="2"/>
          <w:sz w:val="22"/>
          <w:szCs w:val="22"/>
          <w14:ligatures w14:val="standardContextual"/>
        </w:rPr>
        <w:t xml:space="preserve">, especially in immunocompromised patients. Key milestones anticipated during 2025 include: </w:t>
      </w:r>
    </w:p>
    <w:p w14:paraId="218BB017" w14:textId="77777777" w:rsidR="00653859" w:rsidRPr="00EA1D3B" w:rsidRDefault="00653859" w:rsidP="00653859">
      <w:pPr>
        <w:pStyle w:val="ListParagraph"/>
        <w:numPr>
          <w:ilvl w:val="1"/>
          <w:numId w:val="3"/>
        </w:numPr>
        <w:contextualSpacing w:val="0"/>
        <w:jc w:val="both"/>
        <w:rPr>
          <w:rFonts w:eastAsia="Calibri"/>
          <w:kern w:val="2"/>
          <w:sz w:val="22"/>
          <w:szCs w:val="22"/>
          <w14:ligatures w14:val="standardContextual"/>
        </w:rPr>
      </w:pPr>
      <w:r w:rsidRPr="00600274">
        <w:rPr>
          <w:rFonts w:eastAsia="Calibri"/>
          <w:b/>
          <w:bCs/>
          <w:kern w:val="2"/>
          <w:sz w:val="22"/>
          <w:szCs w:val="22"/>
          <w14:ligatures w14:val="standardContextual"/>
        </w:rPr>
        <w:t xml:space="preserve">Healthy Adult Booster Trial </w:t>
      </w:r>
      <w:r w:rsidRPr="00EA1D3B">
        <w:rPr>
          <w:rFonts w:eastAsia="Calibri"/>
          <w:kern w:val="2"/>
          <w:sz w:val="22"/>
          <w:szCs w:val="22"/>
          <w14:ligatures w14:val="standardContextual"/>
        </w:rPr>
        <w:t>– Enrollment is complete</w:t>
      </w:r>
      <w:r>
        <w:rPr>
          <w:rFonts w:eastAsia="Calibri"/>
          <w:kern w:val="2"/>
          <w:sz w:val="22"/>
          <w:szCs w:val="22"/>
          <w14:ligatures w14:val="standardContextual"/>
        </w:rPr>
        <w:t xml:space="preserve">, with </w:t>
      </w:r>
      <w:r w:rsidRPr="00EA1D3B">
        <w:rPr>
          <w:rFonts w:eastAsia="Calibri"/>
          <w:kern w:val="2"/>
          <w:sz w:val="22"/>
          <w:szCs w:val="22"/>
          <w14:ligatures w14:val="standardContextual"/>
        </w:rPr>
        <w:t xml:space="preserve">data readout expected in </w:t>
      </w:r>
      <w:r>
        <w:rPr>
          <w:rFonts w:eastAsia="Calibri"/>
          <w:kern w:val="2"/>
          <w:sz w:val="22"/>
          <w:szCs w:val="22"/>
          <w14:ligatures w14:val="standardContextual"/>
        </w:rPr>
        <w:t xml:space="preserve">the second quarter of </w:t>
      </w:r>
      <w:r w:rsidRPr="00EA1D3B">
        <w:rPr>
          <w:rFonts w:eastAsia="Calibri"/>
          <w:kern w:val="2"/>
          <w:sz w:val="22"/>
          <w:szCs w:val="22"/>
          <w14:ligatures w14:val="standardContextual"/>
        </w:rPr>
        <w:t>2025.</w:t>
      </w:r>
    </w:p>
    <w:p w14:paraId="06EF33F5" w14:textId="77777777" w:rsidR="00653859" w:rsidRPr="00EA1D3B" w:rsidRDefault="00653859" w:rsidP="00653859">
      <w:pPr>
        <w:pStyle w:val="ListParagraph"/>
        <w:numPr>
          <w:ilvl w:val="1"/>
          <w:numId w:val="3"/>
        </w:numPr>
        <w:contextualSpacing w:val="0"/>
        <w:jc w:val="both"/>
        <w:rPr>
          <w:rFonts w:eastAsia="Calibri"/>
          <w:kern w:val="2"/>
          <w:sz w:val="22"/>
          <w:szCs w:val="22"/>
          <w14:ligatures w14:val="standardContextual"/>
        </w:rPr>
      </w:pPr>
      <w:r>
        <w:rPr>
          <w:rFonts w:eastAsia="Calibri"/>
          <w:b/>
          <w:bCs/>
          <w:kern w:val="2"/>
          <w:sz w:val="22"/>
          <w:szCs w:val="22"/>
          <w14:ligatures w14:val="standardContextual"/>
        </w:rPr>
        <w:t>Chronic Lymphocytic Leukemia (</w:t>
      </w:r>
      <w:r w:rsidRPr="00600274">
        <w:rPr>
          <w:rFonts w:eastAsia="Calibri"/>
          <w:b/>
          <w:bCs/>
          <w:kern w:val="2"/>
          <w:sz w:val="22"/>
          <w:szCs w:val="22"/>
          <w14:ligatures w14:val="standardContextual"/>
        </w:rPr>
        <w:t>CLL</w:t>
      </w:r>
      <w:r>
        <w:rPr>
          <w:rFonts w:eastAsia="Calibri"/>
          <w:b/>
          <w:bCs/>
          <w:kern w:val="2"/>
          <w:sz w:val="22"/>
          <w:szCs w:val="22"/>
          <w14:ligatures w14:val="standardContextual"/>
        </w:rPr>
        <w:t>)</w:t>
      </w:r>
      <w:r w:rsidRPr="00600274">
        <w:rPr>
          <w:rFonts w:eastAsia="Calibri"/>
          <w:b/>
          <w:bCs/>
          <w:kern w:val="2"/>
          <w:sz w:val="22"/>
          <w:szCs w:val="22"/>
          <w14:ligatures w14:val="standardContextual"/>
        </w:rPr>
        <w:t xml:space="preserve"> Patient Study (Immunocompromised patient study)</w:t>
      </w:r>
      <w:r w:rsidRPr="00EA1D3B">
        <w:rPr>
          <w:rFonts w:eastAsia="Calibri"/>
          <w:kern w:val="2"/>
          <w:sz w:val="22"/>
          <w:szCs w:val="22"/>
          <w14:ligatures w14:val="standardContextual"/>
        </w:rPr>
        <w:t xml:space="preserve"> – </w:t>
      </w:r>
      <w:r>
        <w:rPr>
          <w:rFonts w:eastAsia="Calibri"/>
          <w:kern w:val="2"/>
          <w:sz w:val="22"/>
          <w:szCs w:val="22"/>
          <w14:ligatures w14:val="standardContextual"/>
        </w:rPr>
        <w:t>Enrollment ongoing in Phase 2 study evaluating GEO-CM04S1 as a COVID-19 booster vaccine for immunocompromised patients;</w:t>
      </w:r>
      <w:r w:rsidRPr="00EA1D3B">
        <w:rPr>
          <w:rFonts w:eastAsia="Calibri"/>
          <w:kern w:val="2"/>
          <w:sz w:val="22"/>
          <w:szCs w:val="22"/>
          <w14:ligatures w14:val="standardContextual"/>
        </w:rPr>
        <w:t xml:space="preserve"> interim </w:t>
      </w:r>
      <w:r>
        <w:rPr>
          <w:rFonts w:eastAsia="Calibri"/>
          <w:kern w:val="2"/>
          <w:sz w:val="22"/>
          <w:szCs w:val="22"/>
          <w14:ligatures w14:val="standardContextual"/>
        </w:rPr>
        <w:t>data</w:t>
      </w:r>
      <w:r w:rsidRPr="00EA1D3B">
        <w:rPr>
          <w:rFonts w:eastAsia="Calibri"/>
          <w:kern w:val="2"/>
          <w:sz w:val="22"/>
          <w:szCs w:val="22"/>
          <w14:ligatures w14:val="standardContextual"/>
        </w:rPr>
        <w:t xml:space="preserve"> resulted in continuation of the </w:t>
      </w:r>
      <w:r w:rsidRPr="00EA1D3B">
        <w:rPr>
          <w:rFonts w:eastAsia="Calibri"/>
          <w:kern w:val="2"/>
          <w:sz w:val="22"/>
          <w:szCs w:val="22"/>
          <w14:ligatures w14:val="standardContextual"/>
        </w:rPr>
        <w:lastRenderedPageBreak/>
        <w:t>GEO-CM04S1 arm, whereas the Data Safety Review Board recommended early termination of the mRNA arm, which was subsequently implemented.</w:t>
      </w:r>
    </w:p>
    <w:p w14:paraId="21A8EA10" w14:textId="77777777" w:rsidR="00653859" w:rsidRDefault="00653859" w:rsidP="00653859">
      <w:pPr>
        <w:pStyle w:val="ListParagraph"/>
        <w:numPr>
          <w:ilvl w:val="1"/>
          <w:numId w:val="3"/>
        </w:numPr>
        <w:contextualSpacing w:val="0"/>
        <w:jc w:val="both"/>
        <w:rPr>
          <w:rFonts w:eastAsia="Calibri"/>
          <w:kern w:val="2"/>
          <w:sz w:val="22"/>
          <w:szCs w:val="22"/>
          <w14:ligatures w14:val="standardContextual"/>
        </w:rPr>
      </w:pPr>
      <w:r w:rsidRPr="00600274">
        <w:rPr>
          <w:rFonts w:eastAsia="Calibri"/>
          <w:b/>
          <w:bCs/>
          <w:kern w:val="2"/>
          <w:sz w:val="22"/>
          <w:szCs w:val="22"/>
          <w14:ligatures w14:val="standardContextual"/>
        </w:rPr>
        <w:t>Stem Cell Transplant/CAR-T Trial (Immunocompromised patient study)</w:t>
      </w:r>
      <w:r w:rsidRPr="00EA1D3B">
        <w:rPr>
          <w:rFonts w:eastAsia="Calibri"/>
          <w:kern w:val="2"/>
          <w:sz w:val="22"/>
          <w:szCs w:val="22"/>
          <w14:ligatures w14:val="standardContextual"/>
        </w:rPr>
        <w:t xml:space="preserve"> – Enrollment and evaluation continue among hematological patients receiving stem cell transplantation or CAR-T therapy, comparing GEO-CM04S1 to mRNA COVID-19 vaccines.</w:t>
      </w:r>
    </w:p>
    <w:p w14:paraId="68283A28" w14:textId="77777777" w:rsidR="00653859" w:rsidRDefault="00653859" w:rsidP="00653859">
      <w:pPr>
        <w:pStyle w:val="ListParagraph"/>
        <w:numPr>
          <w:ilvl w:val="0"/>
          <w:numId w:val="3"/>
        </w:numPr>
        <w:contextualSpacing w:val="0"/>
        <w:jc w:val="both"/>
        <w:rPr>
          <w:rFonts w:eastAsia="Calibri"/>
          <w:kern w:val="2"/>
          <w:sz w:val="22"/>
          <w:szCs w:val="22"/>
          <w14:ligatures w14:val="standardContextual"/>
        </w:rPr>
      </w:pPr>
      <w:r w:rsidRPr="00EA1D3B">
        <w:rPr>
          <w:rFonts w:eastAsia="Calibri"/>
          <w:kern w:val="2"/>
          <w:sz w:val="22"/>
          <w:szCs w:val="22"/>
          <w14:ligatures w14:val="standardContextual"/>
        </w:rPr>
        <w:t>GEO-CM04S1 is a multi-antigen COVID-19 vaccine, utilizing a synthetic-MVA platform, expressing both S and N antigens, offering the potential for broader, more durable protection than current mRNA vaccines.</w:t>
      </w:r>
      <w:r w:rsidRPr="00A36B9E">
        <w:t xml:space="preserve"> </w:t>
      </w:r>
    </w:p>
    <w:p w14:paraId="6A4C0245" w14:textId="77777777" w:rsidR="00653859" w:rsidRPr="00EA1D3B" w:rsidRDefault="00653859" w:rsidP="00653859">
      <w:pPr>
        <w:pStyle w:val="ListParagraph"/>
        <w:numPr>
          <w:ilvl w:val="0"/>
          <w:numId w:val="3"/>
        </w:numPr>
        <w:contextualSpacing w:val="0"/>
        <w:jc w:val="both"/>
        <w:rPr>
          <w:rFonts w:eastAsia="Calibri"/>
          <w:kern w:val="2"/>
          <w:sz w:val="22"/>
          <w:szCs w:val="22"/>
          <w14:ligatures w14:val="standardContextual"/>
        </w:rPr>
      </w:pPr>
      <w:r>
        <w:rPr>
          <w:rFonts w:eastAsia="Calibri"/>
          <w:b/>
          <w:bCs/>
          <w:kern w:val="2"/>
          <w:sz w:val="22"/>
          <w:szCs w:val="22"/>
          <w14:ligatures w14:val="standardContextual"/>
        </w:rPr>
        <w:t>Published peer</w:t>
      </w:r>
      <w:r w:rsidRPr="00EF0C88">
        <w:rPr>
          <w:rFonts w:eastAsia="Calibri"/>
          <w:b/>
          <w:bCs/>
          <w:kern w:val="2"/>
          <w:sz w:val="22"/>
          <w:szCs w:val="22"/>
          <w14:ligatures w14:val="standardContextual"/>
        </w:rPr>
        <w:t xml:space="preserve">-reviewed article in </w:t>
      </w:r>
      <w:r w:rsidRPr="00EF0C88">
        <w:rPr>
          <w:rFonts w:eastAsia="Calibri"/>
          <w:b/>
          <w:bCs/>
          <w:i/>
          <w:iCs/>
          <w:kern w:val="2"/>
          <w:sz w:val="22"/>
          <w:szCs w:val="22"/>
          <w14:ligatures w14:val="standardContextual"/>
        </w:rPr>
        <w:t xml:space="preserve">Vaccines </w:t>
      </w:r>
      <w:r w:rsidRPr="008F1115">
        <w:rPr>
          <w:rFonts w:eastAsia="Calibri"/>
          <w:b/>
          <w:bCs/>
          <w:kern w:val="2"/>
          <w:sz w:val="22"/>
          <w:szCs w:val="22"/>
          <w14:ligatures w14:val="standardContextual"/>
        </w:rPr>
        <w:t>(MDPI)</w:t>
      </w:r>
      <w:r>
        <w:rPr>
          <w:rFonts w:eastAsia="Calibri"/>
          <w:b/>
          <w:bCs/>
          <w:i/>
          <w:iCs/>
          <w:kern w:val="2"/>
          <w:sz w:val="22"/>
          <w:szCs w:val="22"/>
          <w14:ligatures w14:val="standardContextual"/>
        </w:rPr>
        <w:t xml:space="preserve"> - </w:t>
      </w:r>
      <w:r>
        <w:rPr>
          <w:rFonts w:eastAsia="Calibri"/>
          <w:kern w:val="2"/>
          <w:sz w:val="22"/>
          <w:szCs w:val="22"/>
          <w14:ligatures w14:val="standardContextual"/>
        </w:rPr>
        <w:t xml:space="preserve">In April 2025, a peer-reviewed article titled </w:t>
      </w:r>
      <w:r w:rsidRPr="00A36B9E">
        <w:rPr>
          <w:rFonts w:eastAsia="Calibri"/>
          <w:kern w:val="2"/>
          <w:sz w:val="22"/>
          <w:szCs w:val="22"/>
          <w14:ligatures w14:val="standardContextual"/>
        </w:rPr>
        <w:t>“</w:t>
      </w:r>
      <w:hyperlink r:id="rId9" w:history="1">
        <w:r w:rsidRPr="00A36B9E">
          <w:rPr>
            <w:rStyle w:val="Hyperlink"/>
            <w:rFonts w:eastAsia="Calibri"/>
            <w:kern w:val="2"/>
            <w:sz w:val="22"/>
            <w:szCs w:val="22"/>
            <w14:ligatures w14:val="standardContextual"/>
          </w:rPr>
          <w:t>Preclinical Evaluation of a Multi-Antigen SARS-CoV-2 Vaccine Candidate GEO-CM02</w:t>
        </w:r>
      </w:hyperlink>
      <w:r w:rsidRPr="00A36B9E">
        <w:rPr>
          <w:rFonts w:eastAsia="Calibri"/>
          <w:kern w:val="2"/>
          <w:sz w:val="22"/>
          <w:szCs w:val="22"/>
          <w14:ligatures w14:val="standardContextual"/>
        </w:rPr>
        <w:t>”</w:t>
      </w:r>
      <w:r>
        <w:rPr>
          <w:rFonts w:eastAsia="Calibri"/>
          <w:kern w:val="2"/>
          <w:sz w:val="22"/>
          <w:szCs w:val="22"/>
          <w14:ligatures w14:val="standardContextual"/>
        </w:rPr>
        <w:t xml:space="preserve"> was published in </w:t>
      </w:r>
      <w:r>
        <w:rPr>
          <w:rFonts w:eastAsia="Calibri"/>
          <w:i/>
          <w:iCs/>
          <w:kern w:val="2"/>
          <w:sz w:val="22"/>
          <w:szCs w:val="22"/>
          <w14:ligatures w14:val="standardContextual"/>
        </w:rPr>
        <w:t xml:space="preserve">Vaccines </w:t>
      </w:r>
      <w:r>
        <w:rPr>
          <w:rFonts w:eastAsia="Calibri"/>
          <w:kern w:val="2"/>
          <w:sz w:val="22"/>
          <w:szCs w:val="22"/>
          <w14:ligatures w14:val="standardContextual"/>
        </w:rPr>
        <w:t xml:space="preserve">(MDPI), which highlights the potential benefits of GeoVax’s multi-antigen COVID-19 vaccine approach and further validates the Company’s approach for developing GEO-CM04S1 utilizing the MVA platform. </w:t>
      </w:r>
      <w:r w:rsidRPr="00A36B9E">
        <w:rPr>
          <w:rFonts w:eastAsia="Calibri"/>
          <w:kern w:val="2"/>
          <w:sz w:val="22"/>
          <w:szCs w:val="22"/>
          <w14:ligatures w14:val="standardContextual"/>
        </w:rPr>
        <w:t>The publication supports the rationale for advancing next-generation COVID-19 vaccines capable of delivering broader, more durable immune responses.</w:t>
      </w:r>
    </w:p>
    <w:p w14:paraId="010006EF" w14:textId="77777777" w:rsidR="00653859" w:rsidRPr="00EB5463" w:rsidRDefault="00653859" w:rsidP="00653859">
      <w:pPr>
        <w:pStyle w:val="ListParagraph"/>
        <w:numPr>
          <w:ilvl w:val="0"/>
          <w:numId w:val="3"/>
        </w:numPr>
        <w:contextualSpacing w:val="0"/>
        <w:jc w:val="both"/>
        <w:rPr>
          <w:rFonts w:eastAsia="Calibri"/>
          <w:kern w:val="2"/>
          <w:sz w:val="22"/>
          <w:szCs w:val="22"/>
          <w14:ligatures w14:val="standardContextual"/>
        </w:rPr>
      </w:pPr>
      <w:r>
        <w:rPr>
          <w:rFonts w:eastAsia="Calibri"/>
          <w:b/>
          <w:bCs/>
          <w:kern w:val="2"/>
          <w:sz w:val="22"/>
          <w:szCs w:val="22"/>
          <w14:ligatures w14:val="standardContextual"/>
        </w:rPr>
        <w:t xml:space="preserve">GEO-CMO4S1 addresses a significant medical need worldwide </w:t>
      </w:r>
      <w:r w:rsidRPr="00EB5463">
        <w:rPr>
          <w:rFonts w:eastAsia="Calibri"/>
          <w:kern w:val="2"/>
          <w:sz w:val="22"/>
          <w:szCs w:val="22"/>
          <w14:ligatures w14:val="standardContextual"/>
        </w:rPr>
        <w:t>reflected in an estimated market potential at $30B+</w:t>
      </w:r>
      <w:r>
        <w:rPr>
          <w:rFonts w:eastAsia="Calibri"/>
          <w:kern w:val="2"/>
          <w:sz w:val="22"/>
          <w:szCs w:val="22"/>
          <w14:ligatures w14:val="standardContextual"/>
        </w:rPr>
        <w:t>.</w:t>
      </w:r>
      <w:r w:rsidRPr="00EB5463">
        <w:rPr>
          <w:rFonts w:eastAsia="Calibri"/>
          <w:kern w:val="2"/>
          <w:sz w:val="22"/>
          <w:szCs w:val="22"/>
          <w14:ligatures w14:val="standardContextual"/>
        </w:rPr>
        <w:t xml:space="preserve"> </w:t>
      </w:r>
    </w:p>
    <w:p w14:paraId="7916A795" w14:textId="77777777" w:rsidR="00653859" w:rsidRPr="00642786" w:rsidRDefault="00653859" w:rsidP="00653859">
      <w:pPr>
        <w:jc w:val="both"/>
        <w:rPr>
          <w:b/>
          <w:bCs/>
          <w:color w:val="000000"/>
          <w:sz w:val="22"/>
          <w:szCs w:val="22"/>
        </w:rPr>
      </w:pPr>
    </w:p>
    <w:p w14:paraId="7527F823" w14:textId="77777777" w:rsidR="00653859" w:rsidRPr="005F4478" w:rsidRDefault="00653859" w:rsidP="00653859">
      <w:pPr>
        <w:jc w:val="both"/>
        <w:rPr>
          <w:color w:val="000000"/>
          <w:sz w:val="22"/>
          <w:szCs w:val="22"/>
        </w:rPr>
      </w:pPr>
      <w:r w:rsidRPr="005F4478">
        <w:rPr>
          <w:b/>
          <w:bCs/>
          <w:color w:val="000000"/>
          <w:sz w:val="22"/>
          <w:szCs w:val="22"/>
        </w:rPr>
        <w:t>Gedeptin</w:t>
      </w:r>
      <w:r w:rsidRPr="005F4478">
        <w:rPr>
          <w:b/>
          <w:bCs/>
          <w:color w:val="000000"/>
          <w:sz w:val="22"/>
          <w:szCs w:val="22"/>
          <w:vertAlign w:val="superscript"/>
        </w:rPr>
        <w:t>®</w:t>
      </w:r>
    </w:p>
    <w:p w14:paraId="19674995" w14:textId="77777777" w:rsidR="00653859" w:rsidRDefault="00653859" w:rsidP="00653859">
      <w:pPr>
        <w:jc w:val="both"/>
        <w:rPr>
          <w:rFonts w:eastAsia="Calibri"/>
          <w:kern w:val="2"/>
          <w:sz w:val="22"/>
          <w:szCs w:val="22"/>
          <w14:ligatures w14:val="standardContextual"/>
        </w:rPr>
      </w:pPr>
    </w:p>
    <w:p w14:paraId="2A7E9E24" w14:textId="77777777" w:rsidR="00653859" w:rsidRDefault="00653859" w:rsidP="00653859">
      <w:pPr>
        <w:pStyle w:val="ListParagraph"/>
        <w:numPr>
          <w:ilvl w:val="0"/>
          <w:numId w:val="3"/>
        </w:numPr>
        <w:contextualSpacing w:val="0"/>
        <w:jc w:val="both"/>
        <w:rPr>
          <w:rFonts w:eastAsia="Calibri"/>
          <w:kern w:val="2"/>
          <w:sz w:val="22"/>
          <w:szCs w:val="22"/>
          <w14:ligatures w14:val="standardContextual"/>
        </w:rPr>
      </w:pPr>
      <w:r w:rsidRPr="00680F10">
        <w:rPr>
          <w:rFonts w:eastAsia="Calibri"/>
          <w:b/>
          <w:bCs/>
          <w:kern w:val="2"/>
          <w:sz w:val="22"/>
          <w:szCs w:val="22"/>
          <w14:ligatures w14:val="standardContextual"/>
        </w:rPr>
        <w:t xml:space="preserve">Advancing </w:t>
      </w:r>
      <w:r>
        <w:rPr>
          <w:rFonts w:eastAsia="Calibri"/>
          <w:b/>
          <w:bCs/>
          <w:kern w:val="2"/>
          <w:sz w:val="22"/>
          <w:szCs w:val="22"/>
          <w14:ligatures w14:val="standardContextual"/>
        </w:rPr>
        <w:t xml:space="preserve">into Phase 2 in Solid Tumors </w:t>
      </w:r>
      <w:r w:rsidRPr="00EA1D3B">
        <w:rPr>
          <w:rFonts w:eastAsia="Calibri"/>
          <w:kern w:val="2"/>
          <w:sz w:val="22"/>
          <w:szCs w:val="22"/>
          <w14:ligatures w14:val="standardContextual"/>
        </w:rPr>
        <w:t>–</w:t>
      </w:r>
      <w:r>
        <w:rPr>
          <w:rFonts w:eastAsia="Calibri"/>
          <w:b/>
          <w:bCs/>
          <w:kern w:val="2"/>
          <w:sz w:val="22"/>
          <w:szCs w:val="22"/>
          <w14:ligatures w14:val="standardContextual"/>
        </w:rPr>
        <w:t xml:space="preserve"> </w:t>
      </w:r>
      <w:r w:rsidRPr="00600274">
        <w:rPr>
          <w:rFonts w:eastAsia="Calibri"/>
          <w:kern w:val="2"/>
          <w:sz w:val="22"/>
          <w:szCs w:val="22"/>
          <w14:ligatures w14:val="standardContextual"/>
        </w:rPr>
        <w:t>GeoVax’s oncology program, utilizing the Gedeptin® technology, is planned to progress to a Phase 2 trial in combination with an immune checkpoint inhibitor for first recurrent head and neck cancer. Gedeptin has received Orphan Drug designation for use among advanced head &amp; neck cancer patients.  The Gedeptin technology provides potential for expansion into other solid tumors including triple-negative breast cancer, melanoma, and soft tissue sarcoma.</w:t>
      </w:r>
    </w:p>
    <w:p w14:paraId="568589B8" w14:textId="77777777" w:rsidR="00653859" w:rsidRPr="00EB5463" w:rsidRDefault="00653859" w:rsidP="00653859">
      <w:pPr>
        <w:pStyle w:val="ListParagraph"/>
        <w:numPr>
          <w:ilvl w:val="0"/>
          <w:numId w:val="3"/>
        </w:numPr>
        <w:contextualSpacing w:val="0"/>
        <w:jc w:val="both"/>
        <w:rPr>
          <w:rFonts w:eastAsia="Calibri"/>
          <w:kern w:val="2"/>
          <w:sz w:val="22"/>
          <w:szCs w:val="22"/>
          <w14:ligatures w14:val="standardContextual"/>
        </w:rPr>
      </w:pPr>
      <w:r>
        <w:rPr>
          <w:rFonts w:eastAsia="Calibri"/>
          <w:b/>
          <w:bCs/>
          <w:kern w:val="2"/>
          <w:sz w:val="22"/>
          <w:szCs w:val="22"/>
          <w14:ligatures w14:val="standardContextual"/>
        </w:rPr>
        <w:t xml:space="preserve">Gedeptin addresses a significant medical need worldwide </w:t>
      </w:r>
      <w:r w:rsidRPr="00EB5463">
        <w:rPr>
          <w:rFonts w:eastAsia="Calibri"/>
          <w:kern w:val="2"/>
          <w:sz w:val="22"/>
          <w:szCs w:val="22"/>
          <w14:ligatures w14:val="standardContextual"/>
        </w:rPr>
        <w:t xml:space="preserve">reflected in an estimated market potential </w:t>
      </w:r>
      <w:r>
        <w:rPr>
          <w:rFonts w:eastAsia="Calibri"/>
          <w:kern w:val="2"/>
          <w:sz w:val="22"/>
          <w:szCs w:val="22"/>
          <w14:ligatures w14:val="standardContextual"/>
        </w:rPr>
        <w:t xml:space="preserve">for use addressing Head &amp; Neck cancer </w:t>
      </w:r>
      <w:r w:rsidRPr="00EB5463">
        <w:rPr>
          <w:rFonts w:eastAsia="Calibri"/>
          <w:kern w:val="2"/>
          <w:sz w:val="22"/>
          <w:szCs w:val="22"/>
          <w14:ligatures w14:val="standardContextual"/>
        </w:rPr>
        <w:t>at $15B+</w:t>
      </w:r>
      <w:r>
        <w:rPr>
          <w:rFonts w:eastAsia="Calibri"/>
          <w:kern w:val="2"/>
          <w:sz w:val="22"/>
          <w:szCs w:val="22"/>
          <w14:ligatures w14:val="standardContextual"/>
        </w:rPr>
        <w:t>.</w:t>
      </w:r>
    </w:p>
    <w:p w14:paraId="5C012BFD" w14:textId="77777777" w:rsidR="00653859" w:rsidRPr="005F4478" w:rsidRDefault="00653859" w:rsidP="00653859">
      <w:pPr>
        <w:jc w:val="both"/>
        <w:rPr>
          <w:rFonts w:eastAsia="Calibri"/>
          <w:kern w:val="2"/>
          <w:sz w:val="22"/>
          <w:szCs w:val="22"/>
          <w14:ligatures w14:val="standardContextual"/>
        </w:rPr>
      </w:pPr>
    </w:p>
    <w:p w14:paraId="34016213" w14:textId="77777777" w:rsidR="00653859" w:rsidRDefault="00653859" w:rsidP="00653859">
      <w:pPr>
        <w:shd w:val="clear" w:color="auto" w:fill="FFFFFF"/>
        <w:rPr>
          <w:b/>
          <w:bCs/>
          <w:color w:val="000000"/>
          <w:sz w:val="22"/>
          <w:szCs w:val="22"/>
        </w:rPr>
      </w:pPr>
      <w:r>
        <w:rPr>
          <w:b/>
          <w:bCs/>
          <w:color w:val="000000"/>
          <w:sz w:val="22"/>
          <w:szCs w:val="22"/>
        </w:rPr>
        <w:t xml:space="preserve">GEO-MVA </w:t>
      </w:r>
    </w:p>
    <w:p w14:paraId="341C5296" w14:textId="77777777" w:rsidR="00653859" w:rsidRDefault="00653859" w:rsidP="00653859">
      <w:pPr>
        <w:shd w:val="clear" w:color="auto" w:fill="FFFFFF"/>
        <w:rPr>
          <w:b/>
          <w:bCs/>
          <w:color w:val="000000"/>
          <w:sz w:val="22"/>
          <w:szCs w:val="22"/>
        </w:rPr>
      </w:pPr>
    </w:p>
    <w:p w14:paraId="3D991C9C" w14:textId="77777777" w:rsidR="00653859" w:rsidRPr="00675CB2" w:rsidRDefault="00653859" w:rsidP="00653859">
      <w:pPr>
        <w:pStyle w:val="ListParagraph"/>
        <w:numPr>
          <w:ilvl w:val="0"/>
          <w:numId w:val="3"/>
        </w:numPr>
        <w:shd w:val="clear" w:color="auto" w:fill="FFFFFF"/>
        <w:contextualSpacing w:val="0"/>
        <w:jc w:val="both"/>
        <w:rPr>
          <w:color w:val="000000"/>
          <w:sz w:val="22"/>
          <w:szCs w:val="22"/>
        </w:rPr>
      </w:pPr>
      <w:r w:rsidRPr="00675CB2">
        <w:rPr>
          <w:b/>
          <w:bCs/>
          <w:color w:val="000000"/>
          <w:sz w:val="22"/>
          <w:szCs w:val="22"/>
        </w:rPr>
        <w:t>Mpox and Smallpox Vaccine Platform Addressing Biosecurity and Global Vaccine Equity</w:t>
      </w:r>
      <w:r>
        <w:rPr>
          <w:rFonts w:eastAsia="Calibri"/>
          <w:b/>
          <w:bCs/>
          <w:kern w:val="2"/>
          <w:sz w:val="22"/>
          <w:szCs w:val="22"/>
          <w14:ligatures w14:val="standardContextual"/>
        </w:rPr>
        <w:t xml:space="preserve"> </w:t>
      </w:r>
      <w:r w:rsidRPr="00EA1D3B">
        <w:rPr>
          <w:rFonts w:eastAsia="Calibri"/>
          <w:kern w:val="2"/>
          <w:sz w:val="22"/>
          <w:szCs w:val="22"/>
          <w14:ligatures w14:val="standardContextual"/>
        </w:rPr>
        <w:t>–</w:t>
      </w:r>
      <w:r>
        <w:rPr>
          <w:rFonts w:eastAsia="Calibri"/>
          <w:b/>
          <w:bCs/>
          <w:kern w:val="2"/>
          <w:sz w:val="22"/>
          <w:szCs w:val="22"/>
          <w14:ligatures w14:val="standardContextual"/>
        </w:rPr>
        <w:t xml:space="preserve"> </w:t>
      </w:r>
      <w:r w:rsidRPr="00675CB2">
        <w:rPr>
          <w:color w:val="000000"/>
          <w:sz w:val="22"/>
          <w:szCs w:val="22"/>
        </w:rPr>
        <w:t xml:space="preserve">GeoVax anticipates initiating clinical trials in 2025 for GEO-MVA, its Mpox/smallpox vaccine candidate. The Company has successfully produced cGMP clinical product and is focused on completing the vaccine vialing in support of initiating clinical evaluation during </w:t>
      </w:r>
      <w:r>
        <w:rPr>
          <w:color w:val="000000"/>
          <w:sz w:val="22"/>
          <w:szCs w:val="22"/>
        </w:rPr>
        <w:t>the second half of</w:t>
      </w:r>
      <w:r w:rsidRPr="00675CB2">
        <w:rPr>
          <w:color w:val="000000"/>
          <w:sz w:val="22"/>
          <w:szCs w:val="22"/>
        </w:rPr>
        <w:t xml:space="preserve"> 2025.  GEO-MVA positions GeoVax to offer a U.S.-developed alternative to foreign-sourced vaccines amid rising global biosecurity threats and constrained supply.</w:t>
      </w:r>
    </w:p>
    <w:p w14:paraId="35EB5787" w14:textId="77777777" w:rsidR="00653859" w:rsidRPr="00EB5463" w:rsidRDefault="00653859" w:rsidP="00653859">
      <w:pPr>
        <w:pStyle w:val="ListParagraph"/>
        <w:numPr>
          <w:ilvl w:val="0"/>
          <w:numId w:val="3"/>
        </w:numPr>
        <w:contextualSpacing w:val="0"/>
        <w:jc w:val="both"/>
        <w:rPr>
          <w:rFonts w:eastAsia="Calibri"/>
          <w:kern w:val="2"/>
          <w:sz w:val="22"/>
          <w:szCs w:val="22"/>
          <w14:ligatures w14:val="standardContextual"/>
        </w:rPr>
      </w:pPr>
      <w:r>
        <w:rPr>
          <w:rFonts w:eastAsia="Calibri"/>
          <w:b/>
          <w:bCs/>
          <w:kern w:val="2"/>
          <w:sz w:val="22"/>
          <w:szCs w:val="22"/>
          <w14:ligatures w14:val="standardContextual"/>
        </w:rPr>
        <w:t xml:space="preserve">GEO-MVA addresses a significant medical need worldwide </w:t>
      </w:r>
      <w:r w:rsidRPr="00EB5463">
        <w:rPr>
          <w:rFonts w:eastAsia="Calibri"/>
          <w:kern w:val="2"/>
          <w:sz w:val="22"/>
          <w:szCs w:val="22"/>
          <w14:ligatures w14:val="standardContextual"/>
        </w:rPr>
        <w:t>reflected in an estimated market potential at $10B+</w:t>
      </w:r>
      <w:r>
        <w:rPr>
          <w:rFonts w:eastAsia="Calibri"/>
          <w:kern w:val="2"/>
          <w:sz w:val="22"/>
          <w:szCs w:val="22"/>
          <w14:ligatures w14:val="standardContextual"/>
        </w:rPr>
        <w:t>.</w:t>
      </w:r>
    </w:p>
    <w:p w14:paraId="20899B21" w14:textId="77777777" w:rsidR="00653859" w:rsidRDefault="00653859" w:rsidP="00653859">
      <w:pPr>
        <w:jc w:val="both"/>
        <w:rPr>
          <w:rFonts w:eastAsia="Calibri"/>
          <w:kern w:val="2"/>
          <w:sz w:val="22"/>
          <w:szCs w:val="22"/>
          <w14:ligatures w14:val="standardContextual"/>
        </w:rPr>
      </w:pPr>
    </w:p>
    <w:p w14:paraId="5A110698" w14:textId="77777777" w:rsidR="00653859" w:rsidRDefault="00653859" w:rsidP="00653859">
      <w:pPr>
        <w:jc w:val="both"/>
        <w:rPr>
          <w:rFonts w:eastAsia="Calibri"/>
          <w:b/>
          <w:bCs/>
          <w:kern w:val="2"/>
          <w:sz w:val="22"/>
          <w:szCs w:val="22"/>
          <w14:ligatures w14:val="standardContextual"/>
        </w:rPr>
      </w:pPr>
      <w:r>
        <w:rPr>
          <w:rFonts w:eastAsia="Calibri"/>
          <w:b/>
          <w:bCs/>
          <w:kern w:val="2"/>
          <w:sz w:val="22"/>
          <w:szCs w:val="22"/>
          <w14:ligatures w14:val="standardContextual"/>
        </w:rPr>
        <w:t>Vaccine Manufacturing Process Development</w:t>
      </w:r>
    </w:p>
    <w:p w14:paraId="5A36EB9B" w14:textId="77777777" w:rsidR="00653859" w:rsidRDefault="00653859" w:rsidP="00653859">
      <w:pPr>
        <w:jc w:val="both"/>
        <w:rPr>
          <w:rFonts w:eastAsia="Calibri"/>
          <w:b/>
          <w:bCs/>
          <w:kern w:val="2"/>
          <w:sz w:val="22"/>
          <w:szCs w:val="22"/>
          <w14:ligatures w14:val="standardContextual"/>
        </w:rPr>
      </w:pPr>
    </w:p>
    <w:p w14:paraId="07F972DA" w14:textId="77777777" w:rsidR="00653859" w:rsidRPr="00264282" w:rsidRDefault="00653859" w:rsidP="00653859">
      <w:pPr>
        <w:pStyle w:val="ListParagraph"/>
        <w:numPr>
          <w:ilvl w:val="0"/>
          <w:numId w:val="3"/>
        </w:numPr>
        <w:contextualSpacing w:val="0"/>
        <w:jc w:val="both"/>
        <w:rPr>
          <w:rFonts w:eastAsia="Calibri"/>
          <w:kern w:val="2"/>
          <w:sz w:val="22"/>
          <w:szCs w:val="22"/>
          <w14:ligatures w14:val="standardContextual"/>
        </w:rPr>
      </w:pPr>
      <w:r w:rsidRPr="00264282">
        <w:rPr>
          <w:rFonts w:eastAsia="Calibri"/>
          <w:b/>
          <w:bCs/>
          <w:kern w:val="2"/>
          <w:sz w:val="22"/>
          <w:szCs w:val="22"/>
          <w14:ligatures w14:val="standardContextual"/>
        </w:rPr>
        <w:t>Scaling MVA for Global Reach</w:t>
      </w:r>
      <w:r>
        <w:rPr>
          <w:rFonts w:eastAsia="Calibri"/>
          <w:b/>
          <w:bCs/>
          <w:kern w:val="2"/>
          <w:sz w:val="22"/>
          <w:szCs w:val="22"/>
          <w14:ligatures w14:val="standardContextual"/>
        </w:rPr>
        <w:t xml:space="preserve"> </w:t>
      </w:r>
      <w:r w:rsidRPr="00EA1D3B">
        <w:rPr>
          <w:rFonts w:eastAsia="Calibri"/>
          <w:kern w:val="2"/>
          <w:sz w:val="22"/>
          <w:szCs w:val="22"/>
          <w14:ligatures w14:val="standardContextual"/>
        </w:rPr>
        <w:t>–</w:t>
      </w:r>
      <w:r>
        <w:rPr>
          <w:rFonts w:eastAsia="Calibri"/>
          <w:b/>
          <w:bCs/>
          <w:kern w:val="2"/>
          <w:sz w:val="22"/>
          <w:szCs w:val="22"/>
          <w14:ligatures w14:val="standardContextual"/>
        </w:rPr>
        <w:t xml:space="preserve"> </w:t>
      </w:r>
      <w:r w:rsidRPr="00884E63">
        <w:rPr>
          <w:rFonts w:eastAsia="Calibri"/>
          <w:kern w:val="2"/>
          <w:sz w:val="22"/>
          <w:szCs w:val="22"/>
          <w14:ligatures w14:val="standardContextual"/>
        </w:rPr>
        <w:t>GeoVax is advancing continuous cell line manufacturing for MVA-based vaccines, offering a path to scalable, cost-effective production—including localized manufacturing for low- and middle-income countries. This innovation addresses critical gaps in vaccine self-sufficiency and supply resilience.</w:t>
      </w:r>
    </w:p>
    <w:p w14:paraId="07B7CAFF" w14:textId="77777777" w:rsidR="00653859" w:rsidRDefault="00653859" w:rsidP="00653859">
      <w:pPr>
        <w:jc w:val="both"/>
        <w:rPr>
          <w:rFonts w:eastAsia="Calibri"/>
          <w:b/>
          <w:bCs/>
          <w:kern w:val="2"/>
          <w:sz w:val="22"/>
          <w:szCs w:val="22"/>
          <w14:ligatures w14:val="standardContextual"/>
        </w:rPr>
      </w:pPr>
    </w:p>
    <w:p w14:paraId="30F35C26" w14:textId="77777777" w:rsidR="00653859" w:rsidRDefault="00653859" w:rsidP="00653859">
      <w:pPr>
        <w:jc w:val="both"/>
        <w:rPr>
          <w:rFonts w:eastAsia="Calibri"/>
          <w:b/>
          <w:bCs/>
          <w:kern w:val="2"/>
          <w:sz w:val="22"/>
          <w:szCs w:val="22"/>
          <w14:ligatures w14:val="standardContextual"/>
        </w:rPr>
      </w:pPr>
      <w:r>
        <w:rPr>
          <w:rFonts w:eastAsia="Calibri"/>
          <w:b/>
          <w:bCs/>
          <w:kern w:val="2"/>
          <w:sz w:val="22"/>
          <w:szCs w:val="22"/>
          <w14:ligatures w14:val="standardContextual"/>
        </w:rPr>
        <w:t>Corporate Updates</w:t>
      </w:r>
    </w:p>
    <w:p w14:paraId="0322EA89" w14:textId="77777777" w:rsidR="00653859" w:rsidRDefault="00653859" w:rsidP="00653859">
      <w:pPr>
        <w:jc w:val="both"/>
        <w:rPr>
          <w:rFonts w:eastAsia="Calibri"/>
          <w:b/>
          <w:bCs/>
          <w:kern w:val="2"/>
          <w:sz w:val="22"/>
          <w:szCs w:val="22"/>
          <w14:ligatures w14:val="standardContextual"/>
        </w:rPr>
      </w:pPr>
    </w:p>
    <w:p w14:paraId="6D8C3D3E" w14:textId="77777777" w:rsidR="00653859" w:rsidRDefault="00653859" w:rsidP="00653859">
      <w:pPr>
        <w:pStyle w:val="ListParagraph"/>
        <w:numPr>
          <w:ilvl w:val="0"/>
          <w:numId w:val="3"/>
        </w:numPr>
        <w:contextualSpacing w:val="0"/>
        <w:jc w:val="both"/>
        <w:rPr>
          <w:rFonts w:eastAsia="Calibri"/>
          <w:kern w:val="2"/>
          <w:sz w:val="22"/>
          <w:szCs w:val="22"/>
          <w14:ligatures w14:val="standardContextual"/>
        </w:rPr>
      </w:pPr>
      <w:r w:rsidRPr="00E025AA">
        <w:rPr>
          <w:rFonts w:eastAsia="Calibri"/>
          <w:b/>
          <w:bCs/>
          <w:kern w:val="2"/>
          <w:sz w:val="22"/>
          <w:szCs w:val="22"/>
          <w14:ligatures w14:val="standardContextual"/>
        </w:rPr>
        <w:t>Announced plan to establish strategic presence in the United Kingdom</w:t>
      </w:r>
      <w:r>
        <w:rPr>
          <w:rFonts w:eastAsia="Calibri"/>
          <w:kern w:val="2"/>
          <w:sz w:val="22"/>
          <w:szCs w:val="22"/>
          <w14:ligatures w14:val="standardContextual"/>
        </w:rPr>
        <w:t xml:space="preserve"> to advance manufacturing partnerships, European collaborations with service providers and academic partners, technology licensing opportunities and scientific expertise. </w:t>
      </w:r>
    </w:p>
    <w:p w14:paraId="38166B90" w14:textId="77777777" w:rsidR="00653859" w:rsidRPr="0049145E" w:rsidRDefault="00653859" w:rsidP="00653859">
      <w:pPr>
        <w:pStyle w:val="ListParagraph"/>
        <w:numPr>
          <w:ilvl w:val="0"/>
          <w:numId w:val="3"/>
        </w:numPr>
        <w:contextualSpacing w:val="0"/>
        <w:jc w:val="both"/>
        <w:rPr>
          <w:rFonts w:eastAsia="Calibri"/>
          <w:kern w:val="2"/>
          <w:sz w:val="22"/>
          <w:szCs w:val="22"/>
          <w14:ligatures w14:val="standardContextual"/>
        </w:rPr>
      </w:pPr>
      <w:r>
        <w:rPr>
          <w:rFonts w:eastAsia="Calibri"/>
          <w:b/>
          <w:bCs/>
          <w:kern w:val="2"/>
          <w:sz w:val="22"/>
          <w:szCs w:val="22"/>
          <w14:ligatures w14:val="standardContextual"/>
        </w:rPr>
        <w:lastRenderedPageBreak/>
        <w:t xml:space="preserve">Senthil Ranganathan, Ph.D., joined GeoVax on April 21, 2025, as Vice President, Technical Development &amp; CMC Operations, </w:t>
      </w:r>
      <w:r w:rsidRPr="006A6678">
        <w:rPr>
          <w:rFonts w:eastAsia="Calibri"/>
          <w:kern w:val="2"/>
          <w:sz w:val="22"/>
          <w:szCs w:val="22"/>
          <w14:ligatures w14:val="standardContextual"/>
        </w:rPr>
        <w:t xml:space="preserve">reflecting significant progress in </w:t>
      </w:r>
      <w:r>
        <w:rPr>
          <w:rFonts w:eastAsia="Calibri"/>
          <w:kern w:val="2"/>
          <w:sz w:val="22"/>
          <w:szCs w:val="22"/>
          <w14:ligatures w14:val="standardContextual"/>
        </w:rPr>
        <w:t xml:space="preserve">the </w:t>
      </w:r>
      <w:r w:rsidRPr="006A6678">
        <w:rPr>
          <w:rFonts w:eastAsia="Calibri"/>
          <w:kern w:val="2"/>
          <w:sz w:val="22"/>
          <w:szCs w:val="22"/>
          <w14:ligatures w14:val="standardContextual"/>
        </w:rPr>
        <w:t xml:space="preserve">Company focus </w:t>
      </w:r>
      <w:r>
        <w:rPr>
          <w:rFonts w:eastAsia="Calibri"/>
          <w:kern w:val="2"/>
          <w:sz w:val="22"/>
          <w:szCs w:val="22"/>
          <w14:ligatures w14:val="standardContextual"/>
        </w:rPr>
        <w:t>on</w:t>
      </w:r>
      <w:r w:rsidRPr="006A6678">
        <w:rPr>
          <w:rFonts w:eastAsia="Calibri"/>
          <w:kern w:val="2"/>
          <w:sz w:val="22"/>
          <w:szCs w:val="22"/>
          <w14:ligatures w14:val="standardContextual"/>
        </w:rPr>
        <w:t xml:space="preserve"> product authorization and commercialization </w:t>
      </w:r>
      <w:r>
        <w:rPr>
          <w:rFonts w:eastAsia="Calibri"/>
          <w:kern w:val="2"/>
          <w:sz w:val="22"/>
          <w:szCs w:val="22"/>
          <w14:ligatures w14:val="standardContextual"/>
        </w:rPr>
        <w:t>activities</w:t>
      </w:r>
      <w:r w:rsidRPr="006A6678">
        <w:rPr>
          <w:rFonts w:eastAsia="Calibri"/>
          <w:kern w:val="2"/>
          <w:sz w:val="22"/>
          <w:szCs w:val="22"/>
          <w14:ligatures w14:val="standardContextual"/>
        </w:rPr>
        <w:t>.</w:t>
      </w:r>
    </w:p>
    <w:p w14:paraId="4F293D6A" w14:textId="77777777" w:rsidR="00653859" w:rsidRDefault="00653859" w:rsidP="00653859">
      <w:pPr>
        <w:jc w:val="both"/>
        <w:rPr>
          <w:rFonts w:eastAsia="Calibri"/>
          <w:b/>
          <w:bCs/>
          <w:kern w:val="2"/>
          <w:sz w:val="22"/>
          <w:szCs w:val="22"/>
          <w14:ligatures w14:val="standardContextual"/>
        </w:rPr>
      </w:pPr>
    </w:p>
    <w:p w14:paraId="7C25FDFF" w14:textId="77777777" w:rsidR="00653859" w:rsidRDefault="00653859" w:rsidP="00653859">
      <w:pPr>
        <w:rPr>
          <w:rFonts w:eastAsia="Calibri"/>
          <w:b/>
          <w:bCs/>
          <w:kern w:val="2"/>
          <w:sz w:val="22"/>
          <w:szCs w:val="22"/>
          <w14:ligatures w14:val="standardContextual"/>
        </w:rPr>
      </w:pPr>
      <w:r>
        <w:rPr>
          <w:rFonts w:eastAsia="Calibri"/>
          <w:b/>
          <w:bCs/>
          <w:kern w:val="2"/>
          <w:sz w:val="22"/>
          <w:szCs w:val="22"/>
          <w14:ligatures w14:val="standardContextual"/>
        </w:rPr>
        <w:br w:type="page"/>
      </w:r>
    </w:p>
    <w:p w14:paraId="588E0E74" w14:textId="77777777" w:rsidR="00653859" w:rsidRDefault="00653859" w:rsidP="00653859">
      <w:pPr>
        <w:jc w:val="both"/>
        <w:rPr>
          <w:rFonts w:eastAsia="Calibri"/>
          <w:b/>
          <w:bCs/>
          <w:kern w:val="2"/>
          <w:sz w:val="22"/>
          <w:szCs w:val="22"/>
          <w14:ligatures w14:val="standardContextual"/>
        </w:rPr>
      </w:pPr>
      <w:r>
        <w:rPr>
          <w:rFonts w:eastAsia="Calibri"/>
          <w:b/>
          <w:bCs/>
          <w:kern w:val="2"/>
          <w:sz w:val="22"/>
          <w:szCs w:val="22"/>
          <w14:ligatures w14:val="standardContextual"/>
        </w:rPr>
        <w:lastRenderedPageBreak/>
        <w:t xml:space="preserve">First Quarter 2025 </w:t>
      </w:r>
      <w:r w:rsidRPr="00376343">
        <w:rPr>
          <w:rFonts w:eastAsia="Calibri"/>
          <w:b/>
          <w:bCs/>
          <w:kern w:val="2"/>
          <w:sz w:val="22"/>
          <w:szCs w:val="22"/>
          <w14:ligatures w14:val="standardContextual"/>
        </w:rPr>
        <w:t>Financial Results</w:t>
      </w:r>
    </w:p>
    <w:p w14:paraId="5CCD6ADB" w14:textId="77777777" w:rsidR="00653859" w:rsidRPr="00376343" w:rsidRDefault="00653859" w:rsidP="00653859">
      <w:pPr>
        <w:jc w:val="both"/>
        <w:rPr>
          <w:rFonts w:eastAsia="Calibri"/>
          <w:b/>
          <w:bCs/>
          <w:kern w:val="2"/>
          <w:sz w:val="22"/>
          <w:szCs w:val="22"/>
          <w14:ligatures w14:val="standardContextual"/>
        </w:rPr>
      </w:pPr>
    </w:p>
    <w:p w14:paraId="4F8930EB" w14:textId="77777777" w:rsidR="00653859" w:rsidRDefault="00653859" w:rsidP="00653859">
      <w:pPr>
        <w:shd w:val="clear" w:color="auto" w:fill="FFFFFF"/>
        <w:jc w:val="both"/>
        <w:rPr>
          <w:color w:val="000000"/>
          <w:sz w:val="22"/>
          <w:szCs w:val="22"/>
        </w:rPr>
      </w:pPr>
      <w:r w:rsidRPr="00376343">
        <w:rPr>
          <w:b/>
          <w:bCs/>
          <w:color w:val="000000"/>
          <w:sz w:val="22"/>
          <w:szCs w:val="22"/>
        </w:rPr>
        <w:t>Net Loss</w:t>
      </w:r>
      <w:r w:rsidRPr="00376343">
        <w:rPr>
          <w:color w:val="000000"/>
          <w:sz w:val="22"/>
          <w:szCs w:val="22"/>
        </w:rPr>
        <w:t xml:space="preserve">: Net loss for the </w:t>
      </w:r>
      <w:r>
        <w:rPr>
          <w:color w:val="000000"/>
          <w:sz w:val="22"/>
          <w:szCs w:val="22"/>
        </w:rPr>
        <w:t>three months</w:t>
      </w:r>
      <w:r w:rsidRPr="00376343">
        <w:rPr>
          <w:color w:val="000000"/>
          <w:sz w:val="22"/>
          <w:szCs w:val="22"/>
        </w:rPr>
        <w:t xml:space="preserve"> </w:t>
      </w:r>
      <w:proofErr w:type="gramStart"/>
      <w:r w:rsidRPr="00376343">
        <w:rPr>
          <w:color w:val="000000"/>
          <w:sz w:val="22"/>
          <w:szCs w:val="22"/>
        </w:rPr>
        <w:t>ended</w:t>
      </w:r>
      <w:proofErr w:type="gramEnd"/>
      <w:r w:rsidRPr="00376343">
        <w:rPr>
          <w:color w:val="000000"/>
          <w:sz w:val="22"/>
          <w:szCs w:val="22"/>
        </w:rPr>
        <w:t xml:space="preserve"> </w:t>
      </w:r>
      <w:r>
        <w:rPr>
          <w:color w:val="000000"/>
          <w:sz w:val="22"/>
          <w:szCs w:val="22"/>
        </w:rPr>
        <w:t xml:space="preserve">March </w:t>
      </w:r>
      <w:r w:rsidRPr="00376343">
        <w:rPr>
          <w:color w:val="000000"/>
          <w:sz w:val="22"/>
          <w:szCs w:val="22"/>
        </w:rPr>
        <w:t>3</w:t>
      </w:r>
      <w:r>
        <w:rPr>
          <w:color w:val="000000"/>
          <w:sz w:val="22"/>
          <w:szCs w:val="22"/>
        </w:rPr>
        <w:t>1</w:t>
      </w:r>
      <w:r w:rsidRPr="00376343">
        <w:rPr>
          <w:color w:val="000000"/>
          <w:sz w:val="22"/>
          <w:szCs w:val="22"/>
        </w:rPr>
        <w:t>, 202</w:t>
      </w:r>
      <w:r>
        <w:rPr>
          <w:color w:val="000000"/>
          <w:sz w:val="22"/>
          <w:szCs w:val="22"/>
        </w:rPr>
        <w:t>5</w:t>
      </w:r>
      <w:r w:rsidRPr="00376343">
        <w:rPr>
          <w:color w:val="000000"/>
          <w:sz w:val="22"/>
          <w:szCs w:val="22"/>
        </w:rPr>
        <w:t xml:space="preserve">, </w:t>
      </w:r>
      <w:r w:rsidRPr="00A73C52">
        <w:rPr>
          <w:color w:val="000000"/>
          <w:sz w:val="22"/>
          <w:szCs w:val="22"/>
        </w:rPr>
        <w:t>was $</w:t>
      </w:r>
      <w:r>
        <w:rPr>
          <w:color w:val="000000"/>
          <w:sz w:val="22"/>
          <w:szCs w:val="22"/>
        </w:rPr>
        <w:t>5.4</w:t>
      </w:r>
      <w:r w:rsidRPr="00A73C52">
        <w:rPr>
          <w:color w:val="000000"/>
          <w:sz w:val="22"/>
          <w:szCs w:val="22"/>
        </w:rPr>
        <w:t xml:space="preserve"> million, as compared to $5.</w:t>
      </w:r>
      <w:r>
        <w:rPr>
          <w:color w:val="000000"/>
          <w:sz w:val="22"/>
          <w:szCs w:val="22"/>
        </w:rPr>
        <w:t>9</w:t>
      </w:r>
      <w:r w:rsidRPr="00A73C52">
        <w:rPr>
          <w:color w:val="000000"/>
          <w:sz w:val="22"/>
          <w:szCs w:val="22"/>
        </w:rPr>
        <w:t xml:space="preserve"> million for the three months </w:t>
      </w:r>
      <w:proofErr w:type="gramStart"/>
      <w:r w:rsidRPr="00A73C52">
        <w:rPr>
          <w:color w:val="000000"/>
          <w:sz w:val="22"/>
          <w:szCs w:val="22"/>
        </w:rPr>
        <w:t>ended</w:t>
      </w:r>
      <w:proofErr w:type="gramEnd"/>
      <w:r w:rsidRPr="00A73C52">
        <w:rPr>
          <w:color w:val="000000"/>
          <w:sz w:val="22"/>
          <w:szCs w:val="22"/>
        </w:rPr>
        <w:t xml:space="preserve"> March 31, 2024.</w:t>
      </w:r>
    </w:p>
    <w:p w14:paraId="5D268DA6" w14:textId="77777777" w:rsidR="00653859" w:rsidRDefault="00653859" w:rsidP="00653859">
      <w:pPr>
        <w:shd w:val="clear" w:color="auto" w:fill="FFFFFF"/>
        <w:jc w:val="both"/>
        <w:rPr>
          <w:color w:val="000000"/>
          <w:sz w:val="22"/>
          <w:szCs w:val="22"/>
        </w:rPr>
      </w:pPr>
    </w:p>
    <w:p w14:paraId="2B14F0D3" w14:textId="77777777" w:rsidR="00653859" w:rsidRPr="00A73C52" w:rsidRDefault="00653859" w:rsidP="00653859">
      <w:pPr>
        <w:shd w:val="clear" w:color="auto" w:fill="FFFFFF"/>
        <w:jc w:val="both"/>
        <w:rPr>
          <w:sz w:val="22"/>
          <w:szCs w:val="22"/>
        </w:rPr>
      </w:pPr>
      <w:r>
        <w:rPr>
          <w:b/>
          <w:bCs/>
          <w:color w:val="000000" w:themeColor="text1"/>
          <w:sz w:val="22"/>
          <w:szCs w:val="22"/>
        </w:rPr>
        <w:t>Revenue.</w:t>
      </w:r>
      <w:r w:rsidRPr="00E44A12">
        <w:rPr>
          <w:color w:val="000000" w:themeColor="text1"/>
          <w:sz w:val="22"/>
          <w:szCs w:val="22"/>
        </w:rPr>
        <w:t xml:space="preserve">  </w:t>
      </w:r>
      <w:r>
        <w:rPr>
          <w:sz w:val="22"/>
          <w:szCs w:val="22"/>
        </w:rPr>
        <w:t>For</w:t>
      </w:r>
      <w:r w:rsidRPr="00E44A12">
        <w:rPr>
          <w:sz w:val="22"/>
          <w:szCs w:val="22"/>
        </w:rPr>
        <w:t xml:space="preserve"> the </w:t>
      </w:r>
      <w:r>
        <w:rPr>
          <w:sz w:val="22"/>
          <w:szCs w:val="22"/>
        </w:rPr>
        <w:t>three months ended March 31</w:t>
      </w:r>
      <w:r w:rsidRPr="00E44A12">
        <w:rPr>
          <w:sz w:val="22"/>
          <w:szCs w:val="22"/>
        </w:rPr>
        <w:t>, 202</w:t>
      </w:r>
      <w:r>
        <w:rPr>
          <w:sz w:val="22"/>
          <w:szCs w:val="22"/>
        </w:rPr>
        <w:t>5</w:t>
      </w:r>
      <w:r w:rsidRPr="00E44A12">
        <w:rPr>
          <w:sz w:val="22"/>
          <w:szCs w:val="22"/>
        </w:rPr>
        <w:t xml:space="preserve">, </w:t>
      </w:r>
      <w:r>
        <w:rPr>
          <w:sz w:val="22"/>
          <w:szCs w:val="22"/>
        </w:rPr>
        <w:t>the Company</w:t>
      </w:r>
      <w:r w:rsidRPr="00E44A12">
        <w:rPr>
          <w:sz w:val="22"/>
          <w:szCs w:val="22"/>
        </w:rPr>
        <w:t xml:space="preserve"> </w:t>
      </w:r>
      <w:r w:rsidRPr="00A73C52">
        <w:rPr>
          <w:sz w:val="22"/>
          <w:szCs w:val="22"/>
        </w:rPr>
        <w:t>reported $1.6 million of government contract revenues associated with the BARDA/RRPV Project NextGen award. There were no revenues reported during the comparable 2024 period.</w:t>
      </w:r>
    </w:p>
    <w:p w14:paraId="5D67881F" w14:textId="77777777" w:rsidR="00653859" w:rsidRPr="00A73C52" w:rsidRDefault="00653859" w:rsidP="00653859">
      <w:pPr>
        <w:shd w:val="clear" w:color="auto" w:fill="FFFFFF"/>
        <w:jc w:val="both"/>
        <w:rPr>
          <w:color w:val="000000"/>
          <w:sz w:val="22"/>
          <w:szCs w:val="22"/>
        </w:rPr>
      </w:pPr>
    </w:p>
    <w:p w14:paraId="67DDF350" w14:textId="77777777" w:rsidR="00653859" w:rsidRPr="00A73C52" w:rsidRDefault="00653859" w:rsidP="00653859">
      <w:pPr>
        <w:shd w:val="clear" w:color="auto" w:fill="FFFFFF"/>
        <w:jc w:val="both"/>
        <w:rPr>
          <w:sz w:val="22"/>
          <w:szCs w:val="22"/>
        </w:rPr>
      </w:pPr>
      <w:r w:rsidRPr="00A73C52">
        <w:rPr>
          <w:b/>
          <w:bCs/>
          <w:color w:val="000000"/>
          <w:sz w:val="22"/>
          <w:szCs w:val="22"/>
        </w:rPr>
        <w:t>R&amp;D Expenses</w:t>
      </w:r>
      <w:r w:rsidRPr="00A73C52">
        <w:rPr>
          <w:color w:val="000000"/>
          <w:sz w:val="22"/>
          <w:szCs w:val="22"/>
        </w:rPr>
        <w:t>: Research and development expenses were $5.4 million for the three months ended March 31, 2025, compared to $4.4 million for the three months ended March 31, 2024, with the</w:t>
      </w:r>
      <w:r w:rsidRPr="00A73C52">
        <w:rPr>
          <w:sz w:val="22"/>
          <w:szCs w:val="22"/>
        </w:rPr>
        <w:t xml:space="preserve"> increase primarily due to </w:t>
      </w:r>
      <w:r>
        <w:rPr>
          <w:sz w:val="22"/>
          <w:szCs w:val="22"/>
        </w:rPr>
        <w:t>costs associated with the BARDA/RRPV Project NextGen award and the Gedeptin and GEO-MVA programs.</w:t>
      </w:r>
    </w:p>
    <w:p w14:paraId="48CC2D09" w14:textId="77777777" w:rsidR="00653859" w:rsidRPr="00A73C52" w:rsidRDefault="00653859" w:rsidP="00653859">
      <w:pPr>
        <w:shd w:val="clear" w:color="auto" w:fill="FFFFFF"/>
        <w:jc w:val="both"/>
        <w:rPr>
          <w:sz w:val="22"/>
          <w:szCs w:val="22"/>
        </w:rPr>
      </w:pPr>
    </w:p>
    <w:p w14:paraId="5BE89E77" w14:textId="77777777" w:rsidR="00653859" w:rsidRPr="00A73C52" w:rsidRDefault="00653859" w:rsidP="00653859">
      <w:pPr>
        <w:shd w:val="clear" w:color="auto" w:fill="FFFFFF"/>
        <w:jc w:val="both"/>
        <w:rPr>
          <w:sz w:val="22"/>
          <w:szCs w:val="22"/>
        </w:rPr>
      </w:pPr>
      <w:r w:rsidRPr="00A73C52">
        <w:rPr>
          <w:b/>
          <w:bCs/>
          <w:color w:val="000000"/>
          <w:sz w:val="22"/>
          <w:szCs w:val="22"/>
        </w:rPr>
        <w:t>G&amp;A Expenses</w:t>
      </w:r>
      <w:r w:rsidRPr="00A73C52">
        <w:rPr>
          <w:color w:val="000000"/>
          <w:sz w:val="22"/>
          <w:szCs w:val="22"/>
        </w:rPr>
        <w:t>: General and administrative expenses were $</w:t>
      </w:r>
      <w:r>
        <w:rPr>
          <w:color w:val="000000"/>
          <w:sz w:val="22"/>
          <w:szCs w:val="22"/>
        </w:rPr>
        <w:t>1.7</w:t>
      </w:r>
      <w:r w:rsidRPr="00A73C52">
        <w:rPr>
          <w:color w:val="000000"/>
          <w:sz w:val="22"/>
          <w:szCs w:val="22"/>
        </w:rPr>
        <w:t xml:space="preserve"> million for the three months </w:t>
      </w:r>
      <w:proofErr w:type="gramStart"/>
      <w:r w:rsidRPr="00A73C52">
        <w:rPr>
          <w:color w:val="000000"/>
          <w:sz w:val="22"/>
          <w:szCs w:val="22"/>
        </w:rPr>
        <w:t>ended</w:t>
      </w:r>
      <w:proofErr w:type="gramEnd"/>
      <w:r w:rsidRPr="00A73C52">
        <w:rPr>
          <w:color w:val="000000"/>
          <w:sz w:val="22"/>
          <w:szCs w:val="22"/>
        </w:rPr>
        <w:t xml:space="preserve"> March 31, 2025, compared to $1.5 million for the three months </w:t>
      </w:r>
      <w:proofErr w:type="gramStart"/>
      <w:r w:rsidRPr="00A73C52">
        <w:rPr>
          <w:color w:val="000000"/>
          <w:sz w:val="22"/>
          <w:szCs w:val="22"/>
        </w:rPr>
        <w:t>ended</w:t>
      </w:r>
      <w:proofErr w:type="gramEnd"/>
      <w:r w:rsidRPr="00A73C52">
        <w:rPr>
          <w:color w:val="000000"/>
          <w:sz w:val="22"/>
          <w:szCs w:val="22"/>
        </w:rPr>
        <w:t xml:space="preserve"> March 31, 2024, with the increase</w:t>
      </w:r>
      <w:r w:rsidRPr="00A73C52">
        <w:rPr>
          <w:sz w:val="22"/>
          <w:szCs w:val="22"/>
        </w:rPr>
        <w:t xml:space="preserve"> primarily due to </w:t>
      </w:r>
      <w:r>
        <w:rPr>
          <w:sz w:val="22"/>
          <w:szCs w:val="22"/>
        </w:rPr>
        <w:t>higher investor relations consulting costs and stock-based compensation expense</w:t>
      </w:r>
      <w:r w:rsidRPr="00A73C52">
        <w:rPr>
          <w:sz w:val="22"/>
          <w:szCs w:val="22"/>
        </w:rPr>
        <w:t>.</w:t>
      </w:r>
    </w:p>
    <w:p w14:paraId="0614202A" w14:textId="77777777" w:rsidR="00653859" w:rsidRPr="00A73C52" w:rsidRDefault="00653859" w:rsidP="00653859">
      <w:pPr>
        <w:shd w:val="clear" w:color="auto" w:fill="FFFFFF"/>
        <w:jc w:val="both"/>
        <w:rPr>
          <w:sz w:val="22"/>
          <w:szCs w:val="22"/>
        </w:rPr>
      </w:pPr>
    </w:p>
    <w:p w14:paraId="4D229212" w14:textId="77777777" w:rsidR="00653859" w:rsidRDefault="00653859" w:rsidP="00653859">
      <w:pPr>
        <w:shd w:val="clear" w:color="auto" w:fill="FFFFFF"/>
        <w:jc w:val="both"/>
        <w:rPr>
          <w:color w:val="000000"/>
          <w:sz w:val="22"/>
          <w:szCs w:val="22"/>
        </w:rPr>
      </w:pPr>
      <w:r w:rsidRPr="00A73C52">
        <w:rPr>
          <w:b/>
          <w:bCs/>
          <w:color w:val="000000"/>
          <w:sz w:val="22"/>
          <w:szCs w:val="22"/>
        </w:rPr>
        <w:t>Cash Position</w:t>
      </w:r>
      <w:r w:rsidRPr="00A73C52">
        <w:rPr>
          <w:color w:val="000000"/>
          <w:sz w:val="22"/>
          <w:szCs w:val="22"/>
        </w:rPr>
        <w:t>: GeoVax reported cash balances of $</w:t>
      </w:r>
      <w:r>
        <w:rPr>
          <w:color w:val="000000"/>
          <w:sz w:val="22"/>
          <w:szCs w:val="22"/>
        </w:rPr>
        <w:t>7.4</w:t>
      </w:r>
      <w:r w:rsidRPr="00A73C52">
        <w:rPr>
          <w:color w:val="000000"/>
          <w:sz w:val="22"/>
          <w:szCs w:val="22"/>
        </w:rPr>
        <w:t xml:space="preserve"> million at March 31, 2025, as compared to $</w:t>
      </w:r>
      <w:r>
        <w:rPr>
          <w:color w:val="000000"/>
          <w:sz w:val="22"/>
          <w:szCs w:val="22"/>
        </w:rPr>
        <w:t>5.5 million</w:t>
      </w:r>
      <w:r w:rsidRPr="00A73C52">
        <w:rPr>
          <w:color w:val="000000"/>
          <w:sz w:val="22"/>
          <w:szCs w:val="22"/>
        </w:rPr>
        <w:t xml:space="preserve"> at </w:t>
      </w:r>
      <w:r>
        <w:rPr>
          <w:color w:val="000000"/>
          <w:sz w:val="22"/>
          <w:szCs w:val="22"/>
        </w:rPr>
        <w:t>December</w:t>
      </w:r>
      <w:r w:rsidRPr="00A73C52">
        <w:rPr>
          <w:color w:val="000000"/>
          <w:sz w:val="22"/>
          <w:szCs w:val="22"/>
        </w:rPr>
        <w:t xml:space="preserve"> 31, 2024.</w:t>
      </w:r>
    </w:p>
    <w:p w14:paraId="424A99D3" w14:textId="77777777" w:rsidR="00653859" w:rsidRPr="009F29F9" w:rsidRDefault="00653859" w:rsidP="00653859">
      <w:pPr>
        <w:shd w:val="clear" w:color="auto" w:fill="FFFFFF"/>
        <w:jc w:val="both"/>
        <w:rPr>
          <w:color w:val="000000"/>
          <w:sz w:val="22"/>
          <w:szCs w:val="22"/>
        </w:rPr>
      </w:pPr>
    </w:p>
    <w:p w14:paraId="42FC12F6" w14:textId="77777777" w:rsidR="00653859" w:rsidRPr="009F29F9" w:rsidRDefault="00653859" w:rsidP="00653859">
      <w:pPr>
        <w:shd w:val="clear" w:color="auto" w:fill="FFFFFF"/>
        <w:jc w:val="both"/>
        <w:rPr>
          <w:color w:val="000000"/>
          <w:sz w:val="22"/>
          <w:szCs w:val="22"/>
        </w:rPr>
      </w:pPr>
      <w:r w:rsidRPr="009F29F9">
        <w:rPr>
          <w:sz w:val="22"/>
          <w:szCs w:val="22"/>
        </w:rPr>
        <w:t xml:space="preserve">Summarized financial information is attached. </w:t>
      </w:r>
      <w:r w:rsidRPr="009F29F9">
        <w:rPr>
          <w:color w:val="000000"/>
          <w:sz w:val="22"/>
          <w:szCs w:val="22"/>
        </w:rPr>
        <w:t xml:space="preserve">Further information is included in the Company’s </w:t>
      </w:r>
      <w:r>
        <w:rPr>
          <w:color w:val="000000"/>
          <w:sz w:val="22"/>
          <w:szCs w:val="22"/>
        </w:rPr>
        <w:t>Quarterly</w:t>
      </w:r>
      <w:r w:rsidRPr="009F29F9">
        <w:rPr>
          <w:color w:val="000000"/>
          <w:sz w:val="22"/>
          <w:szCs w:val="22"/>
        </w:rPr>
        <w:t xml:space="preserve"> Report on Form 10-</w:t>
      </w:r>
      <w:r>
        <w:rPr>
          <w:color w:val="000000"/>
          <w:sz w:val="22"/>
          <w:szCs w:val="22"/>
        </w:rPr>
        <w:t>Q</w:t>
      </w:r>
      <w:r w:rsidRPr="009F29F9">
        <w:rPr>
          <w:color w:val="000000"/>
          <w:sz w:val="22"/>
          <w:szCs w:val="22"/>
        </w:rPr>
        <w:t xml:space="preserve"> filed with the Securities and Exchange Commission.</w:t>
      </w:r>
    </w:p>
    <w:p w14:paraId="5B704301" w14:textId="77777777" w:rsidR="00653859" w:rsidRPr="00956349" w:rsidRDefault="00653859" w:rsidP="00653859">
      <w:pPr>
        <w:jc w:val="both"/>
        <w:rPr>
          <w:rFonts w:eastAsia="Calibri"/>
          <w:b/>
          <w:bCs/>
          <w:kern w:val="2"/>
          <w:sz w:val="22"/>
          <w:szCs w:val="22"/>
          <w14:ligatures w14:val="standardContextual"/>
        </w:rPr>
      </w:pPr>
    </w:p>
    <w:p w14:paraId="7CC75CD2" w14:textId="77777777" w:rsidR="00653859" w:rsidRPr="00956349" w:rsidRDefault="00653859" w:rsidP="00653859">
      <w:pPr>
        <w:jc w:val="both"/>
        <w:rPr>
          <w:rFonts w:eastAsia="Calibri"/>
          <w:b/>
          <w:bCs/>
          <w:kern w:val="2"/>
          <w:sz w:val="22"/>
          <w:szCs w:val="22"/>
          <w14:ligatures w14:val="standardContextual"/>
        </w:rPr>
      </w:pPr>
      <w:r w:rsidRPr="00EB2CA7">
        <w:rPr>
          <w:rFonts w:eastAsia="Calibri"/>
          <w:b/>
          <w:bCs/>
          <w:kern w:val="2"/>
          <w:sz w:val="22"/>
          <w:szCs w:val="22"/>
          <w14:ligatures w14:val="standardContextual"/>
        </w:rPr>
        <w:t>Conference Call Details</w:t>
      </w:r>
    </w:p>
    <w:p w14:paraId="0740CDDE" w14:textId="77777777" w:rsidR="00653859" w:rsidRPr="00956349" w:rsidRDefault="00653859" w:rsidP="00653859">
      <w:pPr>
        <w:jc w:val="both"/>
        <w:rPr>
          <w:rFonts w:eastAsia="Calibri"/>
          <w:b/>
          <w:bCs/>
          <w:kern w:val="2"/>
          <w:sz w:val="22"/>
          <w:szCs w:val="22"/>
          <w14:ligatures w14:val="standardContextual"/>
        </w:rPr>
      </w:pPr>
    </w:p>
    <w:p w14:paraId="5C266E93" w14:textId="77777777" w:rsidR="00653859" w:rsidRPr="00956349" w:rsidRDefault="00653859" w:rsidP="00653859">
      <w:pPr>
        <w:jc w:val="both"/>
        <w:rPr>
          <w:rFonts w:eastAsia="Calibri"/>
          <w:kern w:val="2"/>
          <w:sz w:val="22"/>
          <w:szCs w:val="22"/>
          <w14:ligatures w14:val="standardContextual"/>
        </w:rPr>
      </w:pPr>
      <w:r w:rsidRPr="00770730">
        <w:rPr>
          <w:rFonts w:eastAsia="Calibri"/>
          <w:kern w:val="2"/>
          <w:sz w:val="22"/>
          <w:szCs w:val="22"/>
          <w14:ligatures w14:val="standardContextual"/>
        </w:rPr>
        <w:t xml:space="preserve">Management will host a conference call and live audio webcast today, </w:t>
      </w:r>
      <w:r>
        <w:rPr>
          <w:rFonts w:eastAsia="Calibri"/>
          <w:kern w:val="2"/>
          <w:sz w:val="22"/>
          <w:szCs w:val="22"/>
          <w14:ligatures w14:val="standardContextual"/>
        </w:rPr>
        <w:t>May 1</w:t>
      </w:r>
      <w:r w:rsidRPr="00770730">
        <w:rPr>
          <w:rFonts w:eastAsia="Calibri"/>
          <w:kern w:val="2"/>
          <w:sz w:val="22"/>
          <w:szCs w:val="22"/>
          <w14:ligatures w14:val="standardContextual"/>
        </w:rPr>
        <w:t>, 202</w:t>
      </w:r>
      <w:r>
        <w:rPr>
          <w:rFonts w:eastAsia="Calibri"/>
          <w:kern w:val="2"/>
          <w:sz w:val="22"/>
          <w:szCs w:val="22"/>
          <w14:ligatures w14:val="standardContextual"/>
        </w:rPr>
        <w:t>5</w:t>
      </w:r>
      <w:r w:rsidRPr="00770730">
        <w:rPr>
          <w:rFonts w:eastAsia="Calibri"/>
          <w:kern w:val="2"/>
          <w:sz w:val="22"/>
          <w:szCs w:val="22"/>
          <w14:ligatures w14:val="standardContextual"/>
        </w:rPr>
        <w:t xml:space="preserve">, at 4:30 p.m. ET </w:t>
      </w:r>
      <w:r w:rsidRPr="00956349">
        <w:rPr>
          <w:rFonts w:eastAsia="Calibri"/>
          <w:kern w:val="2"/>
          <w:sz w:val="22"/>
          <w:szCs w:val="22"/>
          <w14:ligatures w14:val="standardContextual"/>
        </w:rPr>
        <w:t>to review financial results and provide an update on corporate developments. A question-and-answer session will follow management’s formal remarks.</w:t>
      </w:r>
    </w:p>
    <w:p w14:paraId="496CEEB2" w14:textId="77777777" w:rsidR="00653859" w:rsidRDefault="00653859" w:rsidP="00653859">
      <w:pPr>
        <w:jc w:val="both"/>
        <w:rPr>
          <w:rFonts w:eastAsia="Calibri"/>
          <w:kern w:val="2"/>
          <w:sz w:val="22"/>
          <w:szCs w:val="22"/>
          <w14:ligatures w14:val="standardContextual"/>
        </w:rPr>
      </w:pPr>
    </w:p>
    <w:p w14:paraId="730DEEB7" w14:textId="77777777" w:rsidR="00653859" w:rsidRDefault="00653859" w:rsidP="00653859">
      <w:pPr>
        <w:jc w:val="both"/>
        <w:rPr>
          <w:rFonts w:eastAsia="Calibri"/>
          <w:kern w:val="2"/>
          <w:sz w:val="22"/>
          <w:szCs w:val="22"/>
          <w14:ligatures w14:val="standardContextual"/>
        </w:rPr>
      </w:pPr>
      <w:r w:rsidRPr="00770730">
        <w:rPr>
          <w:rFonts w:eastAsia="Calibri"/>
          <w:kern w:val="2"/>
          <w:sz w:val="22"/>
          <w:szCs w:val="22"/>
          <w14:ligatures w14:val="standardContextual"/>
        </w:rPr>
        <w:t xml:space="preserve">To access the live conference call, participants may register </w:t>
      </w:r>
      <w:hyperlink r:id="rId10" w:history="1">
        <w:r w:rsidRPr="00704439">
          <w:rPr>
            <w:rStyle w:val="Hyperlink"/>
            <w:rFonts w:eastAsia="Calibri"/>
            <w:kern w:val="2"/>
            <w:sz w:val="22"/>
            <w:szCs w:val="22"/>
            <w14:ligatures w14:val="standardContextual"/>
          </w:rPr>
          <w:t>here</w:t>
        </w:r>
      </w:hyperlink>
      <w:r w:rsidRPr="00770730">
        <w:rPr>
          <w:rFonts w:eastAsia="Calibri"/>
          <w:kern w:val="2"/>
          <w:sz w:val="22"/>
          <w:szCs w:val="22"/>
          <w14:ligatures w14:val="standardContextual"/>
        </w:rPr>
        <w:t xml:space="preserve">. The live audio webcast of the call will be available under "Events and Presentations" in the Investor Relations section of the GeoVax website at </w:t>
      </w:r>
      <w:hyperlink r:id="rId11" w:history="1">
        <w:r w:rsidRPr="00CB64A0">
          <w:rPr>
            <w:rStyle w:val="Hyperlink"/>
            <w:rFonts w:eastAsia="Calibri"/>
            <w:kern w:val="2"/>
            <w:sz w:val="22"/>
            <w:szCs w:val="22"/>
            <w14:ligatures w14:val="standardContextual"/>
          </w:rPr>
          <w:t>geovax.com/investors</w:t>
        </w:r>
      </w:hyperlink>
      <w:r w:rsidRPr="00770730">
        <w:rPr>
          <w:rFonts w:eastAsia="Calibri"/>
          <w:kern w:val="2"/>
          <w:sz w:val="22"/>
          <w:szCs w:val="22"/>
          <w14:ligatures w14:val="standardContextual"/>
        </w:rPr>
        <w:t xml:space="preserve">. To participate via telephone, please register in advance </w:t>
      </w:r>
      <w:hyperlink r:id="rId12" w:history="1">
        <w:r w:rsidRPr="00EA5E72">
          <w:rPr>
            <w:rStyle w:val="Hyperlink"/>
            <w:rFonts w:eastAsia="Calibri"/>
            <w:kern w:val="2"/>
            <w:sz w:val="22"/>
            <w:szCs w:val="22"/>
            <w14:ligatures w14:val="standardContextual"/>
          </w:rPr>
          <w:t>here</w:t>
        </w:r>
      </w:hyperlink>
      <w:r w:rsidRPr="00770730">
        <w:rPr>
          <w:rFonts w:eastAsia="Calibri"/>
          <w:kern w:val="2"/>
          <w:sz w:val="22"/>
          <w:szCs w:val="22"/>
          <w14:ligatures w14:val="standardContextual"/>
        </w:rPr>
        <w:t xml:space="preserve">. Upon registration, all telephone participants will receive a confirmation email detailing how to join the conference call, including the dial-in number along with a unique passcode and registrant ID that can be used to access the call. While not required, it is recommended that participants join the call ten minutes prior to the scheduled start. </w:t>
      </w:r>
    </w:p>
    <w:p w14:paraId="788BCA54" w14:textId="77777777" w:rsidR="00653859" w:rsidRDefault="00653859" w:rsidP="00653859">
      <w:pPr>
        <w:jc w:val="both"/>
        <w:rPr>
          <w:rFonts w:eastAsia="Calibri"/>
          <w:kern w:val="2"/>
          <w:sz w:val="22"/>
          <w:szCs w:val="22"/>
          <w14:ligatures w14:val="standardContextual"/>
        </w:rPr>
      </w:pPr>
    </w:p>
    <w:p w14:paraId="25DDEF6E" w14:textId="77777777" w:rsidR="00653859" w:rsidRDefault="00653859" w:rsidP="00653859">
      <w:pPr>
        <w:jc w:val="both"/>
        <w:rPr>
          <w:rFonts w:eastAsia="Calibri"/>
          <w:kern w:val="2"/>
          <w:sz w:val="22"/>
          <w:szCs w:val="22"/>
          <w14:ligatures w14:val="standardContextual"/>
        </w:rPr>
      </w:pPr>
      <w:r w:rsidRPr="00770730">
        <w:rPr>
          <w:rFonts w:eastAsia="Calibri"/>
          <w:kern w:val="2"/>
          <w:sz w:val="22"/>
          <w:szCs w:val="22"/>
          <w14:ligatures w14:val="standardContextual"/>
        </w:rPr>
        <w:t>An archive of the audio webcast will be available on GeoVax’s website approximately two hours after the conference call and will remain available for at least 90 days following the event.</w:t>
      </w:r>
    </w:p>
    <w:p w14:paraId="4E370CA0" w14:textId="77777777" w:rsidR="00653859" w:rsidRPr="00956349" w:rsidRDefault="00653859" w:rsidP="00653859">
      <w:pPr>
        <w:jc w:val="both"/>
        <w:rPr>
          <w:bCs/>
          <w:color w:val="000000" w:themeColor="text1"/>
          <w:sz w:val="22"/>
          <w:szCs w:val="22"/>
        </w:rPr>
      </w:pPr>
    </w:p>
    <w:p w14:paraId="30EC42C6" w14:textId="77777777" w:rsidR="00653859" w:rsidRPr="00087107" w:rsidRDefault="00653859" w:rsidP="00653859">
      <w:pPr>
        <w:rPr>
          <w:rFonts w:eastAsia="SimSun"/>
          <w:b/>
          <w:bCs/>
          <w:color w:val="000000"/>
          <w:sz w:val="22"/>
          <w:szCs w:val="18"/>
        </w:rPr>
      </w:pPr>
      <w:bookmarkStart w:id="0" w:name="_Hlk135652404"/>
      <w:r w:rsidRPr="00087107">
        <w:rPr>
          <w:rFonts w:eastAsia="SimSun"/>
          <w:b/>
          <w:bCs/>
          <w:sz w:val="22"/>
          <w:szCs w:val="18"/>
        </w:rPr>
        <w:t>About GeoVax</w:t>
      </w:r>
    </w:p>
    <w:bookmarkEnd w:id="0"/>
    <w:p w14:paraId="72CA67F0" w14:textId="77777777" w:rsidR="00653859" w:rsidRPr="00324E46" w:rsidRDefault="00653859" w:rsidP="00653859">
      <w:pPr>
        <w:widowControl w:val="0"/>
        <w:autoSpaceDE w:val="0"/>
        <w:autoSpaceDN w:val="0"/>
        <w:adjustRightInd w:val="0"/>
        <w:jc w:val="both"/>
        <w:outlineLvl w:val="0"/>
        <w:rPr>
          <w:rFonts w:eastAsia="SimSun"/>
          <w:color w:val="000000"/>
          <w:sz w:val="22"/>
          <w:szCs w:val="22"/>
        </w:rPr>
      </w:pPr>
    </w:p>
    <w:p w14:paraId="5A02635D" w14:textId="77777777" w:rsidR="00653859" w:rsidRPr="00324E46" w:rsidRDefault="00653859" w:rsidP="00653859">
      <w:pPr>
        <w:widowControl w:val="0"/>
        <w:autoSpaceDE w:val="0"/>
        <w:autoSpaceDN w:val="0"/>
        <w:adjustRightInd w:val="0"/>
        <w:jc w:val="both"/>
        <w:rPr>
          <w:rFonts w:eastAsia="SimSun"/>
          <w:color w:val="000000"/>
          <w:sz w:val="22"/>
          <w:szCs w:val="22"/>
        </w:rPr>
      </w:pPr>
      <w:r w:rsidRPr="003E2B7C">
        <w:rPr>
          <w:rFonts w:eastAsia="SimSun"/>
          <w:color w:val="000000"/>
          <w:sz w:val="22"/>
          <w:szCs w:val="22"/>
        </w:rPr>
        <w:t xml:space="preserve">GeoVax Labs, Inc. is a clinical-stage biotechnology company developing novel vaccines against infectious diseases and therapies for solid tumor cancers. The Company’s lead clinical program is GEO-CM04S1, a next-generation COVID-19 vaccine currently in three Phase 2 clinical trials, being evaluated as (1) a primary vaccine for immunocompromised patients such as those suffering from hematologic cancers and other patient populations for whom the current authorized COVID-19 vaccines are insufficient, (2) a booster vaccine in patients with chronic lymphocytic leukemia (CLL) and (3) a more robust, durable COVID-19 booster among healthy patients who previously received the mRNA vaccines. In oncology the lead clinical program is evaluating a novel oncolytic solid tumor gene-directed therapy, Gedeptin®, having recently completed a multicenter Phase 1/2 clinical trial for advanced head and neck cancers. The Company is also developing GEO-MVA, a vaccine targeting Mpox and smallpox. GeoVax has a strong IP portfolio in support of its technologies and product candidates, holding worldwide rights for its technologies and products. For more information </w:t>
      </w:r>
      <w:r w:rsidRPr="003E2B7C">
        <w:rPr>
          <w:rFonts w:eastAsia="SimSun"/>
          <w:color w:val="000000"/>
          <w:sz w:val="22"/>
          <w:szCs w:val="22"/>
        </w:rPr>
        <w:lastRenderedPageBreak/>
        <w:t xml:space="preserve">about the </w:t>
      </w:r>
      <w:proofErr w:type="gramStart"/>
      <w:r w:rsidRPr="003E2B7C">
        <w:rPr>
          <w:rFonts w:eastAsia="SimSun"/>
          <w:color w:val="000000"/>
          <w:sz w:val="22"/>
          <w:szCs w:val="22"/>
        </w:rPr>
        <w:t>current status</w:t>
      </w:r>
      <w:proofErr w:type="gramEnd"/>
      <w:r w:rsidRPr="003E2B7C">
        <w:rPr>
          <w:rFonts w:eastAsia="SimSun"/>
          <w:color w:val="000000"/>
          <w:sz w:val="22"/>
          <w:szCs w:val="22"/>
        </w:rPr>
        <w:t xml:space="preserve"> of our clinical trials and other updates</w:t>
      </w:r>
      <w:r w:rsidRPr="00324E46">
        <w:rPr>
          <w:rFonts w:eastAsia="SimSun"/>
          <w:color w:val="000000"/>
          <w:sz w:val="22"/>
          <w:szCs w:val="22"/>
        </w:rPr>
        <w:t xml:space="preserve">, visit our website: </w:t>
      </w:r>
      <w:hyperlink r:id="rId13" w:history="1">
        <w:r w:rsidRPr="00324E46">
          <w:rPr>
            <w:rFonts w:eastAsia="SimSun"/>
            <w:color w:val="0000FF"/>
            <w:sz w:val="22"/>
            <w:szCs w:val="22"/>
            <w:u w:val="single"/>
          </w:rPr>
          <w:t>www.geovax.com</w:t>
        </w:r>
      </w:hyperlink>
      <w:r w:rsidRPr="00324E46">
        <w:rPr>
          <w:rFonts w:eastAsia="SimSun"/>
          <w:color w:val="000000"/>
          <w:sz w:val="22"/>
          <w:szCs w:val="22"/>
        </w:rPr>
        <w:t>.</w:t>
      </w:r>
    </w:p>
    <w:p w14:paraId="28AAC652" w14:textId="77777777" w:rsidR="00653859" w:rsidRPr="00324E46" w:rsidRDefault="00653859" w:rsidP="00653859">
      <w:pPr>
        <w:widowControl w:val="0"/>
        <w:autoSpaceDE w:val="0"/>
        <w:autoSpaceDN w:val="0"/>
        <w:adjustRightInd w:val="0"/>
        <w:jc w:val="both"/>
        <w:outlineLvl w:val="0"/>
        <w:rPr>
          <w:rFonts w:eastAsia="SimSun"/>
          <w:bCs/>
          <w:iCs/>
          <w:sz w:val="22"/>
          <w:szCs w:val="22"/>
        </w:rPr>
      </w:pPr>
    </w:p>
    <w:p w14:paraId="3A8701F8" w14:textId="77777777" w:rsidR="00653859" w:rsidRPr="00324E46" w:rsidRDefault="00653859" w:rsidP="00653859">
      <w:pPr>
        <w:jc w:val="both"/>
        <w:rPr>
          <w:i/>
          <w:iCs/>
          <w:sz w:val="20"/>
        </w:rPr>
      </w:pPr>
      <w:r w:rsidRPr="00324E46">
        <w:rPr>
          <w:i/>
          <w:iCs/>
          <w:sz w:val="20"/>
        </w:rPr>
        <w:t>Forward-Looking Statements</w:t>
      </w:r>
    </w:p>
    <w:p w14:paraId="68635A30" w14:textId="77777777" w:rsidR="00653859" w:rsidRPr="00324E46" w:rsidRDefault="00653859" w:rsidP="00653859">
      <w:pPr>
        <w:shd w:val="clear" w:color="auto" w:fill="FFFFFF"/>
        <w:jc w:val="both"/>
        <w:rPr>
          <w:sz w:val="22"/>
          <w:szCs w:val="22"/>
        </w:rPr>
      </w:pPr>
    </w:p>
    <w:p w14:paraId="4687CE23" w14:textId="77777777" w:rsidR="00653859" w:rsidRPr="001016FE" w:rsidRDefault="00653859" w:rsidP="00653859">
      <w:pPr>
        <w:shd w:val="clear" w:color="auto" w:fill="FFFFFF"/>
        <w:jc w:val="both"/>
        <w:rPr>
          <w:rFonts w:eastAsia="SimSun"/>
          <w:i/>
          <w:iCs/>
          <w:sz w:val="20"/>
        </w:rPr>
      </w:pPr>
      <w:r w:rsidRPr="001016FE">
        <w:rPr>
          <w:rFonts w:eastAsia="SimSun"/>
          <w:i/>
          <w:iCs/>
          <w:sz w:val="20"/>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 </w:t>
      </w:r>
    </w:p>
    <w:p w14:paraId="62FBE15D" w14:textId="77777777" w:rsidR="00653859" w:rsidRPr="00324E46" w:rsidRDefault="00653859" w:rsidP="00653859">
      <w:pPr>
        <w:jc w:val="both"/>
        <w:rPr>
          <w:bCs/>
          <w:sz w:val="22"/>
          <w:szCs w:val="22"/>
        </w:rPr>
      </w:pPr>
    </w:p>
    <w:p w14:paraId="7401A604" w14:textId="77777777" w:rsidR="00653859" w:rsidRPr="00493FCF" w:rsidRDefault="00653859" w:rsidP="00653859">
      <w:pPr>
        <w:jc w:val="both"/>
        <w:rPr>
          <w:b/>
          <w:sz w:val="22"/>
          <w:szCs w:val="22"/>
        </w:rPr>
      </w:pPr>
      <w:r w:rsidRPr="00493FCF">
        <w:rPr>
          <w:b/>
          <w:sz w:val="22"/>
          <w:szCs w:val="22"/>
        </w:rPr>
        <w:t xml:space="preserve">Company Contact:                 </w:t>
      </w:r>
    </w:p>
    <w:p w14:paraId="7E4AE39B" w14:textId="77777777" w:rsidR="00653859" w:rsidRPr="00741C0C" w:rsidRDefault="00653859" w:rsidP="00653859">
      <w:pPr>
        <w:jc w:val="both"/>
        <w:rPr>
          <w:bCs/>
          <w:sz w:val="22"/>
          <w:szCs w:val="22"/>
        </w:rPr>
      </w:pPr>
      <w:hyperlink r:id="rId14" w:history="1">
        <w:r w:rsidRPr="00741C0C">
          <w:rPr>
            <w:rStyle w:val="Hyperlink"/>
            <w:bCs/>
          </w:rPr>
          <w:t>info@geovax.com</w:t>
        </w:r>
      </w:hyperlink>
      <w:r>
        <w:rPr>
          <w:bCs/>
          <w:sz w:val="22"/>
          <w:szCs w:val="22"/>
        </w:rPr>
        <w:t xml:space="preserve"> </w:t>
      </w:r>
    </w:p>
    <w:p w14:paraId="1A0AB0C4" w14:textId="77777777" w:rsidR="00653859" w:rsidRPr="00741C0C" w:rsidRDefault="00653859" w:rsidP="00653859">
      <w:pPr>
        <w:jc w:val="both"/>
        <w:rPr>
          <w:bCs/>
          <w:sz w:val="22"/>
          <w:szCs w:val="22"/>
        </w:rPr>
      </w:pPr>
      <w:r w:rsidRPr="00741C0C">
        <w:rPr>
          <w:bCs/>
          <w:sz w:val="22"/>
          <w:szCs w:val="22"/>
        </w:rPr>
        <w:t xml:space="preserve">678-384-7220 </w:t>
      </w:r>
    </w:p>
    <w:p w14:paraId="272C01A2" w14:textId="77777777" w:rsidR="00653859" w:rsidRPr="00493FCF" w:rsidRDefault="00653859" w:rsidP="00653859">
      <w:pPr>
        <w:jc w:val="both"/>
        <w:rPr>
          <w:b/>
          <w:sz w:val="22"/>
          <w:szCs w:val="22"/>
        </w:rPr>
      </w:pPr>
    </w:p>
    <w:p w14:paraId="5E4760B1" w14:textId="77777777" w:rsidR="00653859" w:rsidRPr="00493FCF" w:rsidRDefault="00653859" w:rsidP="00653859">
      <w:pPr>
        <w:jc w:val="both"/>
        <w:rPr>
          <w:b/>
          <w:sz w:val="22"/>
          <w:szCs w:val="22"/>
        </w:rPr>
      </w:pPr>
      <w:r w:rsidRPr="00493FCF">
        <w:rPr>
          <w:b/>
          <w:sz w:val="22"/>
          <w:szCs w:val="22"/>
        </w:rPr>
        <w:t>Investor Relations Contact:</w:t>
      </w:r>
    </w:p>
    <w:p w14:paraId="73555305" w14:textId="77777777" w:rsidR="00653859" w:rsidRPr="00741C0C" w:rsidRDefault="00653859" w:rsidP="00653859">
      <w:pPr>
        <w:jc w:val="both"/>
        <w:rPr>
          <w:bCs/>
          <w:sz w:val="22"/>
          <w:szCs w:val="22"/>
        </w:rPr>
      </w:pPr>
      <w:hyperlink r:id="rId15" w:history="1">
        <w:r w:rsidRPr="00741C0C">
          <w:rPr>
            <w:rStyle w:val="Hyperlink"/>
            <w:bCs/>
          </w:rPr>
          <w:t>geovax@precisionaq.com</w:t>
        </w:r>
      </w:hyperlink>
    </w:p>
    <w:p w14:paraId="2B5ED629" w14:textId="77777777" w:rsidR="00653859" w:rsidRDefault="00653859" w:rsidP="00653859">
      <w:pPr>
        <w:widowControl w:val="0"/>
        <w:shd w:val="clear" w:color="auto" w:fill="FFFFFF"/>
        <w:autoSpaceDE w:val="0"/>
        <w:autoSpaceDN w:val="0"/>
        <w:adjustRightInd w:val="0"/>
        <w:jc w:val="both"/>
        <w:rPr>
          <w:b/>
          <w:sz w:val="22"/>
          <w:szCs w:val="22"/>
        </w:rPr>
      </w:pPr>
      <w:r w:rsidRPr="00741C0C">
        <w:rPr>
          <w:bCs/>
          <w:sz w:val="22"/>
          <w:szCs w:val="22"/>
        </w:rPr>
        <w:t>212-698-8696</w:t>
      </w:r>
    </w:p>
    <w:p w14:paraId="704AB9BC" w14:textId="77777777" w:rsidR="00653859" w:rsidRDefault="00653859" w:rsidP="00653859">
      <w:pPr>
        <w:widowControl w:val="0"/>
        <w:shd w:val="clear" w:color="auto" w:fill="FFFFFF"/>
        <w:autoSpaceDE w:val="0"/>
        <w:autoSpaceDN w:val="0"/>
        <w:adjustRightInd w:val="0"/>
        <w:jc w:val="both"/>
        <w:rPr>
          <w:b/>
          <w:bCs/>
          <w:color w:val="000000" w:themeColor="text1"/>
          <w:sz w:val="20"/>
        </w:rPr>
      </w:pPr>
    </w:p>
    <w:p w14:paraId="7DC44F23" w14:textId="77777777" w:rsidR="00653859" w:rsidRDefault="00653859" w:rsidP="00653859">
      <w:pPr>
        <w:widowControl w:val="0"/>
        <w:shd w:val="clear" w:color="auto" w:fill="FFFFFF"/>
        <w:autoSpaceDE w:val="0"/>
        <w:autoSpaceDN w:val="0"/>
        <w:adjustRightInd w:val="0"/>
        <w:jc w:val="both"/>
        <w:rPr>
          <w:color w:val="000000" w:themeColor="text1"/>
          <w:sz w:val="20"/>
        </w:rPr>
      </w:pPr>
    </w:p>
    <w:p w14:paraId="6F1CFD01" w14:textId="77777777" w:rsidR="00653859" w:rsidRDefault="00653859" w:rsidP="00653859">
      <w:pPr>
        <w:widowControl w:val="0"/>
        <w:shd w:val="clear" w:color="auto" w:fill="FFFFFF"/>
        <w:autoSpaceDE w:val="0"/>
        <w:autoSpaceDN w:val="0"/>
        <w:adjustRightInd w:val="0"/>
        <w:spacing w:after="120"/>
        <w:jc w:val="both"/>
        <w:rPr>
          <w:color w:val="000000" w:themeColor="text1"/>
          <w:sz w:val="20"/>
        </w:rPr>
      </w:pPr>
    </w:p>
    <w:p w14:paraId="462302FA" w14:textId="77777777" w:rsidR="00653859" w:rsidRPr="00D44D10" w:rsidRDefault="00653859" w:rsidP="00653859">
      <w:pPr>
        <w:widowControl w:val="0"/>
        <w:autoSpaceDE w:val="0"/>
        <w:autoSpaceDN w:val="0"/>
        <w:adjustRightInd w:val="0"/>
        <w:jc w:val="center"/>
        <w:rPr>
          <w:b/>
          <w:sz w:val="20"/>
        </w:rPr>
      </w:pPr>
    </w:p>
    <w:p w14:paraId="48361526" w14:textId="77777777" w:rsidR="00653859" w:rsidRDefault="00653859" w:rsidP="00653859">
      <w:pPr>
        <w:widowControl w:val="0"/>
        <w:autoSpaceDE w:val="0"/>
        <w:autoSpaceDN w:val="0"/>
        <w:adjustRightInd w:val="0"/>
        <w:jc w:val="center"/>
        <w:rPr>
          <w:b/>
          <w:sz w:val="20"/>
        </w:rPr>
      </w:pPr>
      <w:r w:rsidRPr="00D44D10">
        <w:rPr>
          <w:b/>
          <w:sz w:val="20"/>
        </w:rPr>
        <w:t>FINANCIAL TABLES FOLLOW</w:t>
      </w:r>
    </w:p>
    <w:p w14:paraId="5DD634F6" w14:textId="77777777" w:rsidR="00653859" w:rsidRPr="00D44D10" w:rsidRDefault="00653859" w:rsidP="00653859">
      <w:pPr>
        <w:widowControl w:val="0"/>
        <w:autoSpaceDE w:val="0"/>
        <w:autoSpaceDN w:val="0"/>
        <w:adjustRightInd w:val="0"/>
        <w:rPr>
          <w:sz w:val="20"/>
        </w:rPr>
        <w:sectPr w:rsidR="00653859" w:rsidRPr="00D44D10" w:rsidSect="00653859">
          <w:footerReference w:type="even" r:id="rId16"/>
          <w:footerReference w:type="default" r:id="rId17"/>
          <w:headerReference w:type="first" r:id="rId18"/>
          <w:footerReference w:type="first" r:id="rId19"/>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653859" w:rsidRPr="004470FD" w14:paraId="7A965549" w14:textId="77777777" w:rsidTr="003B3026">
        <w:trPr>
          <w:cantSplit/>
          <w:trHeight w:val="293"/>
        </w:trPr>
        <w:tc>
          <w:tcPr>
            <w:tcW w:w="9930" w:type="dxa"/>
            <w:gridSpan w:val="8"/>
          </w:tcPr>
          <w:p w14:paraId="7DBA9941" w14:textId="77777777" w:rsidR="00653859" w:rsidRPr="004470FD" w:rsidRDefault="00653859" w:rsidP="003B3026">
            <w:pPr>
              <w:widowControl w:val="0"/>
              <w:autoSpaceDE w:val="0"/>
              <w:autoSpaceDN w:val="0"/>
              <w:adjustRightInd w:val="0"/>
              <w:jc w:val="center"/>
              <w:rPr>
                <w:snapToGrid w:val="0"/>
                <w:sz w:val="20"/>
              </w:rPr>
            </w:pPr>
            <w:r w:rsidRPr="004470FD">
              <w:rPr>
                <w:b/>
                <w:bCs/>
                <w:snapToGrid w:val="0"/>
                <w:sz w:val="20"/>
              </w:rPr>
              <w:lastRenderedPageBreak/>
              <w:t>GEOVAX LABS, INC.</w:t>
            </w:r>
          </w:p>
        </w:tc>
      </w:tr>
      <w:tr w:rsidR="00653859" w:rsidRPr="004470FD" w14:paraId="27028671" w14:textId="77777777" w:rsidTr="003B3026">
        <w:trPr>
          <w:cantSplit/>
          <w:trHeight w:val="293"/>
        </w:trPr>
        <w:tc>
          <w:tcPr>
            <w:tcW w:w="9930" w:type="dxa"/>
            <w:gridSpan w:val="8"/>
          </w:tcPr>
          <w:p w14:paraId="7452C954" w14:textId="77777777" w:rsidR="00653859" w:rsidRPr="004470FD" w:rsidRDefault="00653859" w:rsidP="003B3026">
            <w:pPr>
              <w:widowControl w:val="0"/>
              <w:autoSpaceDE w:val="0"/>
              <w:autoSpaceDN w:val="0"/>
              <w:adjustRightInd w:val="0"/>
              <w:jc w:val="center"/>
              <w:rPr>
                <w:snapToGrid w:val="0"/>
                <w:sz w:val="20"/>
              </w:rPr>
            </w:pPr>
            <w:r w:rsidRPr="004470FD">
              <w:rPr>
                <w:b/>
                <w:bCs/>
                <w:snapToGrid w:val="0"/>
                <w:sz w:val="20"/>
              </w:rPr>
              <w:t>Condensed Consolidated Statements of Operations Information</w:t>
            </w:r>
          </w:p>
        </w:tc>
      </w:tr>
      <w:tr w:rsidR="00653859" w:rsidRPr="004470FD" w14:paraId="54050F44" w14:textId="77777777" w:rsidTr="003B3026">
        <w:trPr>
          <w:cantSplit/>
          <w:trHeight w:val="293"/>
        </w:trPr>
        <w:tc>
          <w:tcPr>
            <w:tcW w:w="9930" w:type="dxa"/>
            <w:gridSpan w:val="8"/>
          </w:tcPr>
          <w:p w14:paraId="26EC5852" w14:textId="77777777" w:rsidR="00653859" w:rsidRPr="004470FD" w:rsidRDefault="00653859" w:rsidP="003B3026">
            <w:pPr>
              <w:widowControl w:val="0"/>
              <w:autoSpaceDE w:val="0"/>
              <w:autoSpaceDN w:val="0"/>
              <w:adjustRightInd w:val="0"/>
              <w:jc w:val="center"/>
              <w:rPr>
                <w:i/>
                <w:snapToGrid w:val="0"/>
                <w:sz w:val="20"/>
              </w:rPr>
            </w:pPr>
            <w:r w:rsidRPr="004470FD">
              <w:rPr>
                <w:bCs/>
                <w:i/>
                <w:snapToGrid w:val="0"/>
                <w:sz w:val="20"/>
              </w:rPr>
              <w:t>(amounts in thousands, except common share information)</w:t>
            </w:r>
          </w:p>
        </w:tc>
      </w:tr>
      <w:tr w:rsidR="00653859" w:rsidRPr="004470FD" w14:paraId="62049FD8" w14:textId="77777777" w:rsidTr="003B3026">
        <w:trPr>
          <w:trHeight w:val="293"/>
        </w:trPr>
        <w:tc>
          <w:tcPr>
            <w:tcW w:w="237" w:type="dxa"/>
          </w:tcPr>
          <w:p w14:paraId="6127767F" w14:textId="77777777" w:rsidR="00653859" w:rsidRPr="004470FD" w:rsidRDefault="00653859" w:rsidP="003B3026">
            <w:pPr>
              <w:widowControl w:val="0"/>
              <w:autoSpaceDE w:val="0"/>
              <w:autoSpaceDN w:val="0"/>
              <w:adjustRightInd w:val="0"/>
              <w:jc w:val="center"/>
              <w:rPr>
                <w:b/>
                <w:bCs/>
                <w:snapToGrid w:val="0"/>
                <w:sz w:val="20"/>
              </w:rPr>
            </w:pPr>
          </w:p>
        </w:tc>
        <w:tc>
          <w:tcPr>
            <w:tcW w:w="1462" w:type="dxa"/>
          </w:tcPr>
          <w:p w14:paraId="41F9DB53" w14:textId="77777777" w:rsidR="00653859" w:rsidRPr="004470FD" w:rsidRDefault="00653859" w:rsidP="003B3026">
            <w:pPr>
              <w:widowControl w:val="0"/>
              <w:autoSpaceDE w:val="0"/>
              <w:autoSpaceDN w:val="0"/>
              <w:adjustRightInd w:val="0"/>
              <w:jc w:val="center"/>
              <w:rPr>
                <w:snapToGrid w:val="0"/>
                <w:sz w:val="20"/>
              </w:rPr>
            </w:pPr>
          </w:p>
        </w:tc>
        <w:tc>
          <w:tcPr>
            <w:tcW w:w="2921" w:type="dxa"/>
          </w:tcPr>
          <w:p w14:paraId="295FDC4A" w14:textId="77777777" w:rsidR="00653859" w:rsidRPr="004470FD" w:rsidRDefault="00653859" w:rsidP="003B3026">
            <w:pPr>
              <w:widowControl w:val="0"/>
              <w:autoSpaceDE w:val="0"/>
              <w:autoSpaceDN w:val="0"/>
              <w:adjustRightInd w:val="0"/>
              <w:jc w:val="center"/>
              <w:rPr>
                <w:snapToGrid w:val="0"/>
                <w:sz w:val="20"/>
              </w:rPr>
            </w:pPr>
          </w:p>
        </w:tc>
        <w:tc>
          <w:tcPr>
            <w:tcW w:w="478" w:type="dxa"/>
          </w:tcPr>
          <w:p w14:paraId="5D92D441" w14:textId="77777777" w:rsidR="00653859" w:rsidRPr="004470FD" w:rsidRDefault="00653859" w:rsidP="003B3026">
            <w:pPr>
              <w:widowControl w:val="0"/>
              <w:autoSpaceDE w:val="0"/>
              <w:autoSpaceDN w:val="0"/>
              <w:adjustRightInd w:val="0"/>
              <w:jc w:val="center"/>
              <w:rPr>
                <w:snapToGrid w:val="0"/>
                <w:sz w:val="20"/>
              </w:rPr>
            </w:pPr>
          </w:p>
        </w:tc>
        <w:tc>
          <w:tcPr>
            <w:tcW w:w="1208" w:type="dxa"/>
          </w:tcPr>
          <w:p w14:paraId="64E5A57E" w14:textId="77777777" w:rsidR="00653859" w:rsidRPr="004470FD" w:rsidRDefault="00653859" w:rsidP="003B3026">
            <w:pPr>
              <w:widowControl w:val="0"/>
              <w:autoSpaceDE w:val="0"/>
              <w:autoSpaceDN w:val="0"/>
              <w:adjustRightInd w:val="0"/>
              <w:jc w:val="center"/>
              <w:rPr>
                <w:snapToGrid w:val="0"/>
                <w:sz w:val="20"/>
              </w:rPr>
            </w:pPr>
          </w:p>
        </w:tc>
        <w:tc>
          <w:tcPr>
            <w:tcW w:w="1208" w:type="dxa"/>
          </w:tcPr>
          <w:p w14:paraId="590AB17B" w14:textId="77777777" w:rsidR="00653859" w:rsidRPr="004470FD" w:rsidRDefault="00653859" w:rsidP="003B3026">
            <w:pPr>
              <w:widowControl w:val="0"/>
              <w:autoSpaceDE w:val="0"/>
              <w:autoSpaceDN w:val="0"/>
              <w:adjustRightInd w:val="0"/>
              <w:jc w:val="center"/>
              <w:rPr>
                <w:snapToGrid w:val="0"/>
                <w:sz w:val="20"/>
              </w:rPr>
            </w:pPr>
          </w:p>
        </w:tc>
        <w:tc>
          <w:tcPr>
            <w:tcW w:w="1208" w:type="dxa"/>
          </w:tcPr>
          <w:p w14:paraId="0A47AC4E" w14:textId="77777777" w:rsidR="00653859" w:rsidRPr="004470FD" w:rsidRDefault="00653859" w:rsidP="003B3026">
            <w:pPr>
              <w:widowControl w:val="0"/>
              <w:autoSpaceDE w:val="0"/>
              <w:autoSpaceDN w:val="0"/>
              <w:adjustRightInd w:val="0"/>
              <w:jc w:val="center"/>
              <w:rPr>
                <w:snapToGrid w:val="0"/>
                <w:sz w:val="20"/>
              </w:rPr>
            </w:pPr>
          </w:p>
        </w:tc>
        <w:tc>
          <w:tcPr>
            <w:tcW w:w="1208" w:type="dxa"/>
          </w:tcPr>
          <w:p w14:paraId="7AA9E009" w14:textId="77777777" w:rsidR="00653859" w:rsidRPr="004470FD" w:rsidRDefault="00653859" w:rsidP="003B3026">
            <w:pPr>
              <w:widowControl w:val="0"/>
              <w:autoSpaceDE w:val="0"/>
              <w:autoSpaceDN w:val="0"/>
              <w:adjustRightInd w:val="0"/>
              <w:jc w:val="center"/>
              <w:rPr>
                <w:snapToGrid w:val="0"/>
                <w:sz w:val="20"/>
              </w:rPr>
            </w:pPr>
          </w:p>
        </w:tc>
      </w:tr>
      <w:tr w:rsidR="00653859" w:rsidRPr="004470FD" w14:paraId="2EA5F015" w14:textId="77777777" w:rsidTr="003B3026">
        <w:trPr>
          <w:trHeight w:val="276"/>
        </w:trPr>
        <w:tc>
          <w:tcPr>
            <w:tcW w:w="237" w:type="dxa"/>
          </w:tcPr>
          <w:p w14:paraId="667514EE" w14:textId="77777777" w:rsidR="00653859" w:rsidRPr="004470FD" w:rsidRDefault="00653859" w:rsidP="003B3026">
            <w:pPr>
              <w:widowControl w:val="0"/>
              <w:autoSpaceDE w:val="0"/>
              <w:autoSpaceDN w:val="0"/>
              <w:adjustRightInd w:val="0"/>
              <w:jc w:val="right"/>
              <w:rPr>
                <w:snapToGrid w:val="0"/>
                <w:sz w:val="20"/>
              </w:rPr>
            </w:pPr>
          </w:p>
        </w:tc>
        <w:tc>
          <w:tcPr>
            <w:tcW w:w="1462" w:type="dxa"/>
          </w:tcPr>
          <w:p w14:paraId="34B0EB25" w14:textId="77777777" w:rsidR="00653859" w:rsidRPr="004470FD" w:rsidRDefault="00653859" w:rsidP="003B3026">
            <w:pPr>
              <w:widowControl w:val="0"/>
              <w:autoSpaceDE w:val="0"/>
              <w:autoSpaceDN w:val="0"/>
              <w:adjustRightInd w:val="0"/>
              <w:jc w:val="right"/>
              <w:rPr>
                <w:snapToGrid w:val="0"/>
                <w:sz w:val="20"/>
              </w:rPr>
            </w:pPr>
          </w:p>
        </w:tc>
        <w:tc>
          <w:tcPr>
            <w:tcW w:w="2921" w:type="dxa"/>
          </w:tcPr>
          <w:p w14:paraId="0239A783"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78DC017C" w14:textId="77777777" w:rsidR="00653859" w:rsidRPr="004470FD" w:rsidRDefault="00653859" w:rsidP="003B3026">
            <w:pPr>
              <w:widowControl w:val="0"/>
              <w:autoSpaceDE w:val="0"/>
              <w:autoSpaceDN w:val="0"/>
              <w:adjustRightInd w:val="0"/>
              <w:jc w:val="right"/>
              <w:rPr>
                <w:snapToGrid w:val="0"/>
                <w:sz w:val="20"/>
              </w:rPr>
            </w:pPr>
          </w:p>
        </w:tc>
        <w:tc>
          <w:tcPr>
            <w:tcW w:w="2416" w:type="dxa"/>
            <w:gridSpan w:val="2"/>
          </w:tcPr>
          <w:p w14:paraId="2B31FB65" w14:textId="77777777" w:rsidR="00653859" w:rsidRPr="004470FD" w:rsidRDefault="00653859" w:rsidP="003B3026">
            <w:pPr>
              <w:widowControl w:val="0"/>
              <w:autoSpaceDE w:val="0"/>
              <w:autoSpaceDN w:val="0"/>
              <w:adjustRightInd w:val="0"/>
              <w:ind w:right="-210"/>
              <w:jc w:val="center"/>
              <w:rPr>
                <w:snapToGrid w:val="0"/>
                <w:sz w:val="20"/>
              </w:rPr>
            </w:pPr>
          </w:p>
        </w:tc>
        <w:tc>
          <w:tcPr>
            <w:tcW w:w="2416" w:type="dxa"/>
            <w:gridSpan w:val="2"/>
          </w:tcPr>
          <w:p w14:paraId="37861A26" w14:textId="77777777" w:rsidR="00653859" w:rsidRPr="004470FD" w:rsidRDefault="00653859" w:rsidP="003B3026">
            <w:pPr>
              <w:widowControl w:val="0"/>
              <w:autoSpaceDE w:val="0"/>
              <w:autoSpaceDN w:val="0"/>
              <w:adjustRightInd w:val="0"/>
              <w:jc w:val="center"/>
              <w:rPr>
                <w:snapToGrid w:val="0"/>
                <w:sz w:val="20"/>
              </w:rPr>
            </w:pPr>
            <w:r w:rsidRPr="004470FD">
              <w:rPr>
                <w:snapToGrid w:val="0"/>
                <w:sz w:val="20"/>
              </w:rPr>
              <w:t>Three Months Ended</w:t>
            </w:r>
          </w:p>
        </w:tc>
      </w:tr>
      <w:tr w:rsidR="00653859" w:rsidRPr="004470FD" w14:paraId="52AFA04B" w14:textId="77777777" w:rsidTr="003B3026">
        <w:trPr>
          <w:trHeight w:val="276"/>
        </w:trPr>
        <w:tc>
          <w:tcPr>
            <w:tcW w:w="237" w:type="dxa"/>
          </w:tcPr>
          <w:p w14:paraId="2EF82C06" w14:textId="77777777" w:rsidR="00653859" w:rsidRPr="004470FD" w:rsidRDefault="00653859" w:rsidP="003B3026">
            <w:pPr>
              <w:widowControl w:val="0"/>
              <w:autoSpaceDE w:val="0"/>
              <w:autoSpaceDN w:val="0"/>
              <w:adjustRightInd w:val="0"/>
              <w:jc w:val="right"/>
              <w:rPr>
                <w:snapToGrid w:val="0"/>
                <w:sz w:val="20"/>
              </w:rPr>
            </w:pPr>
          </w:p>
        </w:tc>
        <w:tc>
          <w:tcPr>
            <w:tcW w:w="1462" w:type="dxa"/>
          </w:tcPr>
          <w:p w14:paraId="01BDA638" w14:textId="77777777" w:rsidR="00653859" w:rsidRPr="004470FD" w:rsidRDefault="00653859" w:rsidP="003B3026">
            <w:pPr>
              <w:widowControl w:val="0"/>
              <w:autoSpaceDE w:val="0"/>
              <w:autoSpaceDN w:val="0"/>
              <w:adjustRightInd w:val="0"/>
              <w:jc w:val="right"/>
              <w:rPr>
                <w:snapToGrid w:val="0"/>
                <w:sz w:val="20"/>
              </w:rPr>
            </w:pPr>
          </w:p>
        </w:tc>
        <w:tc>
          <w:tcPr>
            <w:tcW w:w="2921" w:type="dxa"/>
          </w:tcPr>
          <w:p w14:paraId="639E631F"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4E4D7F9E" w14:textId="77777777" w:rsidR="00653859" w:rsidRPr="004470FD" w:rsidRDefault="00653859" w:rsidP="003B3026">
            <w:pPr>
              <w:widowControl w:val="0"/>
              <w:autoSpaceDE w:val="0"/>
              <w:autoSpaceDN w:val="0"/>
              <w:adjustRightInd w:val="0"/>
              <w:jc w:val="right"/>
              <w:rPr>
                <w:snapToGrid w:val="0"/>
                <w:sz w:val="20"/>
              </w:rPr>
            </w:pPr>
          </w:p>
        </w:tc>
        <w:tc>
          <w:tcPr>
            <w:tcW w:w="2416" w:type="dxa"/>
            <w:gridSpan w:val="2"/>
          </w:tcPr>
          <w:p w14:paraId="0E25BBB3" w14:textId="77777777" w:rsidR="00653859" w:rsidRPr="004470FD" w:rsidRDefault="00653859" w:rsidP="003B3026">
            <w:pPr>
              <w:widowControl w:val="0"/>
              <w:autoSpaceDE w:val="0"/>
              <w:autoSpaceDN w:val="0"/>
              <w:adjustRightInd w:val="0"/>
              <w:jc w:val="center"/>
              <w:rPr>
                <w:snapToGrid w:val="0"/>
                <w:sz w:val="20"/>
              </w:rPr>
            </w:pPr>
          </w:p>
        </w:tc>
        <w:tc>
          <w:tcPr>
            <w:tcW w:w="2416" w:type="dxa"/>
            <w:gridSpan w:val="2"/>
            <w:tcBorders>
              <w:bottom w:val="single" w:sz="6" w:space="0" w:color="auto"/>
            </w:tcBorders>
          </w:tcPr>
          <w:p w14:paraId="589E79B3" w14:textId="77777777" w:rsidR="00653859" w:rsidRPr="004470FD" w:rsidRDefault="00653859" w:rsidP="003B3026">
            <w:pPr>
              <w:widowControl w:val="0"/>
              <w:autoSpaceDE w:val="0"/>
              <w:autoSpaceDN w:val="0"/>
              <w:adjustRightInd w:val="0"/>
              <w:jc w:val="center"/>
              <w:rPr>
                <w:snapToGrid w:val="0"/>
                <w:sz w:val="20"/>
              </w:rPr>
            </w:pPr>
            <w:r w:rsidRPr="004470FD">
              <w:rPr>
                <w:snapToGrid w:val="0"/>
                <w:sz w:val="20"/>
              </w:rPr>
              <w:t xml:space="preserve">March 31, </w:t>
            </w:r>
          </w:p>
        </w:tc>
      </w:tr>
      <w:tr w:rsidR="00653859" w:rsidRPr="004470FD" w14:paraId="7664AAFE" w14:textId="77777777" w:rsidTr="003B3026">
        <w:trPr>
          <w:trHeight w:val="276"/>
        </w:trPr>
        <w:tc>
          <w:tcPr>
            <w:tcW w:w="237" w:type="dxa"/>
          </w:tcPr>
          <w:p w14:paraId="36A53609" w14:textId="77777777" w:rsidR="00653859" w:rsidRPr="004470FD" w:rsidRDefault="00653859" w:rsidP="003B3026">
            <w:pPr>
              <w:widowControl w:val="0"/>
              <w:autoSpaceDE w:val="0"/>
              <w:autoSpaceDN w:val="0"/>
              <w:adjustRightInd w:val="0"/>
              <w:jc w:val="right"/>
              <w:rPr>
                <w:snapToGrid w:val="0"/>
                <w:sz w:val="20"/>
              </w:rPr>
            </w:pPr>
          </w:p>
        </w:tc>
        <w:tc>
          <w:tcPr>
            <w:tcW w:w="1462" w:type="dxa"/>
          </w:tcPr>
          <w:p w14:paraId="7B16DA79" w14:textId="77777777" w:rsidR="00653859" w:rsidRPr="004470FD" w:rsidRDefault="00653859" w:rsidP="003B3026">
            <w:pPr>
              <w:widowControl w:val="0"/>
              <w:autoSpaceDE w:val="0"/>
              <w:autoSpaceDN w:val="0"/>
              <w:adjustRightInd w:val="0"/>
              <w:jc w:val="right"/>
              <w:rPr>
                <w:snapToGrid w:val="0"/>
                <w:sz w:val="20"/>
              </w:rPr>
            </w:pPr>
          </w:p>
        </w:tc>
        <w:tc>
          <w:tcPr>
            <w:tcW w:w="2921" w:type="dxa"/>
          </w:tcPr>
          <w:p w14:paraId="36C840AE"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3B661C44"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57573A5D" w14:textId="77777777" w:rsidR="00653859" w:rsidRPr="004470FD" w:rsidRDefault="00653859" w:rsidP="003B3026">
            <w:pPr>
              <w:widowControl w:val="0"/>
              <w:autoSpaceDE w:val="0"/>
              <w:autoSpaceDN w:val="0"/>
              <w:adjustRightInd w:val="0"/>
              <w:jc w:val="center"/>
              <w:rPr>
                <w:snapToGrid w:val="0"/>
                <w:sz w:val="20"/>
              </w:rPr>
            </w:pPr>
          </w:p>
        </w:tc>
        <w:tc>
          <w:tcPr>
            <w:tcW w:w="1208" w:type="dxa"/>
          </w:tcPr>
          <w:p w14:paraId="4866DD92" w14:textId="77777777" w:rsidR="00653859" w:rsidRPr="004470FD" w:rsidRDefault="00653859" w:rsidP="003B3026">
            <w:pPr>
              <w:widowControl w:val="0"/>
              <w:autoSpaceDE w:val="0"/>
              <w:autoSpaceDN w:val="0"/>
              <w:adjustRightInd w:val="0"/>
              <w:jc w:val="center"/>
              <w:rPr>
                <w:snapToGrid w:val="0"/>
                <w:sz w:val="20"/>
              </w:rPr>
            </w:pPr>
          </w:p>
        </w:tc>
        <w:tc>
          <w:tcPr>
            <w:tcW w:w="1208" w:type="dxa"/>
            <w:tcBorders>
              <w:bottom w:val="single" w:sz="4" w:space="0" w:color="auto"/>
            </w:tcBorders>
          </w:tcPr>
          <w:p w14:paraId="2D4F1770" w14:textId="77777777" w:rsidR="00653859" w:rsidRPr="004470FD" w:rsidRDefault="00653859" w:rsidP="003B3026">
            <w:pPr>
              <w:widowControl w:val="0"/>
              <w:autoSpaceDE w:val="0"/>
              <w:autoSpaceDN w:val="0"/>
              <w:adjustRightInd w:val="0"/>
              <w:jc w:val="center"/>
              <w:rPr>
                <w:snapToGrid w:val="0"/>
                <w:sz w:val="20"/>
              </w:rPr>
            </w:pPr>
            <w:r w:rsidRPr="004470FD">
              <w:rPr>
                <w:snapToGrid w:val="0"/>
                <w:sz w:val="20"/>
              </w:rPr>
              <w:t>202</w:t>
            </w:r>
            <w:r>
              <w:rPr>
                <w:snapToGrid w:val="0"/>
                <w:sz w:val="20"/>
              </w:rPr>
              <w:t>5</w:t>
            </w:r>
          </w:p>
        </w:tc>
        <w:tc>
          <w:tcPr>
            <w:tcW w:w="1208" w:type="dxa"/>
            <w:tcBorders>
              <w:bottom w:val="single" w:sz="4" w:space="0" w:color="auto"/>
            </w:tcBorders>
          </w:tcPr>
          <w:p w14:paraId="4E42DEA8" w14:textId="77777777" w:rsidR="00653859" w:rsidRPr="004470FD" w:rsidRDefault="00653859" w:rsidP="003B3026">
            <w:pPr>
              <w:widowControl w:val="0"/>
              <w:autoSpaceDE w:val="0"/>
              <w:autoSpaceDN w:val="0"/>
              <w:adjustRightInd w:val="0"/>
              <w:jc w:val="center"/>
              <w:rPr>
                <w:snapToGrid w:val="0"/>
                <w:sz w:val="20"/>
              </w:rPr>
            </w:pPr>
            <w:r w:rsidRPr="004470FD">
              <w:rPr>
                <w:snapToGrid w:val="0"/>
                <w:sz w:val="20"/>
              </w:rPr>
              <w:t>202</w:t>
            </w:r>
            <w:r>
              <w:rPr>
                <w:snapToGrid w:val="0"/>
                <w:sz w:val="20"/>
              </w:rPr>
              <w:t>4</w:t>
            </w:r>
          </w:p>
        </w:tc>
      </w:tr>
      <w:tr w:rsidR="00653859" w:rsidRPr="004470FD" w14:paraId="3BE98C9A" w14:textId="77777777" w:rsidTr="003B3026">
        <w:trPr>
          <w:trHeight w:val="276"/>
        </w:trPr>
        <w:tc>
          <w:tcPr>
            <w:tcW w:w="4620" w:type="dxa"/>
            <w:gridSpan w:val="3"/>
          </w:tcPr>
          <w:p w14:paraId="0F00DBEC" w14:textId="77777777" w:rsidR="00653859" w:rsidRPr="004470FD" w:rsidRDefault="00653859" w:rsidP="003B3026">
            <w:pPr>
              <w:widowControl w:val="0"/>
              <w:autoSpaceDE w:val="0"/>
              <w:autoSpaceDN w:val="0"/>
              <w:adjustRightInd w:val="0"/>
              <w:rPr>
                <w:snapToGrid w:val="0"/>
                <w:sz w:val="20"/>
              </w:rPr>
            </w:pPr>
            <w:r>
              <w:rPr>
                <w:snapToGrid w:val="0"/>
                <w:sz w:val="20"/>
              </w:rPr>
              <w:t>Revenue from government contract</w:t>
            </w:r>
          </w:p>
        </w:tc>
        <w:tc>
          <w:tcPr>
            <w:tcW w:w="478" w:type="dxa"/>
          </w:tcPr>
          <w:p w14:paraId="2F0193C6"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6A8EDEC1"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06048B6D" w14:textId="77777777" w:rsidR="00653859" w:rsidRPr="004470FD" w:rsidRDefault="00653859" w:rsidP="003B3026">
            <w:pPr>
              <w:widowControl w:val="0"/>
              <w:tabs>
                <w:tab w:val="decimal" w:pos="910"/>
              </w:tabs>
              <w:autoSpaceDE w:val="0"/>
              <w:autoSpaceDN w:val="0"/>
              <w:adjustRightInd w:val="0"/>
              <w:rPr>
                <w:snapToGrid w:val="0"/>
                <w:sz w:val="20"/>
              </w:rPr>
            </w:pPr>
          </w:p>
        </w:tc>
        <w:tc>
          <w:tcPr>
            <w:tcW w:w="1208" w:type="dxa"/>
          </w:tcPr>
          <w:p w14:paraId="77658AFE" w14:textId="77777777" w:rsidR="00653859" w:rsidRPr="004470FD" w:rsidRDefault="00653859" w:rsidP="003B3026">
            <w:pPr>
              <w:widowControl w:val="0"/>
              <w:tabs>
                <w:tab w:val="left" w:pos="163"/>
                <w:tab w:val="decimal" w:pos="860"/>
              </w:tabs>
              <w:autoSpaceDE w:val="0"/>
              <w:autoSpaceDN w:val="0"/>
              <w:adjustRightInd w:val="0"/>
              <w:rPr>
                <w:snapToGrid w:val="0"/>
                <w:sz w:val="20"/>
              </w:rPr>
            </w:pPr>
            <w:r w:rsidRPr="004470FD">
              <w:rPr>
                <w:snapToGrid w:val="0"/>
                <w:sz w:val="20"/>
              </w:rPr>
              <w:tab/>
              <w:t>$</w:t>
            </w:r>
            <w:r w:rsidRPr="004470FD">
              <w:rPr>
                <w:snapToGrid w:val="0"/>
                <w:sz w:val="20"/>
              </w:rPr>
              <w:tab/>
            </w:r>
            <w:r>
              <w:rPr>
                <w:snapToGrid w:val="0"/>
                <w:sz w:val="20"/>
              </w:rPr>
              <w:t>1,637</w:t>
            </w:r>
          </w:p>
        </w:tc>
        <w:tc>
          <w:tcPr>
            <w:tcW w:w="1208" w:type="dxa"/>
          </w:tcPr>
          <w:p w14:paraId="0D922D89" w14:textId="77777777" w:rsidR="00653859" w:rsidRPr="004470FD" w:rsidRDefault="00653859" w:rsidP="003B3026">
            <w:pPr>
              <w:widowControl w:val="0"/>
              <w:tabs>
                <w:tab w:val="left" w:pos="67"/>
                <w:tab w:val="decimal" w:pos="907"/>
              </w:tabs>
              <w:autoSpaceDE w:val="0"/>
              <w:autoSpaceDN w:val="0"/>
              <w:adjustRightInd w:val="0"/>
              <w:rPr>
                <w:snapToGrid w:val="0"/>
                <w:sz w:val="20"/>
              </w:rPr>
            </w:pPr>
            <w:r w:rsidRPr="004470FD">
              <w:rPr>
                <w:snapToGrid w:val="0"/>
                <w:sz w:val="20"/>
              </w:rPr>
              <w:tab/>
              <w:t>$</w:t>
            </w:r>
            <w:r w:rsidRPr="004470FD">
              <w:rPr>
                <w:snapToGrid w:val="0"/>
                <w:sz w:val="20"/>
              </w:rPr>
              <w:tab/>
            </w:r>
            <w:r>
              <w:rPr>
                <w:snapToGrid w:val="0"/>
                <w:sz w:val="20"/>
              </w:rPr>
              <w:t>-</w:t>
            </w:r>
          </w:p>
        </w:tc>
      </w:tr>
      <w:tr w:rsidR="00653859" w:rsidRPr="004470FD" w14:paraId="2719E16B" w14:textId="77777777" w:rsidTr="003B3026">
        <w:trPr>
          <w:trHeight w:val="276"/>
        </w:trPr>
        <w:tc>
          <w:tcPr>
            <w:tcW w:w="4620" w:type="dxa"/>
            <w:gridSpan w:val="3"/>
          </w:tcPr>
          <w:p w14:paraId="09C3D3C1" w14:textId="77777777" w:rsidR="00653859" w:rsidRPr="004470FD" w:rsidRDefault="00653859" w:rsidP="003B3026">
            <w:pPr>
              <w:widowControl w:val="0"/>
              <w:autoSpaceDE w:val="0"/>
              <w:autoSpaceDN w:val="0"/>
              <w:adjustRightInd w:val="0"/>
              <w:rPr>
                <w:snapToGrid w:val="0"/>
                <w:sz w:val="20"/>
              </w:rPr>
            </w:pPr>
          </w:p>
        </w:tc>
        <w:tc>
          <w:tcPr>
            <w:tcW w:w="478" w:type="dxa"/>
          </w:tcPr>
          <w:p w14:paraId="389F447E"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51136426"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6FF5DF7E" w14:textId="77777777" w:rsidR="00653859" w:rsidRPr="004470FD" w:rsidRDefault="00653859" w:rsidP="003B3026">
            <w:pPr>
              <w:widowControl w:val="0"/>
              <w:tabs>
                <w:tab w:val="decimal" w:pos="910"/>
              </w:tabs>
              <w:autoSpaceDE w:val="0"/>
              <w:autoSpaceDN w:val="0"/>
              <w:adjustRightInd w:val="0"/>
              <w:rPr>
                <w:snapToGrid w:val="0"/>
                <w:sz w:val="20"/>
              </w:rPr>
            </w:pPr>
          </w:p>
        </w:tc>
        <w:tc>
          <w:tcPr>
            <w:tcW w:w="1208" w:type="dxa"/>
          </w:tcPr>
          <w:p w14:paraId="468BCEDF" w14:textId="77777777" w:rsidR="00653859" w:rsidRPr="004470FD" w:rsidRDefault="00653859" w:rsidP="003B3026">
            <w:pPr>
              <w:widowControl w:val="0"/>
              <w:tabs>
                <w:tab w:val="decimal" w:pos="860"/>
              </w:tabs>
              <w:autoSpaceDE w:val="0"/>
              <w:autoSpaceDN w:val="0"/>
              <w:adjustRightInd w:val="0"/>
              <w:jc w:val="center"/>
              <w:rPr>
                <w:snapToGrid w:val="0"/>
                <w:sz w:val="20"/>
              </w:rPr>
            </w:pPr>
          </w:p>
        </w:tc>
        <w:tc>
          <w:tcPr>
            <w:tcW w:w="1208" w:type="dxa"/>
          </w:tcPr>
          <w:p w14:paraId="7C8C22A4" w14:textId="77777777" w:rsidR="00653859" w:rsidRPr="004470FD" w:rsidRDefault="00653859" w:rsidP="003B3026">
            <w:pPr>
              <w:widowControl w:val="0"/>
              <w:tabs>
                <w:tab w:val="decimal" w:pos="907"/>
              </w:tabs>
              <w:autoSpaceDE w:val="0"/>
              <w:autoSpaceDN w:val="0"/>
              <w:adjustRightInd w:val="0"/>
              <w:jc w:val="center"/>
              <w:rPr>
                <w:snapToGrid w:val="0"/>
                <w:sz w:val="20"/>
              </w:rPr>
            </w:pPr>
          </w:p>
        </w:tc>
      </w:tr>
      <w:tr w:rsidR="00653859" w:rsidRPr="004470FD" w14:paraId="108072D0" w14:textId="77777777" w:rsidTr="003B3026">
        <w:trPr>
          <w:trHeight w:val="276"/>
        </w:trPr>
        <w:tc>
          <w:tcPr>
            <w:tcW w:w="4620" w:type="dxa"/>
            <w:gridSpan w:val="3"/>
          </w:tcPr>
          <w:p w14:paraId="26E998D2" w14:textId="77777777" w:rsidR="00653859" w:rsidRPr="004470FD" w:rsidRDefault="00653859" w:rsidP="003B3026">
            <w:pPr>
              <w:widowControl w:val="0"/>
              <w:autoSpaceDE w:val="0"/>
              <w:autoSpaceDN w:val="0"/>
              <w:adjustRightInd w:val="0"/>
              <w:rPr>
                <w:snapToGrid w:val="0"/>
                <w:sz w:val="20"/>
              </w:rPr>
            </w:pPr>
            <w:r w:rsidRPr="004470FD">
              <w:rPr>
                <w:snapToGrid w:val="0"/>
                <w:sz w:val="20"/>
              </w:rPr>
              <w:t>Operating expenses:</w:t>
            </w:r>
          </w:p>
        </w:tc>
        <w:tc>
          <w:tcPr>
            <w:tcW w:w="478" w:type="dxa"/>
          </w:tcPr>
          <w:p w14:paraId="6A9866AF"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73A842D4"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1918B781" w14:textId="77777777" w:rsidR="00653859" w:rsidRPr="004470FD" w:rsidRDefault="00653859" w:rsidP="003B3026">
            <w:pPr>
              <w:widowControl w:val="0"/>
              <w:tabs>
                <w:tab w:val="decimal" w:pos="910"/>
              </w:tabs>
              <w:autoSpaceDE w:val="0"/>
              <w:autoSpaceDN w:val="0"/>
              <w:adjustRightInd w:val="0"/>
              <w:rPr>
                <w:snapToGrid w:val="0"/>
                <w:sz w:val="20"/>
              </w:rPr>
            </w:pPr>
          </w:p>
        </w:tc>
        <w:tc>
          <w:tcPr>
            <w:tcW w:w="1208" w:type="dxa"/>
          </w:tcPr>
          <w:p w14:paraId="64448656" w14:textId="77777777" w:rsidR="00653859" w:rsidRPr="004470FD" w:rsidRDefault="00653859" w:rsidP="003B3026">
            <w:pPr>
              <w:widowControl w:val="0"/>
              <w:tabs>
                <w:tab w:val="decimal" w:pos="860"/>
              </w:tabs>
              <w:autoSpaceDE w:val="0"/>
              <w:autoSpaceDN w:val="0"/>
              <w:adjustRightInd w:val="0"/>
              <w:jc w:val="center"/>
              <w:rPr>
                <w:snapToGrid w:val="0"/>
                <w:sz w:val="20"/>
              </w:rPr>
            </w:pPr>
          </w:p>
        </w:tc>
        <w:tc>
          <w:tcPr>
            <w:tcW w:w="1208" w:type="dxa"/>
          </w:tcPr>
          <w:p w14:paraId="33E26D1B" w14:textId="77777777" w:rsidR="00653859" w:rsidRPr="004470FD" w:rsidRDefault="00653859" w:rsidP="003B3026">
            <w:pPr>
              <w:widowControl w:val="0"/>
              <w:tabs>
                <w:tab w:val="decimal" w:pos="907"/>
              </w:tabs>
              <w:autoSpaceDE w:val="0"/>
              <w:autoSpaceDN w:val="0"/>
              <w:adjustRightInd w:val="0"/>
              <w:jc w:val="center"/>
              <w:rPr>
                <w:snapToGrid w:val="0"/>
                <w:sz w:val="20"/>
              </w:rPr>
            </w:pPr>
          </w:p>
        </w:tc>
      </w:tr>
      <w:tr w:rsidR="00653859" w:rsidRPr="004470FD" w14:paraId="5216A6C4" w14:textId="77777777" w:rsidTr="003B3026">
        <w:trPr>
          <w:trHeight w:val="276"/>
        </w:trPr>
        <w:tc>
          <w:tcPr>
            <w:tcW w:w="237" w:type="dxa"/>
          </w:tcPr>
          <w:p w14:paraId="2AC14C69" w14:textId="77777777" w:rsidR="00653859" w:rsidRPr="004470FD" w:rsidRDefault="00653859" w:rsidP="003B3026">
            <w:pPr>
              <w:widowControl w:val="0"/>
              <w:autoSpaceDE w:val="0"/>
              <w:autoSpaceDN w:val="0"/>
              <w:adjustRightInd w:val="0"/>
              <w:jc w:val="right"/>
              <w:rPr>
                <w:snapToGrid w:val="0"/>
                <w:sz w:val="20"/>
              </w:rPr>
            </w:pPr>
            <w:bookmarkStart w:id="1" w:name="_Hlk196125168"/>
          </w:p>
        </w:tc>
        <w:tc>
          <w:tcPr>
            <w:tcW w:w="4383" w:type="dxa"/>
            <w:gridSpan w:val="2"/>
          </w:tcPr>
          <w:p w14:paraId="549D307C" w14:textId="77777777" w:rsidR="00653859" w:rsidRPr="004470FD" w:rsidRDefault="00653859" w:rsidP="003B3026">
            <w:pPr>
              <w:widowControl w:val="0"/>
              <w:autoSpaceDE w:val="0"/>
              <w:autoSpaceDN w:val="0"/>
              <w:adjustRightInd w:val="0"/>
              <w:rPr>
                <w:snapToGrid w:val="0"/>
                <w:sz w:val="20"/>
              </w:rPr>
            </w:pPr>
            <w:r w:rsidRPr="004470FD">
              <w:rPr>
                <w:snapToGrid w:val="0"/>
                <w:sz w:val="20"/>
              </w:rPr>
              <w:t>Research and development</w:t>
            </w:r>
          </w:p>
        </w:tc>
        <w:tc>
          <w:tcPr>
            <w:tcW w:w="478" w:type="dxa"/>
          </w:tcPr>
          <w:p w14:paraId="2D59E4CF"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6CAB91EB"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0D09D178" w14:textId="77777777" w:rsidR="00653859" w:rsidRPr="004470FD" w:rsidRDefault="00653859" w:rsidP="003B3026">
            <w:pPr>
              <w:widowControl w:val="0"/>
              <w:tabs>
                <w:tab w:val="decimal" w:pos="910"/>
              </w:tabs>
              <w:autoSpaceDE w:val="0"/>
              <w:autoSpaceDN w:val="0"/>
              <w:adjustRightInd w:val="0"/>
              <w:rPr>
                <w:snapToGrid w:val="0"/>
                <w:sz w:val="20"/>
              </w:rPr>
            </w:pPr>
          </w:p>
        </w:tc>
        <w:tc>
          <w:tcPr>
            <w:tcW w:w="1208" w:type="dxa"/>
          </w:tcPr>
          <w:p w14:paraId="4CB5AE0D" w14:textId="77777777" w:rsidR="00653859" w:rsidRPr="004470FD" w:rsidRDefault="00653859" w:rsidP="003B3026">
            <w:pPr>
              <w:widowControl w:val="0"/>
              <w:tabs>
                <w:tab w:val="left" w:pos="163"/>
                <w:tab w:val="decimal" w:pos="860"/>
              </w:tabs>
              <w:autoSpaceDE w:val="0"/>
              <w:autoSpaceDN w:val="0"/>
              <w:adjustRightInd w:val="0"/>
              <w:rPr>
                <w:snapToGrid w:val="0"/>
                <w:sz w:val="20"/>
              </w:rPr>
            </w:pPr>
            <w:r>
              <w:rPr>
                <w:snapToGrid w:val="0"/>
                <w:sz w:val="20"/>
              </w:rPr>
              <w:tab/>
            </w:r>
            <w:r>
              <w:rPr>
                <w:snapToGrid w:val="0"/>
                <w:sz w:val="20"/>
              </w:rPr>
              <w:tab/>
              <w:t>5,355</w:t>
            </w:r>
          </w:p>
        </w:tc>
        <w:tc>
          <w:tcPr>
            <w:tcW w:w="1208" w:type="dxa"/>
          </w:tcPr>
          <w:p w14:paraId="70E3112C" w14:textId="77777777" w:rsidR="00653859" w:rsidRPr="004470FD" w:rsidRDefault="00653859" w:rsidP="003B3026">
            <w:pPr>
              <w:widowControl w:val="0"/>
              <w:tabs>
                <w:tab w:val="left" w:pos="67"/>
                <w:tab w:val="decimal" w:pos="907"/>
              </w:tabs>
              <w:autoSpaceDE w:val="0"/>
              <w:autoSpaceDN w:val="0"/>
              <w:adjustRightInd w:val="0"/>
              <w:rPr>
                <w:snapToGrid w:val="0"/>
                <w:sz w:val="20"/>
              </w:rPr>
            </w:pPr>
            <w:r w:rsidRPr="004470FD">
              <w:rPr>
                <w:snapToGrid w:val="0"/>
                <w:sz w:val="20"/>
              </w:rPr>
              <w:tab/>
            </w:r>
            <w:r w:rsidRPr="004470FD">
              <w:rPr>
                <w:snapToGrid w:val="0"/>
                <w:sz w:val="20"/>
              </w:rPr>
              <w:tab/>
            </w:r>
            <w:r>
              <w:rPr>
                <w:snapToGrid w:val="0"/>
                <w:sz w:val="20"/>
              </w:rPr>
              <w:t>4,426</w:t>
            </w:r>
          </w:p>
        </w:tc>
      </w:tr>
      <w:bookmarkEnd w:id="1"/>
      <w:tr w:rsidR="00653859" w:rsidRPr="004470FD" w14:paraId="4A289114" w14:textId="77777777" w:rsidTr="003B3026">
        <w:trPr>
          <w:trHeight w:val="276"/>
        </w:trPr>
        <w:tc>
          <w:tcPr>
            <w:tcW w:w="237" w:type="dxa"/>
          </w:tcPr>
          <w:p w14:paraId="4A0888B1"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4470BFD3" w14:textId="77777777" w:rsidR="00653859" w:rsidRPr="004470FD" w:rsidRDefault="00653859" w:rsidP="003B3026">
            <w:pPr>
              <w:widowControl w:val="0"/>
              <w:autoSpaceDE w:val="0"/>
              <w:autoSpaceDN w:val="0"/>
              <w:adjustRightInd w:val="0"/>
              <w:rPr>
                <w:snapToGrid w:val="0"/>
                <w:sz w:val="20"/>
              </w:rPr>
            </w:pPr>
            <w:r w:rsidRPr="004470FD">
              <w:rPr>
                <w:snapToGrid w:val="0"/>
                <w:sz w:val="20"/>
              </w:rPr>
              <w:t>General and administrative</w:t>
            </w:r>
          </w:p>
        </w:tc>
        <w:tc>
          <w:tcPr>
            <w:tcW w:w="478" w:type="dxa"/>
          </w:tcPr>
          <w:p w14:paraId="347BCD1B"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C785B48"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00527DCD" w14:textId="77777777" w:rsidR="00653859" w:rsidRPr="004470FD" w:rsidRDefault="00653859" w:rsidP="003B3026">
            <w:pPr>
              <w:widowControl w:val="0"/>
              <w:tabs>
                <w:tab w:val="decimal" w:pos="910"/>
              </w:tabs>
              <w:autoSpaceDE w:val="0"/>
              <w:autoSpaceDN w:val="0"/>
              <w:adjustRightInd w:val="0"/>
              <w:rPr>
                <w:snapToGrid w:val="0"/>
                <w:sz w:val="20"/>
              </w:rPr>
            </w:pPr>
          </w:p>
        </w:tc>
        <w:tc>
          <w:tcPr>
            <w:tcW w:w="1208" w:type="dxa"/>
          </w:tcPr>
          <w:p w14:paraId="77B0CE20" w14:textId="77777777" w:rsidR="00653859" w:rsidRPr="004470FD" w:rsidRDefault="00653859" w:rsidP="003B3026">
            <w:pPr>
              <w:widowControl w:val="0"/>
              <w:tabs>
                <w:tab w:val="decimal" w:pos="860"/>
              </w:tabs>
              <w:autoSpaceDE w:val="0"/>
              <w:autoSpaceDN w:val="0"/>
              <w:adjustRightInd w:val="0"/>
              <w:rPr>
                <w:snapToGrid w:val="0"/>
                <w:sz w:val="20"/>
              </w:rPr>
            </w:pPr>
            <w:r>
              <w:rPr>
                <w:snapToGrid w:val="0"/>
                <w:sz w:val="20"/>
              </w:rPr>
              <w:t>1,687</w:t>
            </w:r>
          </w:p>
        </w:tc>
        <w:tc>
          <w:tcPr>
            <w:tcW w:w="1208" w:type="dxa"/>
          </w:tcPr>
          <w:p w14:paraId="54E0ABB8" w14:textId="77777777" w:rsidR="00653859" w:rsidRPr="004470FD" w:rsidRDefault="00653859" w:rsidP="003B3026">
            <w:pPr>
              <w:widowControl w:val="0"/>
              <w:tabs>
                <w:tab w:val="decimal" w:pos="907"/>
              </w:tabs>
              <w:autoSpaceDE w:val="0"/>
              <w:autoSpaceDN w:val="0"/>
              <w:adjustRightInd w:val="0"/>
              <w:rPr>
                <w:snapToGrid w:val="0"/>
                <w:sz w:val="20"/>
              </w:rPr>
            </w:pPr>
            <w:r w:rsidRPr="004470FD">
              <w:rPr>
                <w:snapToGrid w:val="0"/>
                <w:sz w:val="20"/>
              </w:rPr>
              <w:t>1,4</w:t>
            </w:r>
            <w:r>
              <w:rPr>
                <w:snapToGrid w:val="0"/>
                <w:sz w:val="20"/>
              </w:rPr>
              <w:t>57</w:t>
            </w:r>
          </w:p>
        </w:tc>
      </w:tr>
      <w:tr w:rsidR="00653859" w:rsidRPr="004470FD" w14:paraId="4770F36E" w14:textId="77777777" w:rsidTr="003B3026">
        <w:trPr>
          <w:trHeight w:val="276"/>
        </w:trPr>
        <w:tc>
          <w:tcPr>
            <w:tcW w:w="237" w:type="dxa"/>
          </w:tcPr>
          <w:p w14:paraId="115280F0" w14:textId="77777777" w:rsidR="00653859" w:rsidRPr="004470FD" w:rsidRDefault="00653859" w:rsidP="003B3026">
            <w:pPr>
              <w:widowControl w:val="0"/>
              <w:autoSpaceDE w:val="0"/>
              <w:autoSpaceDN w:val="0"/>
              <w:adjustRightInd w:val="0"/>
              <w:jc w:val="right"/>
              <w:rPr>
                <w:snapToGrid w:val="0"/>
                <w:sz w:val="20"/>
              </w:rPr>
            </w:pPr>
          </w:p>
        </w:tc>
        <w:tc>
          <w:tcPr>
            <w:tcW w:w="1462" w:type="dxa"/>
          </w:tcPr>
          <w:p w14:paraId="25293468" w14:textId="77777777" w:rsidR="00653859" w:rsidRPr="004470FD" w:rsidRDefault="00653859" w:rsidP="003B3026">
            <w:pPr>
              <w:widowControl w:val="0"/>
              <w:autoSpaceDE w:val="0"/>
              <w:autoSpaceDN w:val="0"/>
              <w:adjustRightInd w:val="0"/>
              <w:jc w:val="right"/>
              <w:rPr>
                <w:snapToGrid w:val="0"/>
                <w:sz w:val="20"/>
              </w:rPr>
            </w:pPr>
          </w:p>
        </w:tc>
        <w:tc>
          <w:tcPr>
            <w:tcW w:w="2921" w:type="dxa"/>
          </w:tcPr>
          <w:p w14:paraId="38CC3C9E"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0E3E5424"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82E9B49"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7F07E774" w14:textId="77777777" w:rsidR="00653859" w:rsidRPr="004470FD" w:rsidRDefault="00653859" w:rsidP="003B3026">
            <w:pPr>
              <w:widowControl w:val="0"/>
              <w:tabs>
                <w:tab w:val="decimal" w:pos="910"/>
              </w:tabs>
              <w:autoSpaceDE w:val="0"/>
              <w:autoSpaceDN w:val="0"/>
              <w:adjustRightInd w:val="0"/>
              <w:rPr>
                <w:snapToGrid w:val="0"/>
                <w:sz w:val="20"/>
              </w:rPr>
            </w:pPr>
          </w:p>
        </w:tc>
        <w:tc>
          <w:tcPr>
            <w:tcW w:w="1208" w:type="dxa"/>
            <w:tcBorders>
              <w:top w:val="single" w:sz="6" w:space="0" w:color="auto"/>
            </w:tcBorders>
          </w:tcPr>
          <w:p w14:paraId="6D474639" w14:textId="77777777" w:rsidR="00653859" w:rsidRPr="004470FD" w:rsidRDefault="00653859" w:rsidP="003B3026">
            <w:pPr>
              <w:widowControl w:val="0"/>
              <w:tabs>
                <w:tab w:val="decimal" w:pos="860"/>
              </w:tabs>
              <w:autoSpaceDE w:val="0"/>
              <w:autoSpaceDN w:val="0"/>
              <w:adjustRightInd w:val="0"/>
              <w:rPr>
                <w:snapToGrid w:val="0"/>
                <w:sz w:val="20"/>
              </w:rPr>
            </w:pPr>
            <w:r>
              <w:rPr>
                <w:snapToGrid w:val="0"/>
                <w:sz w:val="20"/>
              </w:rPr>
              <w:t>7,042</w:t>
            </w:r>
          </w:p>
        </w:tc>
        <w:tc>
          <w:tcPr>
            <w:tcW w:w="1208" w:type="dxa"/>
            <w:tcBorders>
              <w:top w:val="single" w:sz="6" w:space="0" w:color="auto"/>
            </w:tcBorders>
          </w:tcPr>
          <w:p w14:paraId="625DE6ED" w14:textId="77777777" w:rsidR="00653859" w:rsidRPr="004470FD" w:rsidRDefault="00653859" w:rsidP="003B3026">
            <w:pPr>
              <w:widowControl w:val="0"/>
              <w:tabs>
                <w:tab w:val="decimal" w:pos="907"/>
              </w:tabs>
              <w:autoSpaceDE w:val="0"/>
              <w:autoSpaceDN w:val="0"/>
              <w:adjustRightInd w:val="0"/>
              <w:rPr>
                <w:snapToGrid w:val="0"/>
                <w:sz w:val="20"/>
              </w:rPr>
            </w:pPr>
            <w:r>
              <w:rPr>
                <w:snapToGrid w:val="0"/>
                <w:sz w:val="20"/>
              </w:rPr>
              <w:t>5,883</w:t>
            </w:r>
          </w:p>
        </w:tc>
      </w:tr>
      <w:tr w:rsidR="00653859" w:rsidRPr="004470FD" w14:paraId="2F6E3B3E" w14:textId="77777777" w:rsidTr="003B3026">
        <w:trPr>
          <w:trHeight w:val="276"/>
        </w:trPr>
        <w:tc>
          <w:tcPr>
            <w:tcW w:w="237" w:type="dxa"/>
          </w:tcPr>
          <w:p w14:paraId="53379AED"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173F5961" w14:textId="77777777" w:rsidR="00653859" w:rsidRPr="004470FD" w:rsidRDefault="00653859" w:rsidP="003B3026">
            <w:pPr>
              <w:widowControl w:val="0"/>
              <w:autoSpaceDE w:val="0"/>
              <w:autoSpaceDN w:val="0"/>
              <w:adjustRightInd w:val="0"/>
              <w:rPr>
                <w:snapToGrid w:val="0"/>
                <w:sz w:val="20"/>
              </w:rPr>
            </w:pPr>
            <w:r w:rsidRPr="004470FD">
              <w:rPr>
                <w:snapToGrid w:val="0"/>
                <w:sz w:val="20"/>
              </w:rPr>
              <w:t>Loss from operations</w:t>
            </w:r>
          </w:p>
        </w:tc>
        <w:tc>
          <w:tcPr>
            <w:tcW w:w="478" w:type="dxa"/>
          </w:tcPr>
          <w:p w14:paraId="7454AB90"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6F469E88"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033CC4EA" w14:textId="77777777" w:rsidR="00653859" w:rsidRPr="004470FD" w:rsidRDefault="00653859" w:rsidP="003B3026">
            <w:pPr>
              <w:widowControl w:val="0"/>
              <w:tabs>
                <w:tab w:val="decimal" w:pos="910"/>
              </w:tabs>
              <w:autoSpaceDE w:val="0"/>
              <w:autoSpaceDN w:val="0"/>
              <w:adjustRightInd w:val="0"/>
              <w:jc w:val="center"/>
              <w:rPr>
                <w:snapToGrid w:val="0"/>
                <w:sz w:val="20"/>
              </w:rPr>
            </w:pPr>
          </w:p>
        </w:tc>
        <w:tc>
          <w:tcPr>
            <w:tcW w:w="1208" w:type="dxa"/>
            <w:tcBorders>
              <w:top w:val="single" w:sz="6" w:space="0" w:color="auto"/>
            </w:tcBorders>
          </w:tcPr>
          <w:p w14:paraId="4D5B0213" w14:textId="77777777" w:rsidR="00653859" w:rsidRPr="004470FD" w:rsidRDefault="00653859" w:rsidP="003B3026">
            <w:pPr>
              <w:widowControl w:val="0"/>
              <w:tabs>
                <w:tab w:val="decimal" w:pos="860"/>
              </w:tabs>
              <w:autoSpaceDE w:val="0"/>
              <w:autoSpaceDN w:val="0"/>
              <w:adjustRightInd w:val="0"/>
              <w:rPr>
                <w:snapToGrid w:val="0"/>
                <w:sz w:val="20"/>
              </w:rPr>
            </w:pPr>
            <w:r w:rsidRPr="004470FD">
              <w:rPr>
                <w:snapToGrid w:val="0"/>
                <w:sz w:val="20"/>
              </w:rPr>
              <w:t>(</w:t>
            </w:r>
            <w:r>
              <w:rPr>
                <w:snapToGrid w:val="0"/>
                <w:sz w:val="20"/>
              </w:rPr>
              <w:t>5,405</w:t>
            </w:r>
            <w:r w:rsidRPr="004470FD">
              <w:rPr>
                <w:snapToGrid w:val="0"/>
                <w:sz w:val="20"/>
              </w:rPr>
              <w:t>)</w:t>
            </w:r>
          </w:p>
        </w:tc>
        <w:tc>
          <w:tcPr>
            <w:tcW w:w="1208" w:type="dxa"/>
            <w:tcBorders>
              <w:top w:val="single" w:sz="6" w:space="0" w:color="auto"/>
            </w:tcBorders>
          </w:tcPr>
          <w:p w14:paraId="376B6E2B" w14:textId="77777777" w:rsidR="00653859" w:rsidRPr="004470FD" w:rsidRDefault="00653859" w:rsidP="003B3026">
            <w:pPr>
              <w:widowControl w:val="0"/>
              <w:tabs>
                <w:tab w:val="decimal" w:pos="907"/>
              </w:tabs>
              <w:autoSpaceDE w:val="0"/>
              <w:autoSpaceDN w:val="0"/>
              <w:adjustRightInd w:val="0"/>
              <w:rPr>
                <w:snapToGrid w:val="0"/>
                <w:sz w:val="20"/>
              </w:rPr>
            </w:pPr>
            <w:r w:rsidRPr="004470FD">
              <w:rPr>
                <w:snapToGrid w:val="0"/>
                <w:sz w:val="20"/>
              </w:rPr>
              <w:t>(</w:t>
            </w:r>
            <w:r>
              <w:rPr>
                <w:snapToGrid w:val="0"/>
                <w:sz w:val="20"/>
              </w:rPr>
              <w:t>5,883</w:t>
            </w:r>
            <w:r w:rsidRPr="004470FD">
              <w:rPr>
                <w:snapToGrid w:val="0"/>
                <w:sz w:val="20"/>
              </w:rPr>
              <w:t>)</w:t>
            </w:r>
          </w:p>
        </w:tc>
      </w:tr>
      <w:tr w:rsidR="00653859" w:rsidRPr="004470FD" w14:paraId="6F84FE6A" w14:textId="77777777" w:rsidTr="003B3026">
        <w:trPr>
          <w:trHeight w:val="276"/>
        </w:trPr>
        <w:tc>
          <w:tcPr>
            <w:tcW w:w="237" w:type="dxa"/>
          </w:tcPr>
          <w:p w14:paraId="32E38846"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5DEFBB99" w14:textId="77777777" w:rsidR="00653859" w:rsidRPr="004470FD" w:rsidRDefault="00653859" w:rsidP="003B3026">
            <w:pPr>
              <w:widowControl w:val="0"/>
              <w:autoSpaceDE w:val="0"/>
              <w:autoSpaceDN w:val="0"/>
              <w:adjustRightInd w:val="0"/>
              <w:rPr>
                <w:snapToGrid w:val="0"/>
                <w:sz w:val="20"/>
              </w:rPr>
            </w:pPr>
            <w:r>
              <w:rPr>
                <w:snapToGrid w:val="0"/>
                <w:sz w:val="20"/>
              </w:rPr>
              <w:t>Interest income</w:t>
            </w:r>
          </w:p>
        </w:tc>
        <w:tc>
          <w:tcPr>
            <w:tcW w:w="478" w:type="dxa"/>
          </w:tcPr>
          <w:p w14:paraId="50FCB213"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9486669"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398D8603" w14:textId="77777777" w:rsidR="00653859" w:rsidRPr="004470FD" w:rsidRDefault="00653859" w:rsidP="003B3026">
            <w:pPr>
              <w:widowControl w:val="0"/>
              <w:tabs>
                <w:tab w:val="decimal" w:pos="910"/>
              </w:tabs>
              <w:autoSpaceDE w:val="0"/>
              <w:autoSpaceDN w:val="0"/>
              <w:adjustRightInd w:val="0"/>
              <w:rPr>
                <w:snapToGrid w:val="0"/>
                <w:sz w:val="20"/>
              </w:rPr>
            </w:pPr>
          </w:p>
        </w:tc>
        <w:tc>
          <w:tcPr>
            <w:tcW w:w="1208" w:type="dxa"/>
          </w:tcPr>
          <w:p w14:paraId="055AFFF4" w14:textId="77777777" w:rsidR="00653859" w:rsidRPr="004470FD" w:rsidRDefault="00653859" w:rsidP="003B3026">
            <w:pPr>
              <w:widowControl w:val="0"/>
              <w:tabs>
                <w:tab w:val="decimal" w:pos="860"/>
              </w:tabs>
              <w:autoSpaceDE w:val="0"/>
              <w:autoSpaceDN w:val="0"/>
              <w:adjustRightInd w:val="0"/>
              <w:rPr>
                <w:snapToGrid w:val="0"/>
                <w:sz w:val="20"/>
              </w:rPr>
            </w:pPr>
            <w:r>
              <w:rPr>
                <w:snapToGrid w:val="0"/>
                <w:sz w:val="20"/>
              </w:rPr>
              <w:t>47</w:t>
            </w:r>
          </w:p>
        </w:tc>
        <w:tc>
          <w:tcPr>
            <w:tcW w:w="1208" w:type="dxa"/>
          </w:tcPr>
          <w:p w14:paraId="0F19E579" w14:textId="77777777" w:rsidR="00653859" w:rsidRPr="004470FD" w:rsidRDefault="00653859" w:rsidP="003B3026">
            <w:pPr>
              <w:widowControl w:val="0"/>
              <w:tabs>
                <w:tab w:val="decimal" w:pos="907"/>
              </w:tabs>
              <w:autoSpaceDE w:val="0"/>
              <w:autoSpaceDN w:val="0"/>
              <w:adjustRightInd w:val="0"/>
              <w:rPr>
                <w:snapToGrid w:val="0"/>
                <w:sz w:val="20"/>
              </w:rPr>
            </w:pPr>
            <w:r>
              <w:rPr>
                <w:snapToGrid w:val="0"/>
                <w:sz w:val="20"/>
              </w:rPr>
              <w:t>33</w:t>
            </w:r>
          </w:p>
        </w:tc>
      </w:tr>
      <w:tr w:rsidR="00653859" w:rsidRPr="004470FD" w14:paraId="4DE71CD1" w14:textId="77777777" w:rsidTr="003B3026">
        <w:trPr>
          <w:trHeight w:val="276"/>
        </w:trPr>
        <w:tc>
          <w:tcPr>
            <w:tcW w:w="237" w:type="dxa"/>
          </w:tcPr>
          <w:p w14:paraId="5C210FD5" w14:textId="77777777" w:rsidR="00653859" w:rsidRPr="004470FD" w:rsidRDefault="00653859" w:rsidP="003B3026">
            <w:pPr>
              <w:widowControl w:val="0"/>
              <w:autoSpaceDE w:val="0"/>
              <w:autoSpaceDN w:val="0"/>
              <w:adjustRightInd w:val="0"/>
              <w:jc w:val="right"/>
              <w:rPr>
                <w:snapToGrid w:val="0"/>
                <w:sz w:val="20"/>
              </w:rPr>
            </w:pPr>
          </w:p>
        </w:tc>
        <w:tc>
          <w:tcPr>
            <w:tcW w:w="1462" w:type="dxa"/>
          </w:tcPr>
          <w:p w14:paraId="7B694ACC" w14:textId="77777777" w:rsidR="00653859" w:rsidRPr="004470FD" w:rsidRDefault="00653859" w:rsidP="003B3026">
            <w:pPr>
              <w:widowControl w:val="0"/>
              <w:autoSpaceDE w:val="0"/>
              <w:autoSpaceDN w:val="0"/>
              <w:adjustRightInd w:val="0"/>
              <w:jc w:val="right"/>
              <w:rPr>
                <w:snapToGrid w:val="0"/>
                <w:sz w:val="20"/>
              </w:rPr>
            </w:pPr>
          </w:p>
        </w:tc>
        <w:tc>
          <w:tcPr>
            <w:tcW w:w="2921" w:type="dxa"/>
          </w:tcPr>
          <w:p w14:paraId="11676DF2"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47F19DE0"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1B4286B9" w14:textId="77777777" w:rsidR="00653859" w:rsidRPr="004470FD" w:rsidRDefault="00653859" w:rsidP="003B3026">
            <w:pPr>
              <w:widowControl w:val="0"/>
              <w:tabs>
                <w:tab w:val="decimal" w:pos="960"/>
              </w:tabs>
              <w:autoSpaceDE w:val="0"/>
              <w:autoSpaceDN w:val="0"/>
              <w:adjustRightInd w:val="0"/>
              <w:rPr>
                <w:snapToGrid w:val="0"/>
                <w:sz w:val="20"/>
              </w:rPr>
            </w:pPr>
          </w:p>
        </w:tc>
        <w:tc>
          <w:tcPr>
            <w:tcW w:w="1208" w:type="dxa"/>
          </w:tcPr>
          <w:p w14:paraId="623733B5" w14:textId="77777777" w:rsidR="00653859" w:rsidRPr="004470FD" w:rsidRDefault="00653859" w:rsidP="003B3026">
            <w:pPr>
              <w:widowControl w:val="0"/>
              <w:tabs>
                <w:tab w:val="decimal" w:pos="910"/>
              </w:tabs>
              <w:autoSpaceDE w:val="0"/>
              <w:autoSpaceDN w:val="0"/>
              <w:adjustRightInd w:val="0"/>
              <w:rPr>
                <w:snapToGrid w:val="0"/>
                <w:sz w:val="20"/>
              </w:rPr>
            </w:pPr>
          </w:p>
        </w:tc>
        <w:tc>
          <w:tcPr>
            <w:tcW w:w="1208" w:type="dxa"/>
            <w:tcBorders>
              <w:top w:val="single" w:sz="6" w:space="0" w:color="auto"/>
            </w:tcBorders>
          </w:tcPr>
          <w:p w14:paraId="7AC7920C" w14:textId="77777777" w:rsidR="00653859" w:rsidRPr="004470FD" w:rsidRDefault="00653859" w:rsidP="003B3026">
            <w:pPr>
              <w:widowControl w:val="0"/>
              <w:tabs>
                <w:tab w:val="decimal" w:pos="860"/>
              </w:tabs>
              <w:autoSpaceDE w:val="0"/>
              <w:autoSpaceDN w:val="0"/>
              <w:adjustRightInd w:val="0"/>
              <w:jc w:val="center"/>
              <w:rPr>
                <w:snapToGrid w:val="0"/>
                <w:sz w:val="20"/>
              </w:rPr>
            </w:pPr>
          </w:p>
        </w:tc>
        <w:tc>
          <w:tcPr>
            <w:tcW w:w="1208" w:type="dxa"/>
            <w:tcBorders>
              <w:top w:val="single" w:sz="6" w:space="0" w:color="auto"/>
            </w:tcBorders>
          </w:tcPr>
          <w:p w14:paraId="553ADAC2" w14:textId="77777777" w:rsidR="00653859" w:rsidRPr="004470FD" w:rsidRDefault="00653859" w:rsidP="003B3026">
            <w:pPr>
              <w:widowControl w:val="0"/>
              <w:tabs>
                <w:tab w:val="decimal" w:pos="907"/>
              </w:tabs>
              <w:autoSpaceDE w:val="0"/>
              <w:autoSpaceDN w:val="0"/>
              <w:adjustRightInd w:val="0"/>
              <w:jc w:val="center"/>
              <w:rPr>
                <w:snapToGrid w:val="0"/>
                <w:sz w:val="20"/>
              </w:rPr>
            </w:pPr>
          </w:p>
        </w:tc>
      </w:tr>
      <w:tr w:rsidR="00653859" w:rsidRPr="004470FD" w14:paraId="42CD907B" w14:textId="77777777" w:rsidTr="003B3026">
        <w:trPr>
          <w:cantSplit/>
          <w:trHeight w:val="293"/>
        </w:trPr>
        <w:tc>
          <w:tcPr>
            <w:tcW w:w="4620" w:type="dxa"/>
            <w:gridSpan w:val="3"/>
          </w:tcPr>
          <w:p w14:paraId="36495DAF" w14:textId="77777777" w:rsidR="00653859" w:rsidRPr="004470FD" w:rsidRDefault="00653859" w:rsidP="003B3026">
            <w:pPr>
              <w:widowControl w:val="0"/>
              <w:autoSpaceDE w:val="0"/>
              <w:autoSpaceDN w:val="0"/>
              <w:adjustRightInd w:val="0"/>
              <w:rPr>
                <w:snapToGrid w:val="0"/>
                <w:sz w:val="20"/>
              </w:rPr>
            </w:pPr>
            <w:r w:rsidRPr="004470FD">
              <w:rPr>
                <w:snapToGrid w:val="0"/>
                <w:sz w:val="20"/>
              </w:rPr>
              <w:t>Net loss</w:t>
            </w:r>
          </w:p>
        </w:tc>
        <w:tc>
          <w:tcPr>
            <w:tcW w:w="478" w:type="dxa"/>
          </w:tcPr>
          <w:p w14:paraId="379BE1A9"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722CD720" w14:textId="77777777" w:rsidR="00653859" w:rsidRPr="004470FD" w:rsidRDefault="00653859" w:rsidP="003B3026">
            <w:pPr>
              <w:widowControl w:val="0"/>
              <w:tabs>
                <w:tab w:val="left" w:pos="150"/>
                <w:tab w:val="decimal" w:pos="960"/>
              </w:tabs>
              <w:autoSpaceDE w:val="0"/>
              <w:autoSpaceDN w:val="0"/>
              <w:adjustRightInd w:val="0"/>
              <w:rPr>
                <w:snapToGrid w:val="0"/>
                <w:sz w:val="20"/>
              </w:rPr>
            </w:pPr>
          </w:p>
        </w:tc>
        <w:tc>
          <w:tcPr>
            <w:tcW w:w="1208" w:type="dxa"/>
          </w:tcPr>
          <w:p w14:paraId="3D45D273" w14:textId="77777777" w:rsidR="00653859" w:rsidRPr="004470FD" w:rsidRDefault="00653859" w:rsidP="003B3026">
            <w:pPr>
              <w:widowControl w:val="0"/>
              <w:tabs>
                <w:tab w:val="left" w:pos="100"/>
                <w:tab w:val="decimal" w:pos="910"/>
              </w:tabs>
              <w:autoSpaceDE w:val="0"/>
              <w:autoSpaceDN w:val="0"/>
              <w:adjustRightInd w:val="0"/>
              <w:rPr>
                <w:snapToGrid w:val="0"/>
                <w:sz w:val="20"/>
              </w:rPr>
            </w:pPr>
          </w:p>
        </w:tc>
        <w:tc>
          <w:tcPr>
            <w:tcW w:w="1208" w:type="dxa"/>
            <w:tcBorders>
              <w:bottom w:val="double" w:sz="6" w:space="0" w:color="auto"/>
            </w:tcBorders>
          </w:tcPr>
          <w:p w14:paraId="3AA747F1" w14:textId="77777777" w:rsidR="00653859" w:rsidRPr="004470FD" w:rsidRDefault="00653859" w:rsidP="003B3026">
            <w:pPr>
              <w:widowControl w:val="0"/>
              <w:tabs>
                <w:tab w:val="left" w:pos="50"/>
                <w:tab w:val="decimal" w:pos="860"/>
              </w:tabs>
              <w:autoSpaceDE w:val="0"/>
              <w:autoSpaceDN w:val="0"/>
              <w:adjustRightInd w:val="0"/>
              <w:rPr>
                <w:snapToGrid w:val="0"/>
                <w:sz w:val="20"/>
              </w:rPr>
            </w:pPr>
            <w:r w:rsidRPr="004470FD">
              <w:rPr>
                <w:snapToGrid w:val="0"/>
                <w:sz w:val="20"/>
              </w:rPr>
              <w:tab/>
              <w:t>$</w:t>
            </w:r>
            <w:r w:rsidRPr="004470FD">
              <w:rPr>
                <w:snapToGrid w:val="0"/>
                <w:sz w:val="20"/>
              </w:rPr>
              <w:tab/>
              <w:t>(</w:t>
            </w:r>
            <w:r>
              <w:rPr>
                <w:snapToGrid w:val="0"/>
                <w:sz w:val="20"/>
              </w:rPr>
              <w:t>5,358</w:t>
            </w:r>
            <w:r w:rsidRPr="004470FD">
              <w:rPr>
                <w:snapToGrid w:val="0"/>
                <w:sz w:val="20"/>
              </w:rPr>
              <w:t>)</w:t>
            </w:r>
          </w:p>
        </w:tc>
        <w:tc>
          <w:tcPr>
            <w:tcW w:w="1208" w:type="dxa"/>
            <w:tcBorders>
              <w:bottom w:val="double" w:sz="6" w:space="0" w:color="auto"/>
            </w:tcBorders>
          </w:tcPr>
          <w:p w14:paraId="3E7FAAF0" w14:textId="77777777" w:rsidR="00653859" w:rsidRPr="004470FD" w:rsidRDefault="00653859" w:rsidP="003B3026">
            <w:pPr>
              <w:widowControl w:val="0"/>
              <w:tabs>
                <w:tab w:val="left" w:pos="97"/>
                <w:tab w:val="decimal" w:pos="907"/>
              </w:tabs>
              <w:autoSpaceDE w:val="0"/>
              <w:autoSpaceDN w:val="0"/>
              <w:adjustRightInd w:val="0"/>
              <w:rPr>
                <w:snapToGrid w:val="0"/>
                <w:sz w:val="20"/>
              </w:rPr>
            </w:pPr>
            <w:r w:rsidRPr="004470FD">
              <w:rPr>
                <w:snapToGrid w:val="0"/>
                <w:sz w:val="20"/>
              </w:rPr>
              <w:tab/>
              <w:t>$</w:t>
            </w:r>
            <w:r w:rsidRPr="004470FD">
              <w:rPr>
                <w:snapToGrid w:val="0"/>
                <w:sz w:val="20"/>
              </w:rPr>
              <w:tab/>
              <w:t>(</w:t>
            </w:r>
            <w:r>
              <w:rPr>
                <w:snapToGrid w:val="0"/>
                <w:sz w:val="20"/>
              </w:rPr>
              <w:t>5,850</w:t>
            </w:r>
            <w:r w:rsidRPr="004470FD">
              <w:rPr>
                <w:snapToGrid w:val="0"/>
                <w:sz w:val="20"/>
              </w:rPr>
              <w:t>)</w:t>
            </w:r>
          </w:p>
        </w:tc>
      </w:tr>
      <w:tr w:rsidR="00653859" w:rsidRPr="004470FD" w14:paraId="3E271F01" w14:textId="77777777" w:rsidTr="003B3026">
        <w:trPr>
          <w:trHeight w:val="293"/>
        </w:trPr>
        <w:tc>
          <w:tcPr>
            <w:tcW w:w="237" w:type="dxa"/>
          </w:tcPr>
          <w:p w14:paraId="632C899C" w14:textId="77777777" w:rsidR="00653859" w:rsidRPr="004470FD" w:rsidRDefault="00653859" w:rsidP="003B3026">
            <w:pPr>
              <w:widowControl w:val="0"/>
              <w:autoSpaceDE w:val="0"/>
              <w:autoSpaceDN w:val="0"/>
              <w:adjustRightInd w:val="0"/>
              <w:jc w:val="right"/>
              <w:rPr>
                <w:snapToGrid w:val="0"/>
                <w:sz w:val="20"/>
              </w:rPr>
            </w:pPr>
          </w:p>
        </w:tc>
        <w:tc>
          <w:tcPr>
            <w:tcW w:w="1462" w:type="dxa"/>
          </w:tcPr>
          <w:p w14:paraId="3EA81816" w14:textId="77777777" w:rsidR="00653859" w:rsidRPr="004470FD" w:rsidRDefault="00653859" w:rsidP="003B3026">
            <w:pPr>
              <w:widowControl w:val="0"/>
              <w:autoSpaceDE w:val="0"/>
              <w:autoSpaceDN w:val="0"/>
              <w:adjustRightInd w:val="0"/>
              <w:jc w:val="right"/>
              <w:rPr>
                <w:snapToGrid w:val="0"/>
                <w:sz w:val="20"/>
              </w:rPr>
            </w:pPr>
          </w:p>
        </w:tc>
        <w:tc>
          <w:tcPr>
            <w:tcW w:w="2921" w:type="dxa"/>
          </w:tcPr>
          <w:p w14:paraId="51B0EBD8"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0B548DDF"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45D353AB" w14:textId="77777777" w:rsidR="00653859" w:rsidRPr="004470FD" w:rsidRDefault="00653859" w:rsidP="003B3026">
            <w:pPr>
              <w:widowControl w:val="0"/>
              <w:autoSpaceDE w:val="0"/>
              <w:autoSpaceDN w:val="0"/>
              <w:adjustRightInd w:val="0"/>
              <w:jc w:val="center"/>
              <w:rPr>
                <w:snapToGrid w:val="0"/>
                <w:sz w:val="20"/>
              </w:rPr>
            </w:pPr>
          </w:p>
        </w:tc>
        <w:tc>
          <w:tcPr>
            <w:tcW w:w="1208" w:type="dxa"/>
          </w:tcPr>
          <w:p w14:paraId="573D8EAD" w14:textId="77777777" w:rsidR="00653859" w:rsidRPr="004470FD" w:rsidRDefault="00653859" w:rsidP="003B3026">
            <w:pPr>
              <w:widowControl w:val="0"/>
              <w:autoSpaceDE w:val="0"/>
              <w:autoSpaceDN w:val="0"/>
              <w:adjustRightInd w:val="0"/>
              <w:jc w:val="center"/>
              <w:rPr>
                <w:snapToGrid w:val="0"/>
                <w:sz w:val="20"/>
              </w:rPr>
            </w:pPr>
          </w:p>
        </w:tc>
        <w:tc>
          <w:tcPr>
            <w:tcW w:w="1208" w:type="dxa"/>
          </w:tcPr>
          <w:p w14:paraId="6F976E98" w14:textId="77777777" w:rsidR="00653859" w:rsidRPr="004470FD" w:rsidRDefault="00653859" w:rsidP="003B3026">
            <w:pPr>
              <w:widowControl w:val="0"/>
              <w:autoSpaceDE w:val="0"/>
              <w:autoSpaceDN w:val="0"/>
              <w:adjustRightInd w:val="0"/>
              <w:jc w:val="center"/>
              <w:rPr>
                <w:snapToGrid w:val="0"/>
                <w:sz w:val="20"/>
              </w:rPr>
            </w:pPr>
          </w:p>
        </w:tc>
        <w:tc>
          <w:tcPr>
            <w:tcW w:w="1208" w:type="dxa"/>
          </w:tcPr>
          <w:p w14:paraId="1F7A9EB4" w14:textId="77777777" w:rsidR="00653859" w:rsidRPr="004470FD" w:rsidRDefault="00653859" w:rsidP="003B3026">
            <w:pPr>
              <w:widowControl w:val="0"/>
              <w:autoSpaceDE w:val="0"/>
              <w:autoSpaceDN w:val="0"/>
              <w:adjustRightInd w:val="0"/>
              <w:jc w:val="center"/>
              <w:rPr>
                <w:snapToGrid w:val="0"/>
                <w:sz w:val="20"/>
              </w:rPr>
            </w:pPr>
          </w:p>
        </w:tc>
      </w:tr>
      <w:tr w:rsidR="00653859" w:rsidRPr="004470FD" w14:paraId="05838088" w14:textId="77777777" w:rsidTr="003B3026">
        <w:trPr>
          <w:trHeight w:val="276"/>
        </w:trPr>
        <w:tc>
          <w:tcPr>
            <w:tcW w:w="4620" w:type="dxa"/>
            <w:gridSpan w:val="3"/>
          </w:tcPr>
          <w:p w14:paraId="7DDD4B5E" w14:textId="77777777" w:rsidR="00653859" w:rsidRPr="004470FD" w:rsidRDefault="00653859" w:rsidP="003B3026">
            <w:pPr>
              <w:widowControl w:val="0"/>
              <w:autoSpaceDE w:val="0"/>
              <w:autoSpaceDN w:val="0"/>
              <w:adjustRightInd w:val="0"/>
              <w:rPr>
                <w:snapToGrid w:val="0"/>
                <w:sz w:val="20"/>
              </w:rPr>
            </w:pPr>
            <w:r w:rsidRPr="004470FD">
              <w:rPr>
                <w:snapToGrid w:val="0"/>
                <w:sz w:val="20"/>
              </w:rPr>
              <w:t>Net loss per common share</w:t>
            </w:r>
          </w:p>
        </w:tc>
        <w:tc>
          <w:tcPr>
            <w:tcW w:w="478" w:type="dxa"/>
          </w:tcPr>
          <w:p w14:paraId="2DA14578"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1EF2CADD" w14:textId="77777777" w:rsidR="00653859" w:rsidRPr="004470FD" w:rsidRDefault="00653859" w:rsidP="003B3026">
            <w:pPr>
              <w:widowControl w:val="0"/>
              <w:tabs>
                <w:tab w:val="left" w:pos="150"/>
                <w:tab w:val="decimal" w:pos="690"/>
              </w:tabs>
              <w:autoSpaceDE w:val="0"/>
              <w:autoSpaceDN w:val="0"/>
              <w:adjustRightInd w:val="0"/>
              <w:rPr>
                <w:snapToGrid w:val="0"/>
                <w:sz w:val="20"/>
              </w:rPr>
            </w:pPr>
          </w:p>
        </w:tc>
        <w:tc>
          <w:tcPr>
            <w:tcW w:w="1208" w:type="dxa"/>
          </w:tcPr>
          <w:p w14:paraId="635D3196" w14:textId="77777777" w:rsidR="00653859" w:rsidRPr="004470FD" w:rsidRDefault="00653859" w:rsidP="003B3026">
            <w:pPr>
              <w:widowControl w:val="0"/>
              <w:tabs>
                <w:tab w:val="left" w:pos="100"/>
                <w:tab w:val="decimal" w:pos="640"/>
              </w:tabs>
              <w:autoSpaceDE w:val="0"/>
              <w:autoSpaceDN w:val="0"/>
              <w:adjustRightInd w:val="0"/>
              <w:rPr>
                <w:snapToGrid w:val="0"/>
                <w:sz w:val="20"/>
              </w:rPr>
            </w:pPr>
          </w:p>
        </w:tc>
        <w:tc>
          <w:tcPr>
            <w:tcW w:w="1208" w:type="dxa"/>
            <w:tcBorders>
              <w:bottom w:val="double" w:sz="4" w:space="0" w:color="auto"/>
            </w:tcBorders>
            <w:shd w:val="clear" w:color="auto" w:fill="auto"/>
          </w:tcPr>
          <w:p w14:paraId="09443544" w14:textId="77777777" w:rsidR="00653859" w:rsidRPr="004470FD" w:rsidRDefault="00653859" w:rsidP="003B3026">
            <w:pPr>
              <w:widowControl w:val="0"/>
              <w:tabs>
                <w:tab w:val="left" w:pos="140"/>
                <w:tab w:val="decimal" w:pos="590"/>
              </w:tabs>
              <w:autoSpaceDE w:val="0"/>
              <w:autoSpaceDN w:val="0"/>
              <w:adjustRightInd w:val="0"/>
              <w:rPr>
                <w:snapToGrid w:val="0"/>
                <w:sz w:val="20"/>
              </w:rPr>
            </w:pPr>
            <w:r w:rsidRPr="004470FD">
              <w:rPr>
                <w:snapToGrid w:val="0"/>
                <w:sz w:val="20"/>
              </w:rPr>
              <w:tab/>
              <w:t>$</w:t>
            </w:r>
            <w:r w:rsidRPr="004470FD">
              <w:rPr>
                <w:snapToGrid w:val="0"/>
                <w:sz w:val="20"/>
              </w:rPr>
              <w:tab/>
              <w:t>(</w:t>
            </w:r>
            <w:r>
              <w:rPr>
                <w:snapToGrid w:val="0"/>
                <w:sz w:val="20"/>
              </w:rPr>
              <w:t>0.45</w:t>
            </w:r>
            <w:r w:rsidRPr="004470FD">
              <w:rPr>
                <w:snapToGrid w:val="0"/>
                <w:sz w:val="20"/>
              </w:rPr>
              <w:t>)</w:t>
            </w:r>
          </w:p>
        </w:tc>
        <w:tc>
          <w:tcPr>
            <w:tcW w:w="1208" w:type="dxa"/>
            <w:tcBorders>
              <w:bottom w:val="double" w:sz="4" w:space="0" w:color="auto"/>
            </w:tcBorders>
            <w:shd w:val="clear" w:color="auto" w:fill="auto"/>
          </w:tcPr>
          <w:p w14:paraId="18BC2927" w14:textId="77777777" w:rsidR="00653859" w:rsidRPr="004470FD" w:rsidRDefault="00653859" w:rsidP="003B3026">
            <w:pPr>
              <w:widowControl w:val="0"/>
              <w:tabs>
                <w:tab w:val="left" w:pos="97"/>
                <w:tab w:val="decimal" w:pos="637"/>
              </w:tabs>
              <w:autoSpaceDE w:val="0"/>
              <w:autoSpaceDN w:val="0"/>
              <w:adjustRightInd w:val="0"/>
              <w:rPr>
                <w:snapToGrid w:val="0"/>
                <w:sz w:val="20"/>
              </w:rPr>
            </w:pPr>
            <w:r w:rsidRPr="004470FD">
              <w:rPr>
                <w:snapToGrid w:val="0"/>
                <w:sz w:val="20"/>
              </w:rPr>
              <w:tab/>
              <w:t>$</w:t>
            </w:r>
            <w:r w:rsidRPr="004470FD">
              <w:rPr>
                <w:snapToGrid w:val="0"/>
                <w:sz w:val="20"/>
              </w:rPr>
              <w:tab/>
              <w:t>(2.</w:t>
            </w:r>
            <w:r>
              <w:rPr>
                <w:snapToGrid w:val="0"/>
                <w:sz w:val="20"/>
              </w:rPr>
              <w:t>47</w:t>
            </w:r>
            <w:r w:rsidRPr="004470FD">
              <w:rPr>
                <w:snapToGrid w:val="0"/>
                <w:sz w:val="20"/>
              </w:rPr>
              <w:t>)</w:t>
            </w:r>
          </w:p>
        </w:tc>
      </w:tr>
      <w:tr w:rsidR="00653859" w:rsidRPr="004470FD" w14:paraId="343CF388" w14:textId="77777777" w:rsidTr="003B3026">
        <w:trPr>
          <w:trHeight w:val="276"/>
        </w:trPr>
        <w:tc>
          <w:tcPr>
            <w:tcW w:w="4620" w:type="dxa"/>
            <w:gridSpan w:val="3"/>
          </w:tcPr>
          <w:p w14:paraId="20E6A033" w14:textId="77777777" w:rsidR="00653859" w:rsidRPr="004470FD" w:rsidRDefault="00653859" w:rsidP="003B3026">
            <w:pPr>
              <w:widowControl w:val="0"/>
              <w:autoSpaceDE w:val="0"/>
              <w:autoSpaceDN w:val="0"/>
              <w:adjustRightInd w:val="0"/>
              <w:rPr>
                <w:snapToGrid w:val="0"/>
                <w:sz w:val="20"/>
              </w:rPr>
            </w:pPr>
          </w:p>
        </w:tc>
        <w:tc>
          <w:tcPr>
            <w:tcW w:w="478" w:type="dxa"/>
          </w:tcPr>
          <w:p w14:paraId="4A9C803F"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70F0C1CE" w14:textId="77777777" w:rsidR="00653859" w:rsidRPr="004470FD" w:rsidRDefault="00653859" w:rsidP="003B3026">
            <w:pPr>
              <w:widowControl w:val="0"/>
              <w:tabs>
                <w:tab w:val="left" w:pos="150"/>
                <w:tab w:val="decimal" w:pos="690"/>
              </w:tabs>
              <w:autoSpaceDE w:val="0"/>
              <w:autoSpaceDN w:val="0"/>
              <w:adjustRightInd w:val="0"/>
              <w:rPr>
                <w:snapToGrid w:val="0"/>
                <w:sz w:val="20"/>
              </w:rPr>
            </w:pPr>
          </w:p>
        </w:tc>
        <w:tc>
          <w:tcPr>
            <w:tcW w:w="1208" w:type="dxa"/>
          </w:tcPr>
          <w:p w14:paraId="5F4802A1" w14:textId="77777777" w:rsidR="00653859" w:rsidRPr="004470FD" w:rsidRDefault="00653859" w:rsidP="003B3026">
            <w:pPr>
              <w:widowControl w:val="0"/>
              <w:tabs>
                <w:tab w:val="left" w:pos="100"/>
                <w:tab w:val="decimal" w:pos="640"/>
              </w:tabs>
              <w:autoSpaceDE w:val="0"/>
              <w:autoSpaceDN w:val="0"/>
              <w:adjustRightInd w:val="0"/>
              <w:rPr>
                <w:snapToGrid w:val="0"/>
                <w:sz w:val="20"/>
              </w:rPr>
            </w:pPr>
          </w:p>
        </w:tc>
        <w:tc>
          <w:tcPr>
            <w:tcW w:w="1208" w:type="dxa"/>
          </w:tcPr>
          <w:p w14:paraId="6899D1FF" w14:textId="77777777" w:rsidR="00653859" w:rsidRPr="004470FD" w:rsidRDefault="00653859" w:rsidP="003B3026">
            <w:pPr>
              <w:widowControl w:val="0"/>
              <w:tabs>
                <w:tab w:val="left" w:pos="140"/>
                <w:tab w:val="decimal" w:pos="590"/>
              </w:tabs>
              <w:autoSpaceDE w:val="0"/>
              <w:autoSpaceDN w:val="0"/>
              <w:adjustRightInd w:val="0"/>
              <w:rPr>
                <w:snapToGrid w:val="0"/>
                <w:sz w:val="20"/>
              </w:rPr>
            </w:pPr>
          </w:p>
        </w:tc>
        <w:tc>
          <w:tcPr>
            <w:tcW w:w="1208" w:type="dxa"/>
          </w:tcPr>
          <w:p w14:paraId="701A18F9" w14:textId="77777777" w:rsidR="00653859" w:rsidRPr="004470FD" w:rsidRDefault="00653859" w:rsidP="003B3026">
            <w:pPr>
              <w:widowControl w:val="0"/>
              <w:tabs>
                <w:tab w:val="left" w:pos="97"/>
                <w:tab w:val="decimal" w:pos="637"/>
              </w:tabs>
              <w:autoSpaceDE w:val="0"/>
              <w:autoSpaceDN w:val="0"/>
              <w:adjustRightInd w:val="0"/>
              <w:rPr>
                <w:snapToGrid w:val="0"/>
                <w:sz w:val="20"/>
              </w:rPr>
            </w:pPr>
          </w:p>
        </w:tc>
      </w:tr>
      <w:tr w:rsidR="00653859" w:rsidRPr="004470FD" w14:paraId="29EE4E1C" w14:textId="77777777" w:rsidTr="003B3026">
        <w:trPr>
          <w:trHeight w:val="276"/>
        </w:trPr>
        <w:tc>
          <w:tcPr>
            <w:tcW w:w="4620" w:type="dxa"/>
            <w:gridSpan w:val="3"/>
          </w:tcPr>
          <w:p w14:paraId="2157719D" w14:textId="77777777" w:rsidR="00653859" w:rsidRPr="004470FD" w:rsidRDefault="00653859" w:rsidP="003B3026">
            <w:pPr>
              <w:widowControl w:val="0"/>
              <w:autoSpaceDE w:val="0"/>
              <w:autoSpaceDN w:val="0"/>
              <w:adjustRightInd w:val="0"/>
              <w:rPr>
                <w:snapToGrid w:val="0"/>
                <w:sz w:val="20"/>
              </w:rPr>
            </w:pPr>
            <w:r w:rsidRPr="004470FD">
              <w:rPr>
                <w:snapToGrid w:val="0"/>
                <w:sz w:val="20"/>
              </w:rPr>
              <w:t>Weighted average common shares outstanding</w:t>
            </w:r>
          </w:p>
        </w:tc>
        <w:tc>
          <w:tcPr>
            <w:tcW w:w="478" w:type="dxa"/>
          </w:tcPr>
          <w:p w14:paraId="32AE5945"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65A37F9C" w14:textId="77777777" w:rsidR="00653859" w:rsidRPr="004470FD" w:rsidRDefault="00653859" w:rsidP="003B3026">
            <w:pPr>
              <w:widowControl w:val="0"/>
              <w:tabs>
                <w:tab w:val="left" w:pos="150"/>
                <w:tab w:val="decimal" w:pos="690"/>
              </w:tabs>
              <w:autoSpaceDE w:val="0"/>
              <w:autoSpaceDN w:val="0"/>
              <w:adjustRightInd w:val="0"/>
              <w:rPr>
                <w:snapToGrid w:val="0"/>
                <w:sz w:val="20"/>
              </w:rPr>
            </w:pPr>
          </w:p>
        </w:tc>
        <w:tc>
          <w:tcPr>
            <w:tcW w:w="1208" w:type="dxa"/>
          </w:tcPr>
          <w:p w14:paraId="4C6371D1" w14:textId="77777777" w:rsidR="00653859" w:rsidRPr="004470FD" w:rsidRDefault="00653859" w:rsidP="003B3026">
            <w:pPr>
              <w:widowControl w:val="0"/>
              <w:tabs>
                <w:tab w:val="left" w:pos="100"/>
                <w:tab w:val="decimal" w:pos="640"/>
              </w:tabs>
              <w:autoSpaceDE w:val="0"/>
              <w:autoSpaceDN w:val="0"/>
              <w:adjustRightInd w:val="0"/>
              <w:rPr>
                <w:snapToGrid w:val="0"/>
                <w:sz w:val="20"/>
              </w:rPr>
            </w:pPr>
          </w:p>
        </w:tc>
        <w:tc>
          <w:tcPr>
            <w:tcW w:w="1208" w:type="dxa"/>
          </w:tcPr>
          <w:p w14:paraId="1E123937" w14:textId="77777777" w:rsidR="00653859" w:rsidRPr="004470FD" w:rsidRDefault="00653859" w:rsidP="003B3026">
            <w:pPr>
              <w:widowControl w:val="0"/>
              <w:tabs>
                <w:tab w:val="left" w:pos="140"/>
                <w:tab w:val="decimal" w:pos="856"/>
              </w:tabs>
              <w:autoSpaceDE w:val="0"/>
              <w:autoSpaceDN w:val="0"/>
              <w:adjustRightInd w:val="0"/>
              <w:rPr>
                <w:snapToGrid w:val="0"/>
                <w:sz w:val="20"/>
              </w:rPr>
            </w:pPr>
            <w:r w:rsidRPr="004470FD">
              <w:rPr>
                <w:snapToGrid w:val="0"/>
                <w:sz w:val="20"/>
              </w:rPr>
              <w:tab/>
            </w:r>
            <w:r w:rsidRPr="004470FD">
              <w:rPr>
                <w:snapToGrid w:val="0"/>
                <w:sz w:val="20"/>
              </w:rPr>
              <w:tab/>
            </w:r>
            <w:r>
              <w:rPr>
                <w:snapToGrid w:val="0"/>
                <w:sz w:val="20"/>
              </w:rPr>
              <w:t>11,954,797</w:t>
            </w:r>
          </w:p>
        </w:tc>
        <w:tc>
          <w:tcPr>
            <w:tcW w:w="1208" w:type="dxa"/>
          </w:tcPr>
          <w:p w14:paraId="3C29C819" w14:textId="77777777" w:rsidR="00653859" w:rsidRPr="004470FD" w:rsidRDefault="00653859" w:rsidP="003B3026">
            <w:pPr>
              <w:widowControl w:val="0"/>
              <w:tabs>
                <w:tab w:val="left" w:pos="97"/>
                <w:tab w:val="decimal" w:pos="908"/>
              </w:tabs>
              <w:autoSpaceDE w:val="0"/>
              <w:autoSpaceDN w:val="0"/>
              <w:adjustRightInd w:val="0"/>
              <w:rPr>
                <w:snapToGrid w:val="0"/>
                <w:sz w:val="20"/>
              </w:rPr>
            </w:pPr>
            <w:r w:rsidRPr="004470FD">
              <w:rPr>
                <w:snapToGrid w:val="0"/>
                <w:sz w:val="20"/>
              </w:rPr>
              <w:tab/>
            </w:r>
            <w:r w:rsidRPr="004470FD">
              <w:rPr>
                <w:snapToGrid w:val="0"/>
                <w:sz w:val="20"/>
              </w:rPr>
              <w:tab/>
            </w:r>
            <w:r>
              <w:rPr>
                <w:snapToGrid w:val="0"/>
                <w:sz w:val="20"/>
              </w:rPr>
              <w:t>2,367,050</w:t>
            </w:r>
          </w:p>
        </w:tc>
      </w:tr>
    </w:tbl>
    <w:p w14:paraId="363758A5" w14:textId="77777777" w:rsidR="00653859" w:rsidRPr="004470FD" w:rsidRDefault="00653859" w:rsidP="00653859">
      <w:pPr>
        <w:widowControl w:val="0"/>
        <w:autoSpaceDE w:val="0"/>
        <w:autoSpaceDN w:val="0"/>
        <w:adjustRightInd w:val="0"/>
        <w:jc w:val="both"/>
        <w:rPr>
          <w:sz w:val="20"/>
        </w:rPr>
      </w:pPr>
    </w:p>
    <w:p w14:paraId="04508EEE" w14:textId="77777777" w:rsidR="00653859" w:rsidRPr="004470FD" w:rsidRDefault="00653859" w:rsidP="00653859">
      <w:pPr>
        <w:widowControl w:val="0"/>
        <w:autoSpaceDE w:val="0"/>
        <w:autoSpaceDN w:val="0"/>
        <w:adjustRightInd w:val="0"/>
        <w:jc w:val="both"/>
        <w:rPr>
          <w:sz w:val="20"/>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653859" w:rsidRPr="004470FD" w14:paraId="41B73AA1" w14:textId="77777777" w:rsidTr="003B3026">
        <w:trPr>
          <w:cantSplit/>
          <w:trHeight w:val="293"/>
        </w:trPr>
        <w:tc>
          <w:tcPr>
            <w:tcW w:w="9930" w:type="dxa"/>
            <w:gridSpan w:val="8"/>
          </w:tcPr>
          <w:p w14:paraId="218803E6" w14:textId="77777777" w:rsidR="00653859" w:rsidRPr="004470FD" w:rsidRDefault="00653859" w:rsidP="003B3026">
            <w:pPr>
              <w:widowControl w:val="0"/>
              <w:autoSpaceDE w:val="0"/>
              <w:autoSpaceDN w:val="0"/>
              <w:adjustRightInd w:val="0"/>
              <w:jc w:val="center"/>
              <w:rPr>
                <w:b/>
                <w:bCs/>
                <w:snapToGrid w:val="0"/>
                <w:sz w:val="20"/>
              </w:rPr>
            </w:pPr>
          </w:p>
          <w:p w14:paraId="7A0A544F" w14:textId="77777777" w:rsidR="00653859" w:rsidRPr="004470FD" w:rsidRDefault="00653859" w:rsidP="003B3026">
            <w:pPr>
              <w:widowControl w:val="0"/>
              <w:autoSpaceDE w:val="0"/>
              <w:autoSpaceDN w:val="0"/>
              <w:adjustRightInd w:val="0"/>
              <w:jc w:val="center"/>
              <w:rPr>
                <w:b/>
                <w:bCs/>
                <w:snapToGrid w:val="0"/>
                <w:sz w:val="20"/>
              </w:rPr>
            </w:pPr>
          </w:p>
          <w:p w14:paraId="79515F05" w14:textId="77777777" w:rsidR="00653859" w:rsidRPr="004470FD" w:rsidRDefault="00653859" w:rsidP="003B3026">
            <w:pPr>
              <w:widowControl w:val="0"/>
              <w:autoSpaceDE w:val="0"/>
              <w:autoSpaceDN w:val="0"/>
              <w:adjustRightInd w:val="0"/>
              <w:jc w:val="center"/>
              <w:rPr>
                <w:snapToGrid w:val="0"/>
                <w:sz w:val="20"/>
              </w:rPr>
            </w:pPr>
            <w:r w:rsidRPr="004470FD">
              <w:rPr>
                <w:b/>
                <w:bCs/>
                <w:snapToGrid w:val="0"/>
                <w:sz w:val="20"/>
              </w:rPr>
              <w:t>Condensed Consolidated Balance Sheet Information</w:t>
            </w:r>
          </w:p>
        </w:tc>
      </w:tr>
      <w:tr w:rsidR="00653859" w:rsidRPr="004470FD" w14:paraId="162268EB" w14:textId="77777777" w:rsidTr="003B3026">
        <w:trPr>
          <w:cantSplit/>
          <w:trHeight w:val="293"/>
        </w:trPr>
        <w:tc>
          <w:tcPr>
            <w:tcW w:w="9930" w:type="dxa"/>
            <w:gridSpan w:val="8"/>
          </w:tcPr>
          <w:p w14:paraId="2D50F70D" w14:textId="77777777" w:rsidR="00653859" w:rsidRPr="004470FD" w:rsidRDefault="00653859" w:rsidP="003B3026">
            <w:pPr>
              <w:widowControl w:val="0"/>
              <w:autoSpaceDE w:val="0"/>
              <w:autoSpaceDN w:val="0"/>
              <w:adjustRightInd w:val="0"/>
              <w:jc w:val="center"/>
              <w:rPr>
                <w:i/>
                <w:snapToGrid w:val="0"/>
                <w:sz w:val="20"/>
              </w:rPr>
            </w:pPr>
            <w:r w:rsidRPr="004470FD">
              <w:rPr>
                <w:bCs/>
                <w:i/>
                <w:snapToGrid w:val="0"/>
                <w:sz w:val="20"/>
              </w:rPr>
              <w:t>(amounts in thousands, except common share information)</w:t>
            </w:r>
          </w:p>
        </w:tc>
      </w:tr>
      <w:tr w:rsidR="00653859" w:rsidRPr="004470FD" w14:paraId="476C6473" w14:textId="77777777" w:rsidTr="003B3026">
        <w:trPr>
          <w:trHeight w:val="276"/>
        </w:trPr>
        <w:tc>
          <w:tcPr>
            <w:tcW w:w="1699" w:type="dxa"/>
            <w:gridSpan w:val="2"/>
          </w:tcPr>
          <w:p w14:paraId="411FC5E1" w14:textId="77777777" w:rsidR="00653859" w:rsidRPr="004470FD" w:rsidRDefault="00653859" w:rsidP="003B3026">
            <w:pPr>
              <w:widowControl w:val="0"/>
              <w:autoSpaceDE w:val="0"/>
              <w:autoSpaceDN w:val="0"/>
              <w:adjustRightInd w:val="0"/>
              <w:rPr>
                <w:snapToGrid w:val="0"/>
                <w:sz w:val="20"/>
              </w:rPr>
            </w:pPr>
          </w:p>
        </w:tc>
        <w:tc>
          <w:tcPr>
            <w:tcW w:w="2921" w:type="dxa"/>
          </w:tcPr>
          <w:p w14:paraId="7AF71FA7"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75863E7A"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3A17D56B"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3F633087" w14:textId="77777777" w:rsidR="00653859" w:rsidRPr="004470FD" w:rsidRDefault="00653859" w:rsidP="003B3026">
            <w:pPr>
              <w:widowControl w:val="0"/>
              <w:autoSpaceDE w:val="0"/>
              <w:autoSpaceDN w:val="0"/>
              <w:adjustRightInd w:val="0"/>
              <w:jc w:val="right"/>
              <w:rPr>
                <w:snapToGrid w:val="0"/>
                <w:sz w:val="20"/>
              </w:rPr>
            </w:pPr>
          </w:p>
        </w:tc>
        <w:tc>
          <w:tcPr>
            <w:tcW w:w="1208" w:type="dxa"/>
            <w:tcBorders>
              <w:bottom w:val="single" w:sz="4" w:space="0" w:color="auto"/>
            </w:tcBorders>
          </w:tcPr>
          <w:p w14:paraId="5B498FE5" w14:textId="77777777" w:rsidR="00653859" w:rsidRPr="004470FD" w:rsidRDefault="00653859" w:rsidP="003B3026">
            <w:pPr>
              <w:widowControl w:val="0"/>
              <w:autoSpaceDE w:val="0"/>
              <w:autoSpaceDN w:val="0"/>
              <w:adjustRightInd w:val="0"/>
              <w:jc w:val="center"/>
              <w:rPr>
                <w:snapToGrid w:val="0"/>
                <w:sz w:val="20"/>
              </w:rPr>
            </w:pPr>
            <w:r w:rsidRPr="004470FD">
              <w:rPr>
                <w:snapToGrid w:val="0"/>
                <w:sz w:val="20"/>
              </w:rPr>
              <w:t>March 31,</w:t>
            </w:r>
          </w:p>
          <w:p w14:paraId="302230C4" w14:textId="77777777" w:rsidR="00653859" w:rsidRPr="004470FD" w:rsidRDefault="00653859" w:rsidP="003B3026">
            <w:pPr>
              <w:widowControl w:val="0"/>
              <w:autoSpaceDE w:val="0"/>
              <w:autoSpaceDN w:val="0"/>
              <w:adjustRightInd w:val="0"/>
              <w:jc w:val="center"/>
              <w:rPr>
                <w:snapToGrid w:val="0"/>
                <w:sz w:val="20"/>
              </w:rPr>
            </w:pPr>
            <w:r w:rsidRPr="004470FD">
              <w:rPr>
                <w:snapToGrid w:val="0"/>
                <w:sz w:val="20"/>
              </w:rPr>
              <w:t>202</w:t>
            </w:r>
            <w:r>
              <w:rPr>
                <w:snapToGrid w:val="0"/>
                <w:sz w:val="20"/>
              </w:rPr>
              <w:t>5</w:t>
            </w:r>
          </w:p>
        </w:tc>
        <w:tc>
          <w:tcPr>
            <w:tcW w:w="1208" w:type="dxa"/>
            <w:tcBorders>
              <w:bottom w:val="single" w:sz="4" w:space="0" w:color="auto"/>
            </w:tcBorders>
          </w:tcPr>
          <w:p w14:paraId="2AB58A40" w14:textId="77777777" w:rsidR="00653859" w:rsidRPr="004470FD" w:rsidRDefault="00653859" w:rsidP="003B3026">
            <w:pPr>
              <w:widowControl w:val="0"/>
              <w:autoSpaceDE w:val="0"/>
              <w:autoSpaceDN w:val="0"/>
              <w:adjustRightInd w:val="0"/>
              <w:jc w:val="center"/>
              <w:rPr>
                <w:snapToGrid w:val="0"/>
                <w:sz w:val="20"/>
              </w:rPr>
            </w:pPr>
            <w:r w:rsidRPr="004470FD">
              <w:rPr>
                <w:snapToGrid w:val="0"/>
                <w:sz w:val="20"/>
              </w:rPr>
              <w:t>Dec. 31,</w:t>
            </w:r>
          </w:p>
          <w:p w14:paraId="118571D3" w14:textId="77777777" w:rsidR="00653859" w:rsidRPr="004470FD" w:rsidRDefault="00653859" w:rsidP="003B3026">
            <w:pPr>
              <w:widowControl w:val="0"/>
              <w:autoSpaceDE w:val="0"/>
              <w:autoSpaceDN w:val="0"/>
              <w:adjustRightInd w:val="0"/>
              <w:jc w:val="center"/>
              <w:rPr>
                <w:snapToGrid w:val="0"/>
                <w:sz w:val="20"/>
              </w:rPr>
            </w:pPr>
            <w:r w:rsidRPr="004470FD">
              <w:rPr>
                <w:snapToGrid w:val="0"/>
                <w:sz w:val="20"/>
              </w:rPr>
              <w:t>202</w:t>
            </w:r>
            <w:r>
              <w:rPr>
                <w:snapToGrid w:val="0"/>
                <w:sz w:val="20"/>
              </w:rPr>
              <w:t>4</w:t>
            </w:r>
          </w:p>
        </w:tc>
      </w:tr>
      <w:tr w:rsidR="00653859" w:rsidRPr="004470FD" w14:paraId="0AF995B8" w14:textId="77777777" w:rsidTr="003B3026">
        <w:trPr>
          <w:trHeight w:val="276"/>
        </w:trPr>
        <w:tc>
          <w:tcPr>
            <w:tcW w:w="1699" w:type="dxa"/>
            <w:gridSpan w:val="2"/>
          </w:tcPr>
          <w:p w14:paraId="24565D7B" w14:textId="77777777" w:rsidR="00653859" w:rsidRPr="004470FD" w:rsidRDefault="00653859" w:rsidP="003B3026">
            <w:pPr>
              <w:widowControl w:val="0"/>
              <w:autoSpaceDE w:val="0"/>
              <w:autoSpaceDN w:val="0"/>
              <w:adjustRightInd w:val="0"/>
              <w:rPr>
                <w:snapToGrid w:val="0"/>
                <w:sz w:val="20"/>
              </w:rPr>
            </w:pPr>
            <w:r w:rsidRPr="004470FD">
              <w:rPr>
                <w:snapToGrid w:val="0"/>
                <w:sz w:val="20"/>
              </w:rPr>
              <w:t>Assets:</w:t>
            </w:r>
          </w:p>
        </w:tc>
        <w:tc>
          <w:tcPr>
            <w:tcW w:w="2921" w:type="dxa"/>
          </w:tcPr>
          <w:p w14:paraId="204CF906"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43FA1DA4"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6D4FFAD6"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3056D0EA"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D996D83" w14:textId="77777777" w:rsidR="00653859" w:rsidRPr="004470FD" w:rsidRDefault="00653859" w:rsidP="003B3026">
            <w:pPr>
              <w:widowControl w:val="0"/>
              <w:autoSpaceDE w:val="0"/>
              <w:autoSpaceDN w:val="0"/>
              <w:adjustRightInd w:val="0"/>
              <w:jc w:val="right"/>
              <w:rPr>
                <w:snapToGrid w:val="0"/>
                <w:sz w:val="20"/>
              </w:rPr>
            </w:pPr>
          </w:p>
        </w:tc>
        <w:tc>
          <w:tcPr>
            <w:tcW w:w="1208" w:type="dxa"/>
            <w:tcBorders>
              <w:top w:val="single" w:sz="4" w:space="0" w:color="auto"/>
            </w:tcBorders>
          </w:tcPr>
          <w:p w14:paraId="520AFF86" w14:textId="77777777" w:rsidR="00653859" w:rsidRPr="004470FD" w:rsidRDefault="00653859" w:rsidP="003B3026">
            <w:pPr>
              <w:widowControl w:val="0"/>
              <w:autoSpaceDE w:val="0"/>
              <w:autoSpaceDN w:val="0"/>
              <w:adjustRightInd w:val="0"/>
              <w:jc w:val="right"/>
              <w:rPr>
                <w:snapToGrid w:val="0"/>
                <w:sz w:val="20"/>
              </w:rPr>
            </w:pPr>
          </w:p>
        </w:tc>
      </w:tr>
      <w:tr w:rsidR="00653859" w:rsidRPr="004470FD" w14:paraId="71A315F3" w14:textId="77777777" w:rsidTr="003B3026">
        <w:trPr>
          <w:trHeight w:val="276"/>
        </w:trPr>
        <w:tc>
          <w:tcPr>
            <w:tcW w:w="237" w:type="dxa"/>
          </w:tcPr>
          <w:p w14:paraId="23F165BF" w14:textId="77777777" w:rsidR="00653859" w:rsidRPr="004470FD" w:rsidRDefault="00653859" w:rsidP="003B3026">
            <w:pPr>
              <w:widowControl w:val="0"/>
              <w:autoSpaceDE w:val="0"/>
              <w:autoSpaceDN w:val="0"/>
              <w:adjustRightInd w:val="0"/>
              <w:jc w:val="right"/>
              <w:rPr>
                <w:snapToGrid w:val="0"/>
                <w:sz w:val="20"/>
              </w:rPr>
            </w:pPr>
            <w:bookmarkStart w:id="2" w:name="_Hlk69717749"/>
          </w:p>
        </w:tc>
        <w:tc>
          <w:tcPr>
            <w:tcW w:w="4383" w:type="dxa"/>
            <w:gridSpan w:val="2"/>
          </w:tcPr>
          <w:p w14:paraId="7ED9292C" w14:textId="77777777" w:rsidR="00653859" w:rsidRPr="004470FD" w:rsidRDefault="00653859" w:rsidP="003B3026">
            <w:pPr>
              <w:widowControl w:val="0"/>
              <w:autoSpaceDE w:val="0"/>
              <w:autoSpaceDN w:val="0"/>
              <w:adjustRightInd w:val="0"/>
              <w:rPr>
                <w:snapToGrid w:val="0"/>
                <w:sz w:val="20"/>
              </w:rPr>
            </w:pPr>
            <w:r w:rsidRPr="004470FD">
              <w:rPr>
                <w:snapToGrid w:val="0"/>
                <w:sz w:val="20"/>
              </w:rPr>
              <w:t>Cash and cash equivalents</w:t>
            </w:r>
          </w:p>
        </w:tc>
        <w:tc>
          <w:tcPr>
            <w:tcW w:w="478" w:type="dxa"/>
          </w:tcPr>
          <w:p w14:paraId="6C0D868D"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5DEFBBF1" w14:textId="77777777" w:rsidR="00653859" w:rsidRPr="004470FD" w:rsidRDefault="00653859" w:rsidP="003B3026">
            <w:pPr>
              <w:widowControl w:val="0"/>
              <w:tabs>
                <w:tab w:val="left" w:pos="150"/>
                <w:tab w:val="decimal" w:pos="960"/>
              </w:tabs>
              <w:autoSpaceDE w:val="0"/>
              <w:autoSpaceDN w:val="0"/>
              <w:adjustRightInd w:val="0"/>
              <w:rPr>
                <w:snapToGrid w:val="0"/>
                <w:sz w:val="20"/>
              </w:rPr>
            </w:pPr>
          </w:p>
        </w:tc>
        <w:tc>
          <w:tcPr>
            <w:tcW w:w="1208" w:type="dxa"/>
          </w:tcPr>
          <w:p w14:paraId="5109FBF8" w14:textId="77777777" w:rsidR="00653859" w:rsidRPr="004470FD" w:rsidRDefault="00653859" w:rsidP="003B3026">
            <w:pPr>
              <w:widowControl w:val="0"/>
              <w:tabs>
                <w:tab w:val="left" w:pos="180"/>
                <w:tab w:val="decimal" w:pos="910"/>
              </w:tabs>
              <w:autoSpaceDE w:val="0"/>
              <w:autoSpaceDN w:val="0"/>
              <w:adjustRightInd w:val="0"/>
              <w:rPr>
                <w:snapToGrid w:val="0"/>
                <w:sz w:val="20"/>
              </w:rPr>
            </w:pPr>
          </w:p>
        </w:tc>
        <w:tc>
          <w:tcPr>
            <w:tcW w:w="1208" w:type="dxa"/>
          </w:tcPr>
          <w:p w14:paraId="071436C2" w14:textId="77777777" w:rsidR="00653859" w:rsidRPr="004470FD" w:rsidRDefault="00653859" w:rsidP="003B3026">
            <w:pPr>
              <w:widowControl w:val="0"/>
              <w:tabs>
                <w:tab w:val="left" w:pos="165"/>
                <w:tab w:val="decimal" w:pos="960"/>
              </w:tabs>
              <w:autoSpaceDE w:val="0"/>
              <w:autoSpaceDN w:val="0"/>
              <w:adjustRightInd w:val="0"/>
              <w:rPr>
                <w:snapToGrid w:val="0"/>
                <w:sz w:val="20"/>
              </w:rPr>
            </w:pPr>
            <w:r w:rsidRPr="004470FD">
              <w:rPr>
                <w:snapToGrid w:val="0"/>
                <w:sz w:val="20"/>
              </w:rPr>
              <w:t>$</w:t>
            </w:r>
            <w:r w:rsidRPr="004470FD">
              <w:rPr>
                <w:snapToGrid w:val="0"/>
                <w:sz w:val="20"/>
              </w:rPr>
              <w:tab/>
            </w:r>
            <w:r w:rsidRPr="004470FD">
              <w:rPr>
                <w:snapToGrid w:val="0"/>
                <w:sz w:val="20"/>
              </w:rPr>
              <w:tab/>
            </w:r>
            <w:r>
              <w:rPr>
                <w:snapToGrid w:val="0"/>
                <w:sz w:val="20"/>
              </w:rPr>
              <w:t>7,439</w:t>
            </w:r>
          </w:p>
        </w:tc>
        <w:tc>
          <w:tcPr>
            <w:tcW w:w="1208" w:type="dxa"/>
          </w:tcPr>
          <w:p w14:paraId="2D8565E7" w14:textId="77777777" w:rsidR="00653859" w:rsidRPr="004470FD" w:rsidRDefault="00653859" w:rsidP="003B3026">
            <w:pPr>
              <w:widowControl w:val="0"/>
              <w:tabs>
                <w:tab w:val="left" w:pos="150"/>
                <w:tab w:val="decimal" w:pos="1005"/>
              </w:tabs>
              <w:autoSpaceDE w:val="0"/>
              <w:autoSpaceDN w:val="0"/>
              <w:adjustRightInd w:val="0"/>
              <w:rPr>
                <w:snapToGrid w:val="0"/>
                <w:sz w:val="20"/>
              </w:rPr>
            </w:pPr>
            <w:r w:rsidRPr="004470FD">
              <w:rPr>
                <w:snapToGrid w:val="0"/>
                <w:sz w:val="20"/>
              </w:rPr>
              <w:t>$</w:t>
            </w:r>
            <w:r w:rsidRPr="004470FD">
              <w:rPr>
                <w:snapToGrid w:val="0"/>
                <w:sz w:val="20"/>
              </w:rPr>
              <w:tab/>
            </w:r>
            <w:r w:rsidRPr="004470FD">
              <w:rPr>
                <w:snapToGrid w:val="0"/>
                <w:sz w:val="20"/>
              </w:rPr>
              <w:tab/>
            </w:r>
            <w:r>
              <w:rPr>
                <w:snapToGrid w:val="0"/>
                <w:sz w:val="20"/>
              </w:rPr>
              <w:t>5,507</w:t>
            </w:r>
          </w:p>
        </w:tc>
      </w:tr>
      <w:tr w:rsidR="00653859" w:rsidRPr="004470FD" w14:paraId="54C8D79C" w14:textId="77777777" w:rsidTr="003B3026">
        <w:trPr>
          <w:trHeight w:val="276"/>
        </w:trPr>
        <w:tc>
          <w:tcPr>
            <w:tcW w:w="237" w:type="dxa"/>
          </w:tcPr>
          <w:p w14:paraId="188DEC9D" w14:textId="77777777" w:rsidR="00653859" w:rsidRPr="004470FD" w:rsidRDefault="00653859" w:rsidP="003B3026">
            <w:pPr>
              <w:widowControl w:val="0"/>
              <w:autoSpaceDE w:val="0"/>
              <w:autoSpaceDN w:val="0"/>
              <w:adjustRightInd w:val="0"/>
              <w:jc w:val="right"/>
              <w:rPr>
                <w:snapToGrid w:val="0"/>
                <w:sz w:val="20"/>
              </w:rPr>
            </w:pPr>
            <w:bookmarkStart w:id="3" w:name="_Hlk69717696"/>
            <w:bookmarkEnd w:id="2"/>
          </w:p>
        </w:tc>
        <w:tc>
          <w:tcPr>
            <w:tcW w:w="4383" w:type="dxa"/>
            <w:gridSpan w:val="2"/>
          </w:tcPr>
          <w:p w14:paraId="17BAF4B7" w14:textId="77777777" w:rsidR="00653859" w:rsidRPr="004470FD" w:rsidRDefault="00653859" w:rsidP="003B3026">
            <w:pPr>
              <w:widowControl w:val="0"/>
              <w:autoSpaceDE w:val="0"/>
              <w:autoSpaceDN w:val="0"/>
              <w:adjustRightInd w:val="0"/>
              <w:rPr>
                <w:snapToGrid w:val="0"/>
                <w:sz w:val="20"/>
              </w:rPr>
            </w:pPr>
            <w:r w:rsidRPr="004470FD">
              <w:rPr>
                <w:snapToGrid w:val="0"/>
                <w:sz w:val="20"/>
              </w:rPr>
              <w:t>Other current assets</w:t>
            </w:r>
          </w:p>
        </w:tc>
        <w:tc>
          <w:tcPr>
            <w:tcW w:w="478" w:type="dxa"/>
          </w:tcPr>
          <w:p w14:paraId="7A4AD45D"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23C1E35B" w14:textId="77777777" w:rsidR="00653859" w:rsidRPr="004470FD" w:rsidRDefault="00653859" w:rsidP="003B3026">
            <w:pPr>
              <w:widowControl w:val="0"/>
              <w:autoSpaceDE w:val="0"/>
              <w:autoSpaceDN w:val="0"/>
              <w:adjustRightInd w:val="0"/>
              <w:rPr>
                <w:snapToGrid w:val="0"/>
                <w:sz w:val="20"/>
              </w:rPr>
            </w:pPr>
          </w:p>
        </w:tc>
        <w:tc>
          <w:tcPr>
            <w:tcW w:w="1208" w:type="dxa"/>
          </w:tcPr>
          <w:p w14:paraId="603BDF5E" w14:textId="77777777" w:rsidR="00653859" w:rsidRPr="004470FD" w:rsidRDefault="00653859" w:rsidP="003B3026">
            <w:pPr>
              <w:widowControl w:val="0"/>
              <w:autoSpaceDE w:val="0"/>
              <w:autoSpaceDN w:val="0"/>
              <w:adjustRightInd w:val="0"/>
              <w:rPr>
                <w:snapToGrid w:val="0"/>
                <w:sz w:val="20"/>
              </w:rPr>
            </w:pPr>
          </w:p>
        </w:tc>
        <w:tc>
          <w:tcPr>
            <w:tcW w:w="1208" w:type="dxa"/>
            <w:tcBorders>
              <w:bottom w:val="single" w:sz="4" w:space="0" w:color="auto"/>
            </w:tcBorders>
          </w:tcPr>
          <w:p w14:paraId="73F4F3A9" w14:textId="77777777" w:rsidR="00653859" w:rsidRPr="004470FD" w:rsidRDefault="00653859" w:rsidP="003B3026">
            <w:pPr>
              <w:widowControl w:val="0"/>
              <w:tabs>
                <w:tab w:val="decimal" w:pos="960"/>
              </w:tabs>
              <w:autoSpaceDE w:val="0"/>
              <w:autoSpaceDN w:val="0"/>
              <w:adjustRightInd w:val="0"/>
              <w:rPr>
                <w:snapToGrid w:val="0"/>
                <w:sz w:val="20"/>
              </w:rPr>
            </w:pPr>
            <w:r>
              <w:rPr>
                <w:snapToGrid w:val="0"/>
                <w:sz w:val="20"/>
              </w:rPr>
              <w:t>3,173</w:t>
            </w:r>
          </w:p>
        </w:tc>
        <w:tc>
          <w:tcPr>
            <w:tcW w:w="1208" w:type="dxa"/>
            <w:tcBorders>
              <w:bottom w:val="single" w:sz="4" w:space="0" w:color="auto"/>
            </w:tcBorders>
          </w:tcPr>
          <w:p w14:paraId="1734846C" w14:textId="77777777" w:rsidR="00653859" w:rsidRPr="004470FD" w:rsidRDefault="00653859" w:rsidP="003B3026">
            <w:pPr>
              <w:widowControl w:val="0"/>
              <w:tabs>
                <w:tab w:val="decimal" w:pos="1005"/>
              </w:tabs>
              <w:autoSpaceDE w:val="0"/>
              <w:autoSpaceDN w:val="0"/>
              <w:adjustRightInd w:val="0"/>
              <w:rPr>
                <w:snapToGrid w:val="0"/>
                <w:sz w:val="20"/>
              </w:rPr>
            </w:pPr>
            <w:r>
              <w:rPr>
                <w:snapToGrid w:val="0"/>
                <w:sz w:val="20"/>
              </w:rPr>
              <w:t>2,428</w:t>
            </w:r>
          </w:p>
        </w:tc>
      </w:tr>
      <w:bookmarkEnd w:id="3"/>
      <w:tr w:rsidR="00653859" w:rsidRPr="004470FD" w14:paraId="09242276" w14:textId="77777777" w:rsidTr="003B3026">
        <w:trPr>
          <w:trHeight w:val="276"/>
        </w:trPr>
        <w:tc>
          <w:tcPr>
            <w:tcW w:w="237" w:type="dxa"/>
          </w:tcPr>
          <w:p w14:paraId="3804543D"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19207677" w14:textId="77777777" w:rsidR="00653859" w:rsidRPr="004470FD" w:rsidRDefault="00653859" w:rsidP="003B3026">
            <w:pPr>
              <w:widowControl w:val="0"/>
              <w:autoSpaceDE w:val="0"/>
              <w:autoSpaceDN w:val="0"/>
              <w:adjustRightInd w:val="0"/>
              <w:rPr>
                <w:snapToGrid w:val="0"/>
                <w:sz w:val="20"/>
              </w:rPr>
            </w:pPr>
            <w:r w:rsidRPr="004470FD">
              <w:rPr>
                <w:snapToGrid w:val="0"/>
                <w:sz w:val="20"/>
              </w:rPr>
              <w:t>Total current assets</w:t>
            </w:r>
          </w:p>
        </w:tc>
        <w:tc>
          <w:tcPr>
            <w:tcW w:w="478" w:type="dxa"/>
          </w:tcPr>
          <w:p w14:paraId="0D6D5F97"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37F8EBB6"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6377865F" w14:textId="77777777" w:rsidR="00653859" w:rsidRPr="004470FD" w:rsidRDefault="00653859" w:rsidP="003B3026">
            <w:pPr>
              <w:widowControl w:val="0"/>
              <w:autoSpaceDE w:val="0"/>
              <w:autoSpaceDN w:val="0"/>
              <w:adjustRightInd w:val="0"/>
              <w:jc w:val="right"/>
              <w:rPr>
                <w:snapToGrid w:val="0"/>
                <w:sz w:val="20"/>
              </w:rPr>
            </w:pPr>
          </w:p>
        </w:tc>
        <w:tc>
          <w:tcPr>
            <w:tcW w:w="1208" w:type="dxa"/>
            <w:tcBorders>
              <w:top w:val="single" w:sz="4" w:space="0" w:color="auto"/>
            </w:tcBorders>
          </w:tcPr>
          <w:p w14:paraId="7B6AE1DF" w14:textId="77777777" w:rsidR="00653859" w:rsidRPr="004470FD" w:rsidRDefault="00653859" w:rsidP="003B3026">
            <w:pPr>
              <w:widowControl w:val="0"/>
              <w:tabs>
                <w:tab w:val="left" w:pos="150"/>
                <w:tab w:val="decimal" w:pos="960"/>
              </w:tabs>
              <w:autoSpaceDE w:val="0"/>
              <w:autoSpaceDN w:val="0"/>
              <w:adjustRightInd w:val="0"/>
              <w:rPr>
                <w:snapToGrid w:val="0"/>
                <w:sz w:val="20"/>
              </w:rPr>
            </w:pPr>
            <w:r w:rsidRPr="004470FD">
              <w:rPr>
                <w:snapToGrid w:val="0"/>
                <w:sz w:val="20"/>
              </w:rPr>
              <w:tab/>
            </w:r>
            <w:r w:rsidRPr="004470FD">
              <w:rPr>
                <w:snapToGrid w:val="0"/>
                <w:sz w:val="20"/>
              </w:rPr>
              <w:tab/>
            </w:r>
            <w:r>
              <w:rPr>
                <w:snapToGrid w:val="0"/>
                <w:sz w:val="20"/>
              </w:rPr>
              <w:t>10,612</w:t>
            </w:r>
          </w:p>
        </w:tc>
        <w:tc>
          <w:tcPr>
            <w:tcW w:w="1208" w:type="dxa"/>
            <w:tcBorders>
              <w:top w:val="single" w:sz="4" w:space="0" w:color="auto"/>
            </w:tcBorders>
          </w:tcPr>
          <w:p w14:paraId="4E680F6A" w14:textId="77777777" w:rsidR="00653859" w:rsidRPr="004470FD" w:rsidRDefault="00653859" w:rsidP="003B3026">
            <w:pPr>
              <w:widowControl w:val="0"/>
              <w:tabs>
                <w:tab w:val="left" w:pos="195"/>
                <w:tab w:val="decimal" w:pos="1005"/>
              </w:tabs>
              <w:autoSpaceDE w:val="0"/>
              <w:autoSpaceDN w:val="0"/>
              <w:adjustRightInd w:val="0"/>
              <w:rPr>
                <w:snapToGrid w:val="0"/>
                <w:sz w:val="20"/>
              </w:rPr>
            </w:pPr>
            <w:r w:rsidRPr="004470FD">
              <w:rPr>
                <w:snapToGrid w:val="0"/>
                <w:sz w:val="20"/>
              </w:rPr>
              <w:tab/>
            </w:r>
            <w:r w:rsidRPr="004470FD">
              <w:rPr>
                <w:snapToGrid w:val="0"/>
                <w:sz w:val="20"/>
              </w:rPr>
              <w:tab/>
            </w:r>
            <w:r>
              <w:rPr>
                <w:snapToGrid w:val="0"/>
                <w:sz w:val="20"/>
              </w:rPr>
              <w:t>7,935</w:t>
            </w:r>
          </w:p>
        </w:tc>
      </w:tr>
      <w:tr w:rsidR="00653859" w:rsidRPr="004470FD" w14:paraId="14463E2C" w14:textId="77777777" w:rsidTr="003B3026">
        <w:trPr>
          <w:trHeight w:val="276"/>
        </w:trPr>
        <w:tc>
          <w:tcPr>
            <w:tcW w:w="237" w:type="dxa"/>
          </w:tcPr>
          <w:p w14:paraId="4A4AD13F"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334A498F" w14:textId="77777777" w:rsidR="00653859" w:rsidRPr="004470FD" w:rsidRDefault="00653859" w:rsidP="003B3026">
            <w:pPr>
              <w:widowControl w:val="0"/>
              <w:autoSpaceDE w:val="0"/>
              <w:autoSpaceDN w:val="0"/>
              <w:adjustRightInd w:val="0"/>
              <w:rPr>
                <w:snapToGrid w:val="0"/>
                <w:sz w:val="20"/>
              </w:rPr>
            </w:pPr>
            <w:r w:rsidRPr="004470FD">
              <w:rPr>
                <w:snapToGrid w:val="0"/>
                <w:sz w:val="20"/>
              </w:rPr>
              <w:t>Property and other assets, net</w:t>
            </w:r>
          </w:p>
        </w:tc>
        <w:tc>
          <w:tcPr>
            <w:tcW w:w="478" w:type="dxa"/>
          </w:tcPr>
          <w:p w14:paraId="43F4CD76"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217B11E5" w14:textId="77777777" w:rsidR="00653859" w:rsidRPr="004470FD" w:rsidRDefault="00653859" w:rsidP="003B3026">
            <w:pPr>
              <w:widowControl w:val="0"/>
              <w:autoSpaceDE w:val="0"/>
              <w:autoSpaceDN w:val="0"/>
              <w:adjustRightInd w:val="0"/>
              <w:rPr>
                <w:snapToGrid w:val="0"/>
                <w:sz w:val="20"/>
              </w:rPr>
            </w:pPr>
          </w:p>
        </w:tc>
        <w:tc>
          <w:tcPr>
            <w:tcW w:w="1208" w:type="dxa"/>
          </w:tcPr>
          <w:p w14:paraId="096A327F" w14:textId="77777777" w:rsidR="00653859" w:rsidRPr="004470FD" w:rsidRDefault="00653859" w:rsidP="003B3026">
            <w:pPr>
              <w:widowControl w:val="0"/>
              <w:autoSpaceDE w:val="0"/>
              <w:autoSpaceDN w:val="0"/>
              <w:adjustRightInd w:val="0"/>
              <w:rPr>
                <w:snapToGrid w:val="0"/>
                <w:sz w:val="20"/>
              </w:rPr>
            </w:pPr>
          </w:p>
        </w:tc>
        <w:tc>
          <w:tcPr>
            <w:tcW w:w="1208" w:type="dxa"/>
            <w:tcBorders>
              <w:bottom w:val="single" w:sz="4" w:space="0" w:color="auto"/>
            </w:tcBorders>
          </w:tcPr>
          <w:p w14:paraId="4A1FDD5F" w14:textId="77777777" w:rsidR="00653859" w:rsidRPr="004470FD" w:rsidRDefault="00653859" w:rsidP="003B3026">
            <w:pPr>
              <w:widowControl w:val="0"/>
              <w:tabs>
                <w:tab w:val="decimal" w:pos="960"/>
              </w:tabs>
              <w:autoSpaceDE w:val="0"/>
              <w:autoSpaceDN w:val="0"/>
              <w:adjustRightInd w:val="0"/>
              <w:rPr>
                <w:snapToGrid w:val="0"/>
                <w:sz w:val="20"/>
              </w:rPr>
            </w:pPr>
            <w:r>
              <w:rPr>
                <w:snapToGrid w:val="0"/>
                <w:sz w:val="20"/>
              </w:rPr>
              <w:t>221</w:t>
            </w:r>
          </w:p>
        </w:tc>
        <w:tc>
          <w:tcPr>
            <w:tcW w:w="1208" w:type="dxa"/>
            <w:tcBorders>
              <w:bottom w:val="single" w:sz="4" w:space="0" w:color="auto"/>
            </w:tcBorders>
          </w:tcPr>
          <w:p w14:paraId="437C57EF" w14:textId="77777777" w:rsidR="00653859" w:rsidRPr="004470FD" w:rsidRDefault="00653859" w:rsidP="003B3026">
            <w:pPr>
              <w:widowControl w:val="0"/>
              <w:tabs>
                <w:tab w:val="decimal" w:pos="1005"/>
              </w:tabs>
              <w:autoSpaceDE w:val="0"/>
              <w:autoSpaceDN w:val="0"/>
              <w:adjustRightInd w:val="0"/>
              <w:rPr>
                <w:snapToGrid w:val="0"/>
                <w:sz w:val="20"/>
              </w:rPr>
            </w:pPr>
            <w:r>
              <w:rPr>
                <w:snapToGrid w:val="0"/>
                <w:sz w:val="20"/>
              </w:rPr>
              <w:t>221</w:t>
            </w:r>
          </w:p>
        </w:tc>
      </w:tr>
      <w:tr w:rsidR="00653859" w:rsidRPr="004470FD" w14:paraId="42D7206D" w14:textId="77777777" w:rsidTr="003B3026">
        <w:trPr>
          <w:trHeight w:val="276"/>
        </w:trPr>
        <w:tc>
          <w:tcPr>
            <w:tcW w:w="237" w:type="dxa"/>
          </w:tcPr>
          <w:p w14:paraId="65CBE95C"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5AC46448" w14:textId="77777777" w:rsidR="00653859" w:rsidRPr="004470FD" w:rsidRDefault="00653859" w:rsidP="003B3026">
            <w:pPr>
              <w:widowControl w:val="0"/>
              <w:autoSpaceDE w:val="0"/>
              <w:autoSpaceDN w:val="0"/>
              <w:adjustRightInd w:val="0"/>
              <w:rPr>
                <w:snapToGrid w:val="0"/>
                <w:sz w:val="20"/>
              </w:rPr>
            </w:pPr>
            <w:r w:rsidRPr="004470FD">
              <w:rPr>
                <w:snapToGrid w:val="0"/>
                <w:sz w:val="20"/>
              </w:rPr>
              <w:t>Total assets</w:t>
            </w:r>
          </w:p>
        </w:tc>
        <w:tc>
          <w:tcPr>
            <w:tcW w:w="478" w:type="dxa"/>
          </w:tcPr>
          <w:p w14:paraId="3B4813A5"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57267396" w14:textId="77777777" w:rsidR="00653859" w:rsidRPr="004470FD" w:rsidRDefault="00653859" w:rsidP="003B3026">
            <w:pPr>
              <w:widowControl w:val="0"/>
              <w:tabs>
                <w:tab w:val="left" w:pos="150"/>
                <w:tab w:val="decimal" w:pos="960"/>
              </w:tabs>
              <w:autoSpaceDE w:val="0"/>
              <w:autoSpaceDN w:val="0"/>
              <w:adjustRightInd w:val="0"/>
              <w:rPr>
                <w:snapToGrid w:val="0"/>
                <w:sz w:val="20"/>
              </w:rPr>
            </w:pPr>
          </w:p>
        </w:tc>
        <w:tc>
          <w:tcPr>
            <w:tcW w:w="1208" w:type="dxa"/>
          </w:tcPr>
          <w:p w14:paraId="792D28BD" w14:textId="77777777" w:rsidR="00653859" w:rsidRPr="004470FD" w:rsidRDefault="00653859" w:rsidP="003B3026">
            <w:pPr>
              <w:widowControl w:val="0"/>
              <w:tabs>
                <w:tab w:val="left" w:pos="180"/>
                <w:tab w:val="decimal" w:pos="910"/>
              </w:tabs>
              <w:autoSpaceDE w:val="0"/>
              <w:autoSpaceDN w:val="0"/>
              <w:adjustRightInd w:val="0"/>
              <w:rPr>
                <w:snapToGrid w:val="0"/>
                <w:sz w:val="20"/>
              </w:rPr>
            </w:pPr>
          </w:p>
        </w:tc>
        <w:tc>
          <w:tcPr>
            <w:tcW w:w="1208" w:type="dxa"/>
          </w:tcPr>
          <w:p w14:paraId="5480E667" w14:textId="77777777" w:rsidR="00653859" w:rsidRPr="004470FD" w:rsidRDefault="00653859" w:rsidP="003B3026">
            <w:pPr>
              <w:widowControl w:val="0"/>
              <w:tabs>
                <w:tab w:val="left" w:pos="165"/>
                <w:tab w:val="decimal" w:pos="960"/>
              </w:tabs>
              <w:autoSpaceDE w:val="0"/>
              <w:autoSpaceDN w:val="0"/>
              <w:adjustRightInd w:val="0"/>
              <w:rPr>
                <w:snapToGrid w:val="0"/>
                <w:sz w:val="20"/>
              </w:rPr>
            </w:pPr>
            <w:r w:rsidRPr="004470FD">
              <w:rPr>
                <w:snapToGrid w:val="0"/>
                <w:sz w:val="20"/>
              </w:rPr>
              <w:t>$</w:t>
            </w:r>
            <w:r w:rsidRPr="004470FD">
              <w:rPr>
                <w:snapToGrid w:val="0"/>
                <w:sz w:val="20"/>
              </w:rPr>
              <w:tab/>
            </w:r>
            <w:r w:rsidRPr="004470FD">
              <w:rPr>
                <w:snapToGrid w:val="0"/>
                <w:sz w:val="20"/>
              </w:rPr>
              <w:tab/>
            </w:r>
            <w:r>
              <w:rPr>
                <w:snapToGrid w:val="0"/>
                <w:sz w:val="20"/>
              </w:rPr>
              <w:t>10,833</w:t>
            </w:r>
          </w:p>
        </w:tc>
        <w:tc>
          <w:tcPr>
            <w:tcW w:w="1208" w:type="dxa"/>
          </w:tcPr>
          <w:p w14:paraId="7013CE1D" w14:textId="77777777" w:rsidR="00653859" w:rsidRPr="004470FD" w:rsidRDefault="00653859" w:rsidP="003B3026">
            <w:pPr>
              <w:widowControl w:val="0"/>
              <w:tabs>
                <w:tab w:val="left" w:pos="150"/>
                <w:tab w:val="decimal" w:pos="1005"/>
              </w:tabs>
              <w:autoSpaceDE w:val="0"/>
              <w:autoSpaceDN w:val="0"/>
              <w:adjustRightInd w:val="0"/>
              <w:rPr>
                <w:snapToGrid w:val="0"/>
                <w:sz w:val="20"/>
              </w:rPr>
            </w:pPr>
            <w:r w:rsidRPr="004470FD">
              <w:rPr>
                <w:snapToGrid w:val="0"/>
                <w:sz w:val="20"/>
              </w:rPr>
              <w:t>$</w:t>
            </w:r>
            <w:r w:rsidRPr="004470FD">
              <w:rPr>
                <w:snapToGrid w:val="0"/>
                <w:sz w:val="20"/>
              </w:rPr>
              <w:tab/>
            </w:r>
            <w:r w:rsidRPr="004470FD">
              <w:rPr>
                <w:snapToGrid w:val="0"/>
                <w:sz w:val="20"/>
              </w:rPr>
              <w:tab/>
            </w:r>
            <w:r>
              <w:rPr>
                <w:snapToGrid w:val="0"/>
                <w:sz w:val="20"/>
              </w:rPr>
              <w:t>8,156</w:t>
            </w:r>
          </w:p>
        </w:tc>
      </w:tr>
      <w:tr w:rsidR="00653859" w:rsidRPr="004470FD" w14:paraId="44AA2F59" w14:textId="77777777" w:rsidTr="003B3026">
        <w:trPr>
          <w:trHeight w:val="276"/>
        </w:trPr>
        <w:tc>
          <w:tcPr>
            <w:tcW w:w="237" w:type="dxa"/>
          </w:tcPr>
          <w:p w14:paraId="5203D308" w14:textId="77777777" w:rsidR="00653859" w:rsidRPr="004470FD" w:rsidRDefault="00653859" w:rsidP="003B3026">
            <w:pPr>
              <w:widowControl w:val="0"/>
              <w:autoSpaceDE w:val="0"/>
              <w:autoSpaceDN w:val="0"/>
              <w:adjustRightInd w:val="0"/>
              <w:jc w:val="right"/>
              <w:rPr>
                <w:snapToGrid w:val="0"/>
                <w:sz w:val="20"/>
              </w:rPr>
            </w:pPr>
          </w:p>
        </w:tc>
        <w:tc>
          <w:tcPr>
            <w:tcW w:w="1462" w:type="dxa"/>
          </w:tcPr>
          <w:p w14:paraId="77C3C726" w14:textId="77777777" w:rsidR="00653859" w:rsidRPr="004470FD" w:rsidRDefault="00653859" w:rsidP="003B3026">
            <w:pPr>
              <w:widowControl w:val="0"/>
              <w:autoSpaceDE w:val="0"/>
              <w:autoSpaceDN w:val="0"/>
              <w:adjustRightInd w:val="0"/>
              <w:jc w:val="right"/>
              <w:rPr>
                <w:snapToGrid w:val="0"/>
                <w:sz w:val="20"/>
              </w:rPr>
            </w:pPr>
          </w:p>
        </w:tc>
        <w:tc>
          <w:tcPr>
            <w:tcW w:w="2921" w:type="dxa"/>
          </w:tcPr>
          <w:p w14:paraId="2CBBF691" w14:textId="77777777" w:rsidR="00653859" w:rsidRPr="004470FD" w:rsidRDefault="00653859" w:rsidP="003B3026">
            <w:pPr>
              <w:widowControl w:val="0"/>
              <w:autoSpaceDE w:val="0"/>
              <w:autoSpaceDN w:val="0"/>
              <w:adjustRightInd w:val="0"/>
              <w:jc w:val="right"/>
              <w:rPr>
                <w:snapToGrid w:val="0"/>
                <w:sz w:val="20"/>
              </w:rPr>
            </w:pPr>
          </w:p>
        </w:tc>
        <w:tc>
          <w:tcPr>
            <w:tcW w:w="478" w:type="dxa"/>
          </w:tcPr>
          <w:p w14:paraId="41EED298"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211FAB9"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6CC3519" w14:textId="77777777" w:rsidR="00653859" w:rsidRPr="004470FD" w:rsidRDefault="00653859" w:rsidP="003B3026">
            <w:pPr>
              <w:widowControl w:val="0"/>
              <w:autoSpaceDE w:val="0"/>
              <w:autoSpaceDN w:val="0"/>
              <w:adjustRightInd w:val="0"/>
              <w:jc w:val="right"/>
              <w:rPr>
                <w:snapToGrid w:val="0"/>
                <w:sz w:val="20"/>
              </w:rPr>
            </w:pPr>
          </w:p>
        </w:tc>
        <w:tc>
          <w:tcPr>
            <w:tcW w:w="1208" w:type="dxa"/>
            <w:tcBorders>
              <w:top w:val="double" w:sz="4" w:space="0" w:color="auto"/>
            </w:tcBorders>
          </w:tcPr>
          <w:p w14:paraId="631DA1CD" w14:textId="77777777" w:rsidR="00653859" w:rsidRPr="004470FD" w:rsidRDefault="00653859" w:rsidP="003B3026">
            <w:pPr>
              <w:widowControl w:val="0"/>
              <w:autoSpaceDE w:val="0"/>
              <w:autoSpaceDN w:val="0"/>
              <w:adjustRightInd w:val="0"/>
              <w:jc w:val="right"/>
              <w:rPr>
                <w:snapToGrid w:val="0"/>
                <w:sz w:val="20"/>
              </w:rPr>
            </w:pPr>
          </w:p>
        </w:tc>
        <w:tc>
          <w:tcPr>
            <w:tcW w:w="1208" w:type="dxa"/>
            <w:tcBorders>
              <w:top w:val="double" w:sz="4" w:space="0" w:color="auto"/>
            </w:tcBorders>
          </w:tcPr>
          <w:p w14:paraId="02D51C45" w14:textId="77777777" w:rsidR="00653859" w:rsidRPr="004470FD" w:rsidRDefault="00653859" w:rsidP="003B3026">
            <w:pPr>
              <w:widowControl w:val="0"/>
              <w:autoSpaceDE w:val="0"/>
              <w:autoSpaceDN w:val="0"/>
              <w:adjustRightInd w:val="0"/>
              <w:jc w:val="right"/>
              <w:rPr>
                <w:snapToGrid w:val="0"/>
                <w:sz w:val="20"/>
              </w:rPr>
            </w:pPr>
          </w:p>
        </w:tc>
      </w:tr>
      <w:tr w:rsidR="00653859" w:rsidRPr="004470FD" w14:paraId="3B493FAC" w14:textId="77777777" w:rsidTr="003B3026">
        <w:trPr>
          <w:trHeight w:val="276"/>
        </w:trPr>
        <w:tc>
          <w:tcPr>
            <w:tcW w:w="4620" w:type="dxa"/>
            <w:gridSpan w:val="3"/>
          </w:tcPr>
          <w:p w14:paraId="4FE75096" w14:textId="77777777" w:rsidR="00653859" w:rsidRPr="004470FD" w:rsidRDefault="00653859" w:rsidP="003B3026">
            <w:pPr>
              <w:widowControl w:val="0"/>
              <w:autoSpaceDE w:val="0"/>
              <w:autoSpaceDN w:val="0"/>
              <w:adjustRightInd w:val="0"/>
              <w:rPr>
                <w:snapToGrid w:val="0"/>
                <w:sz w:val="20"/>
              </w:rPr>
            </w:pPr>
            <w:r w:rsidRPr="004470FD">
              <w:rPr>
                <w:snapToGrid w:val="0"/>
                <w:sz w:val="20"/>
              </w:rPr>
              <w:t>Liabilities and stockholders’ equity</w:t>
            </w:r>
          </w:p>
        </w:tc>
        <w:tc>
          <w:tcPr>
            <w:tcW w:w="478" w:type="dxa"/>
          </w:tcPr>
          <w:p w14:paraId="780B6082"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67824925"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C3CFC44"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1AA67ECB"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05AED2B" w14:textId="77777777" w:rsidR="00653859" w:rsidRPr="004470FD" w:rsidRDefault="00653859" w:rsidP="003B3026">
            <w:pPr>
              <w:widowControl w:val="0"/>
              <w:autoSpaceDE w:val="0"/>
              <w:autoSpaceDN w:val="0"/>
              <w:adjustRightInd w:val="0"/>
              <w:jc w:val="right"/>
              <w:rPr>
                <w:snapToGrid w:val="0"/>
                <w:sz w:val="20"/>
              </w:rPr>
            </w:pPr>
          </w:p>
        </w:tc>
      </w:tr>
      <w:tr w:rsidR="00653859" w:rsidRPr="004470FD" w14:paraId="705FED05" w14:textId="77777777" w:rsidTr="003B3026">
        <w:trPr>
          <w:trHeight w:val="276"/>
        </w:trPr>
        <w:tc>
          <w:tcPr>
            <w:tcW w:w="237" w:type="dxa"/>
          </w:tcPr>
          <w:p w14:paraId="041C740B"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529C8198" w14:textId="77777777" w:rsidR="00653859" w:rsidRPr="004470FD" w:rsidRDefault="00653859" w:rsidP="003B3026">
            <w:pPr>
              <w:widowControl w:val="0"/>
              <w:autoSpaceDE w:val="0"/>
              <w:autoSpaceDN w:val="0"/>
              <w:adjustRightInd w:val="0"/>
              <w:rPr>
                <w:snapToGrid w:val="0"/>
                <w:sz w:val="20"/>
              </w:rPr>
            </w:pPr>
            <w:r w:rsidRPr="004470FD">
              <w:rPr>
                <w:snapToGrid w:val="0"/>
                <w:sz w:val="20"/>
              </w:rPr>
              <w:t>Total liabilities</w:t>
            </w:r>
          </w:p>
        </w:tc>
        <w:tc>
          <w:tcPr>
            <w:tcW w:w="478" w:type="dxa"/>
          </w:tcPr>
          <w:p w14:paraId="59247584"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66BD25DD"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162721F"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38C0B2C7" w14:textId="77777777" w:rsidR="00653859" w:rsidRPr="004470FD" w:rsidRDefault="00653859" w:rsidP="003B3026">
            <w:pPr>
              <w:widowControl w:val="0"/>
              <w:tabs>
                <w:tab w:val="left" w:pos="150"/>
                <w:tab w:val="decimal" w:pos="960"/>
              </w:tabs>
              <w:autoSpaceDE w:val="0"/>
              <w:autoSpaceDN w:val="0"/>
              <w:adjustRightInd w:val="0"/>
              <w:rPr>
                <w:snapToGrid w:val="0"/>
                <w:sz w:val="20"/>
              </w:rPr>
            </w:pPr>
            <w:r w:rsidRPr="004470FD">
              <w:rPr>
                <w:snapToGrid w:val="0"/>
                <w:sz w:val="20"/>
              </w:rPr>
              <w:t>$</w:t>
            </w:r>
            <w:r w:rsidRPr="004470FD">
              <w:rPr>
                <w:snapToGrid w:val="0"/>
                <w:sz w:val="20"/>
              </w:rPr>
              <w:tab/>
            </w:r>
            <w:r w:rsidRPr="004470FD">
              <w:rPr>
                <w:snapToGrid w:val="0"/>
                <w:sz w:val="20"/>
              </w:rPr>
              <w:tab/>
            </w:r>
            <w:r>
              <w:rPr>
                <w:snapToGrid w:val="0"/>
                <w:sz w:val="20"/>
              </w:rPr>
              <w:t>2,935</w:t>
            </w:r>
          </w:p>
        </w:tc>
        <w:tc>
          <w:tcPr>
            <w:tcW w:w="1208" w:type="dxa"/>
          </w:tcPr>
          <w:p w14:paraId="539759E1" w14:textId="77777777" w:rsidR="00653859" w:rsidRPr="004470FD" w:rsidRDefault="00653859" w:rsidP="003B3026">
            <w:pPr>
              <w:widowControl w:val="0"/>
              <w:tabs>
                <w:tab w:val="left" w:pos="165"/>
                <w:tab w:val="decimal" w:pos="1005"/>
              </w:tabs>
              <w:autoSpaceDE w:val="0"/>
              <w:autoSpaceDN w:val="0"/>
              <w:adjustRightInd w:val="0"/>
              <w:rPr>
                <w:snapToGrid w:val="0"/>
                <w:sz w:val="20"/>
              </w:rPr>
            </w:pPr>
            <w:r w:rsidRPr="004470FD">
              <w:rPr>
                <w:snapToGrid w:val="0"/>
                <w:sz w:val="20"/>
              </w:rPr>
              <w:t>$</w:t>
            </w:r>
            <w:r w:rsidRPr="004470FD">
              <w:rPr>
                <w:snapToGrid w:val="0"/>
                <w:sz w:val="20"/>
              </w:rPr>
              <w:tab/>
            </w:r>
            <w:r w:rsidRPr="004470FD">
              <w:rPr>
                <w:snapToGrid w:val="0"/>
                <w:sz w:val="20"/>
              </w:rPr>
              <w:tab/>
            </w:r>
            <w:r>
              <w:rPr>
                <w:snapToGrid w:val="0"/>
                <w:sz w:val="20"/>
              </w:rPr>
              <w:t>3,107</w:t>
            </w:r>
          </w:p>
        </w:tc>
      </w:tr>
      <w:tr w:rsidR="00653859" w:rsidRPr="004470FD" w14:paraId="4993B9FC" w14:textId="77777777" w:rsidTr="003B3026">
        <w:trPr>
          <w:trHeight w:val="276"/>
        </w:trPr>
        <w:tc>
          <w:tcPr>
            <w:tcW w:w="237" w:type="dxa"/>
          </w:tcPr>
          <w:p w14:paraId="2B14C251"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566F6DAC" w14:textId="77777777" w:rsidR="00653859" w:rsidRPr="004470FD" w:rsidRDefault="00653859" w:rsidP="003B3026">
            <w:pPr>
              <w:widowControl w:val="0"/>
              <w:autoSpaceDE w:val="0"/>
              <w:autoSpaceDN w:val="0"/>
              <w:adjustRightInd w:val="0"/>
              <w:rPr>
                <w:snapToGrid w:val="0"/>
                <w:sz w:val="20"/>
              </w:rPr>
            </w:pPr>
            <w:r w:rsidRPr="004470FD">
              <w:rPr>
                <w:snapToGrid w:val="0"/>
                <w:sz w:val="20"/>
              </w:rPr>
              <w:t>Stockholders’ equity</w:t>
            </w:r>
          </w:p>
        </w:tc>
        <w:tc>
          <w:tcPr>
            <w:tcW w:w="478" w:type="dxa"/>
          </w:tcPr>
          <w:p w14:paraId="0BCF4DEF"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2AED7343"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726B95F9" w14:textId="77777777" w:rsidR="00653859" w:rsidRPr="004470FD" w:rsidRDefault="00653859" w:rsidP="003B3026">
            <w:pPr>
              <w:widowControl w:val="0"/>
              <w:autoSpaceDE w:val="0"/>
              <w:autoSpaceDN w:val="0"/>
              <w:adjustRightInd w:val="0"/>
              <w:jc w:val="right"/>
              <w:rPr>
                <w:snapToGrid w:val="0"/>
                <w:sz w:val="20"/>
              </w:rPr>
            </w:pPr>
          </w:p>
        </w:tc>
        <w:tc>
          <w:tcPr>
            <w:tcW w:w="1208" w:type="dxa"/>
            <w:tcBorders>
              <w:bottom w:val="single" w:sz="4" w:space="0" w:color="auto"/>
            </w:tcBorders>
          </w:tcPr>
          <w:p w14:paraId="246559FC" w14:textId="77777777" w:rsidR="00653859" w:rsidRPr="004470FD" w:rsidRDefault="00653859" w:rsidP="003B3026">
            <w:pPr>
              <w:widowControl w:val="0"/>
              <w:tabs>
                <w:tab w:val="decimal" w:pos="960"/>
              </w:tabs>
              <w:autoSpaceDE w:val="0"/>
              <w:autoSpaceDN w:val="0"/>
              <w:adjustRightInd w:val="0"/>
              <w:rPr>
                <w:snapToGrid w:val="0"/>
                <w:sz w:val="20"/>
              </w:rPr>
            </w:pPr>
            <w:r>
              <w:rPr>
                <w:snapToGrid w:val="0"/>
                <w:sz w:val="20"/>
              </w:rPr>
              <w:t>7,898</w:t>
            </w:r>
          </w:p>
        </w:tc>
        <w:tc>
          <w:tcPr>
            <w:tcW w:w="1208" w:type="dxa"/>
            <w:tcBorders>
              <w:bottom w:val="single" w:sz="4" w:space="0" w:color="auto"/>
            </w:tcBorders>
          </w:tcPr>
          <w:p w14:paraId="5F39DB02" w14:textId="77777777" w:rsidR="00653859" w:rsidRPr="004470FD" w:rsidRDefault="00653859" w:rsidP="003B3026">
            <w:pPr>
              <w:widowControl w:val="0"/>
              <w:tabs>
                <w:tab w:val="decimal" w:pos="1005"/>
              </w:tabs>
              <w:autoSpaceDE w:val="0"/>
              <w:autoSpaceDN w:val="0"/>
              <w:adjustRightInd w:val="0"/>
              <w:rPr>
                <w:snapToGrid w:val="0"/>
                <w:sz w:val="20"/>
              </w:rPr>
            </w:pPr>
            <w:r>
              <w:rPr>
                <w:snapToGrid w:val="0"/>
                <w:sz w:val="20"/>
              </w:rPr>
              <w:t>5,049</w:t>
            </w:r>
          </w:p>
        </w:tc>
      </w:tr>
      <w:tr w:rsidR="00653859" w:rsidRPr="004470FD" w14:paraId="1CE2DC85" w14:textId="77777777" w:rsidTr="003B3026">
        <w:trPr>
          <w:trHeight w:val="276"/>
        </w:trPr>
        <w:tc>
          <w:tcPr>
            <w:tcW w:w="237" w:type="dxa"/>
          </w:tcPr>
          <w:p w14:paraId="4352E5B8" w14:textId="77777777" w:rsidR="00653859" w:rsidRPr="004470FD" w:rsidRDefault="00653859" w:rsidP="003B3026">
            <w:pPr>
              <w:widowControl w:val="0"/>
              <w:autoSpaceDE w:val="0"/>
              <w:autoSpaceDN w:val="0"/>
              <w:adjustRightInd w:val="0"/>
              <w:jc w:val="right"/>
              <w:rPr>
                <w:snapToGrid w:val="0"/>
                <w:sz w:val="20"/>
              </w:rPr>
            </w:pPr>
          </w:p>
        </w:tc>
        <w:tc>
          <w:tcPr>
            <w:tcW w:w="6069" w:type="dxa"/>
            <w:gridSpan w:val="4"/>
          </w:tcPr>
          <w:p w14:paraId="5E439045" w14:textId="77777777" w:rsidR="00653859" w:rsidRPr="004470FD" w:rsidRDefault="00653859" w:rsidP="003B3026">
            <w:pPr>
              <w:widowControl w:val="0"/>
              <w:autoSpaceDE w:val="0"/>
              <w:autoSpaceDN w:val="0"/>
              <w:adjustRightInd w:val="0"/>
              <w:rPr>
                <w:snapToGrid w:val="0"/>
                <w:sz w:val="20"/>
              </w:rPr>
            </w:pPr>
            <w:r w:rsidRPr="004470FD">
              <w:rPr>
                <w:snapToGrid w:val="0"/>
                <w:sz w:val="20"/>
              </w:rPr>
              <w:t>Total liabilities and stockholders’ equity</w:t>
            </w:r>
          </w:p>
        </w:tc>
        <w:tc>
          <w:tcPr>
            <w:tcW w:w="1208" w:type="dxa"/>
          </w:tcPr>
          <w:p w14:paraId="61028B65" w14:textId="77777777" w:rsidR="00653859" w:rsidRPr="004470FD" w:rsidRDefault="00653859" w:rsidP="003B3026">
            <w:pPr>
              <w:widowControl w:val="0"/>
              <w:autoSpaceDE w:val="0"/>
              <w:autoSpaceDN w:val="0"/>
              <w:adjustRightInd w:val="0"/>
              <w:jc w:val="right"/>
              <w:rPr>
                <w:snapToGrid w:val="0"/>
                <w:sz w:val="20"/>
              </w:rPr>
            </w:pPr>
          </w:p>
        </w:tc>
        <w:tc>
          <w:tcPr>
            <w:tcW w:w="1208" w:type="dxa"/>
            <w:tcBorders>
              <w:top w:val="single" w:sz="4" w:space="0" w:color="auto"/>
              <w:bottom w:val="double" w:sz="4" w:space="0" w:color="auto"/>
            </w:tcBorders>
          </w:tcPr>
          <w:p w14:paraId="39AA83D9" w14:textId="77777777" w:rsidR="00653859" w:rsidRPr="004470FD" w:rsidRDefault="00653859" w:rsidP="003B3026">
            <w:pPr>
              <w:widowControl w:val="0"/>
              <w:tabs>
                <w:tab w:val="left" w:pos="165"/>
                <w:tab w:val="decimal" w:pos="960"/>
              </w:tabs>
              <w:autoSpaceDE w:val="0"/>
              <w:autoSpaceDN w:val="0"/>
              <w:adjustRightInd w:val="0"/>
              <w:rPr>
                <w:snapToGrid w:val="0"/>
                <w:sz w:val="20"/>
              </w:rPr>
            </w:pPr>
            <w:r w:rsidRPr="004470FD">
              <w:rPr>
                <w:snapToGrid w:val="0"/>
                <w:sz w:val="20"/>
              </w:rPr>
              <w:t>$</w:t>
            </w:r>
            <w:r w:rsidRPr="004470FD">
              <w:rPr>
                <w:snapToGrid w:val="0"/>
                <w:sz w:val="20"/>
              </w:rPr>
              <w:tab/>
            </w:r>
            <w:r w:rsidRPr="004470FD">
              <w:rPr>
                <w:snapToGrid w:val="0"/>
                <w:sz w:val="20"/>
              </w:rPr>
              <w:tab/>
            </w:r>
            <w:r>
              <w:rPr>
                <w:snapToGrid w:val="0"/>
                <w:sz w:val="20"/>
              </w:rPr>
              <w:t>10,833</w:t>
            </w:r>
          </w:p>
        </w:tc>
        <w:tc>
          <w:tcPr>
            <w:tcW w:w="1208" w:type="dxa"/>
            <w:tcBorders>
              <w:top w:val="single" w:sz="4" w:space="0" w:color="auto"/>
              <w:bottom w:val="double" w:sz="4" w:space="0" w:color="auto"/>
            </w:tcBorders>
          </w:tcPr>
          <w:p w14:paraId="5D90F3B9" w14:textId="77777777" w:rsidR="00653859" w:rsidRPr="004470FD" w:rsidRDefault="00653859" w:rsidP="003B3026">
            <w:pPr>
              <w:widowControl w:val="0"/>
              <w:tabs>
                <w:tab w:val="left" w:pos="105"/>
                <w:tab w:val="decimal" w:pos="1005"/>
              </w:tabs>
              <w:autoSpaceDE w:val="0"/>
              <w:autoSpaceDN w:val="0"/>
              <w:adjustRightInd w:val="0"/>
              <w:rPr>
                <w:snapToGrid w:val="0"/>
                <w:sz w:val="20"/>
              </w:rPr>
            </w:pPr>
            <w:r w:rsidRPr="004470FD">
              <w:rPr>
                <w:snapToGrid w:val="0"/>
                <w:sz w:val="20"/>
              </w:rPr>
              <w:t>$</w:t>
            </w:r>
            <w:r w:rsidRPr="004470FD">
              <w:rPr>
                <w:snapToGrid w:val="0"/>
                <w:sz w:val="20"/>
              </w:rPr>
              <w:tab/>
            </w:r>
            <w:r w:rsidRPr="004470FD">
              <w:rPr>
                <w:snapToGrid w:val="0"/>
                <w:sz w:val="20"/>
              </w:rPr>
              <w:tab/>
            </w:r>
            <w:r>
              <w:rPr>
                <w:snapToGrid w:val="0"/>
                <w:sz w:val="20"/>
              </w:rPr>
              <w:t>8,156</w:t>
            </w:r>
          </w:p>
        </w:tc>
      </w:tr>
      <w:tr w:rsidR="00653859" w:rsidRPr="004470FD" w14:paraId="66D5A54C" w14:textId="77777777" w:rsidTr="003B3026">
        <w:trPr>
          <w:trHeight w:val="276"/>
        </w:trPr>
        <w:tc>
          <w:tcPr>
            <w:tcW w:w="237" w:type="dxa"/>
          </w:tcPr>
          <w:p w14:paraId="4632ABC3"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20F442B1" w14:textId="77777777" w:rsidR="00653859" w:rsidRPr="004470FD" w:rsidRDefault="00653859" w:rsidP="003B3026">
            <w:pPr>
              <w:widowControl w:val="0"/>
              <w:autoSpaceDE w:val="0"/>
              <w:autoSpaceDN w:val="0"/>
              <w:adjustRightInd w:val="0"/>
              <w:rPr>
                <w:snapToGrid w:val="0"/>
                <w:sz w:val="20"/>
              </w:rPr>
            </w:pPr>
          </w:p>
        </w:tc>
        <w:tc>
          <w:tcPr>
            <w:tcW w:w="478" w:type="dxa"/>
          </w:tcPr>
          <w:p w14:paraId="55AF3486"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3D7EE9AC"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48D74207"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050CD885"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58DB0EDA" w14:textId="77777777" w:rsidR="00653859" w:rsidRPr="004470FD" w:rsidRDefault="00653859" w:rsidP="003B3026">
            <w:pPr>
              <w:widowControl w:val="0"/>
              <w:autoSpaceDE w:val="0"/>
              <w:autoSpaceDN w:val="0"/>
              <w:adjustRightInd w:val="0"/>
              <w:jc w:val="right"/>
              <w:rPr>
                <w:snapToGrid w:val="0"/>
                <w:sz w:val="20"/>
              </w:rPr>
            </w:pPr>
          </w:p>
        </w:tc>
      </w:tr>
      <w:tr w:rsidR="00653859" w:rsidRPr="004470FD" w14:paraId="5C08D763" w14:textId="77777777" w:rsidTr="003B3026">
        <w:trPr>
          <w:trHeight w:val="276"/>
        </w:trPr>
        <w:tc>
          <w:tcPr>
            <w:tcW w:w="237" w:type="dxa"/>
          </w:tcPr>
          <w:p w14:paraId="2D33483A" w14:textId="77777777" w:rsidR="00653859" w:rsidRPr="004470FD" w:rsidRDefault="00653859" w:rsidP="003B3026">
            <w:pPr>
              <w:widowControl w:val="0"/>
              <w:autoSpaceDE w:val="0"/>
              <w:autoSpaceDN w:val="0"/>
              <w:adjustRightInd w:val="0"/>
              <w:jc w:val="right"/>
              <w:rPr>
                <w:snapToGrid w:val="0"/>
                <w:sz w:val="20"/>
              </w:rPr>
            </w:pPr>
          </w:p>
        </w:tc>
        <w:tc>
          <w:tcPr>
            <w:tcW w:w="4383" w:type="dxa"/>
            <w:gridSpan w:val="2"/>
          </w:tcPr>
          <w:p w14:paraId="236696F7" w14:textId="77777777" w:rsidR="00653859" w:rsidRPr="004470FD" w:rsidRDefault="00653859" w:rsidP="003B3026">
            <w:pPr>
              <w:widowControl w:val="0"/>
              <w:autoSpaceDE w:val="0"/>
              <w:autoSpaceDN w:val="0"/>
              <w:adjustRightInd w:val="0"/>
              <w:rPr>
                <w:snapToGrid w:val="0"/>
                <w:sz w:val="20"/>
              </w:rPr>
            </w:pPr>
            <w:r w:rsidRPr="004470FD">
              <w:rPr>
                <w:snapToGrid w:val="0"/>
                <w:sz w:val="20"/>
              </w:rPr>
              <w:t>Common shares outstanding</w:t>
            </w:r>
          </w:p>
        </w:tc>
        <w:tc>
          <w:tcPr>
            <w:tcW w:w="478" w:type="dxa"/>
          </w:tcPr>
          <w:p w14:paraId="31BA368E"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4FCBC199"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56CEE685" w14:textId="77777777" w:rsidR="00653859" w:rsidRPr="004470FD" w:rsidRDefault="00653859" w:rsidP="003B3026">
            <w:pPr>
              <w:widowControl w:val="0"/>
              <w:autoSpaceDE w:val="0"/>
              <w:autoSpaceDN w:val="0"/>
              <w:adjustRightInd w:val="0"/>
              <w:jc w:val="right"/>
              <w:rPr>
                <w:snapToGrid w:val="0"/>
                <w:sz w:val="20"/>
              </w:rPr>
            </w:pPr>
          </w:p>
        </w:tc>
        <w:tc>
          <w:tcPr>
            <w:tcW w:w="1208" w:type="dxa"/>
          </w:tcPr>
          <w:p w14:paraId="5A6E5149" w14:textId="77777777" w:rsidR="00653859" w:rsidRPr="004470FD" w:rsidRDefault="00653859" w:rsidP="003B3026">
            <w:pPr>
              <w:widowControl w:val="0"/>
              <w:tabs>
                <w:tab w:val="left" w:pos="150"/>
                <w:tab w:val="decimal" w:pos="960"/>
              </w:tabs>
              <w:autoSpaceDE w:val="0"/>
              <w:autoSpaceDN w:val="0"/>
              <w:adjustRightInd w:val="0"/>
              <w:rPr>
                <w:snapToGrid w:val="0"/>
                <w:sz w:val="20"/>
              </w:rPr>
            </w:pPr>
            <w:r w:rsidRPr="004470FD">
              <w:rPr>
                <w:snapToGrid w:val="0"/>
                <w:sz w:val="20"/>
              </w:rPr>
              <w:tab/>
            </w:r>
            <w:r w:rsidRPr="004470FD">
              <w:rPr>
                <w:snapToGrid w:val="0"/>
                <w:sz w:val="20"/>
              </w:rPr>
              <w:tab/>
            </w:r>
            <w:r>
              <w:rPr>
                <w:snapToGrid w:val="0"/>
                <w:sz w:val="20"/>
              </w:rPr>
              <w:t>13,839,478</w:t>
            </w:r>
          </w:p>
        </w:tc>
        <w:tc>
          <w:tcPr>
            <w:tcW w:w="1208" w:type="dxa"/>
          </w:tcPr>
          <w:p w14:paraId="5531369C" w14:textId="77777777" w:rsidR="00653859" w:rsidRPr="004470FD" w:rsidRDefault="00653859" w:rsidP="003B3026">
            <w:pPr>
              <w:widowControl w:val="0"/>
              <w:tabs>
                <w:tab w:val="left" w:pos="165"/>
                <w:tab w:val="decimal" w:pos="1005"/>
              </w:tabs>
              <w:autoSpaceDE w:val="0"/>
              <w:autoSpaceDN w:val="0"/>
              <w:adjustRightInd w:val="0"/>
              <w:rPr>
                <w:snapToGrid w:val="0"/>
                <w:sz w:val="20"/>
              </w:rPr>
            </w:pPr>
            <w:r w:rsidRPr="004470FD">
              <w:rPr>
                <w:snapToGrid w:val="0"/>
                <w:sz w:val="20"/>
              </w:rPr>
              <w:tab/>
            </w:r>
            <w:r w:rsidRPr="004470FD">
              <w:rPr>
                <w:snapToGrid w:val="0"/>
                <w:sz w:val="20"/>
              </w:rPr>
              <w:tab/>
            </w:r>
            <w:r>
              <w:rPr>
                <w:snapToGrid w:val="0"/>
                <w:sz w:val="20"/>
              </w:rPr>
              <w:t>10,536,875</w:t>
            </w:r>
          </w:p>
        </w:tc>
      </w:tr>
    </w:tbl>
    <w:p w14:paraId="5A3BCD33" w14:textId="77777777" w:rsidR="00653859" w:rsidRPr="004470FD" w:rsidRDefault="00653859" w:rsidP="00653859">
      <w:pPr>
        <w:widowControl w:val="0"/>
        <w:autoSpaceDE w:val="0"/>
        <w:autoSpaceDN w:val="0"/>
        <w:adjustRightInd w:val="0"/>
        <w:jc w:val="both"/>
        <w:rPr>
          <w:sz w:val="20"/>
        </w:rPr>
      </w:pPr>
    </w:p>
    <w:p w14:paraId="433C0E5F" w14:textId="77777777" w:rsidR="00653859" w:rsidRPr="004470FD" w:rsidRDefault="00653859" w:rsidP="00653859">
      <w:pPr>
        <w:widowControl w:val="0"/>
        <w:autoSpaceDE w:val="0"/>
        <w:autoSpaceDN w:val="0"/>
        <w:adjustRightInd w:val="0"/>
        <w:jc w:val="both"/>
        <w:rPr>
          <w:sz w:val="20"/>
        </w:rPr>
      </w:pPr>
    </w:p>
    <w:p w14:paraId="72001B1D" w14:textId="77777777" w:rsidR="00653859" w:rsidRPr="004470FD" w:rsidRDefault="00653859" w:rsidP="00653859">
      <w:pPr>
        <w:widowControl w:val="0"/>
        <w:autoSpaceDE w:val="0"/>
        <w:autoSpaceDN w:val="0"/>
        <w:adjustRightInd w:val="0"/>
        <w:jc w:val="both"/>
        <w:rPr>
          <w:sz w:val="20"/>
        </w:rPr>
      </w:pPr>
    </w:p>
    <w:p w14:paraId="091D281E" w14:textId="77777777" w:rsidR="00653859" w:rsidRPr="00B44A16" w:rsidRDefault="00653859" w:rsidP="00653859">
      <w:pPr>
        <w:widowControl w:val="0"/>
        <w:shd w:val="clear" w:color="auto" w:fill="FFFFFF"/>
        <w:autoSpaceDE w:val="0"/>
        <w:autoSpaceDN w:val="0"/>
        <w:adjustRightInd w:val="0"/>
        <w:spacing w:after="120"/>
        <w:jc w:val="both"/>
        <w:rPr>
          <w:color w:val="000000" w:themeColor="text1"/>
          <w:sz w:val="20"/>
        </w:rPr>
      </w:pPr>
    </w:p>
    <w:p w14:paraId="2B519A86" w14:textId="41E6C8CD" w:rsidR="004B3179" w:rsidRPr="008D7E3A" w:rsidRDefault="004B3179" w:rsidP="008D7E3A"/>
    <w:sectPr w:rsidR="004B3179" w:rsidRPr="008D7E3A" w:rsidSect="00653859">
      <w:headerReference w:type="first" r:id="rId20"/>
      <w:footerReference w:type="first" r:id="rId21"/>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742C8" w14:textId="77777777" w:rsidR="00573EBF" w:rsidRDefault="00573EBF" w:rsidP="004422FB">
      <w:r>
        <w:separator/>
      </w:r>
    </w:p>
  </w:endnote>
  <w:endnote w:type="continuationSeparator" w:id="0">
    <w:p w14:paraId="249D3642" w14:textId="77777777" w:rsidR="00573EBF" w:rsidRDefault="00573EBF"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69B8" w14:textId="59CDDF1F" w:rsidR="00653859" w:rsidRDefault="00653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69B8" w14:textId="59CDDF1F" w:rsidR="00653859" w:rsidRPr="00AA6838" w:rsidRDefault="00653859"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B223" w14:textId="77777777" w:rsidR="00653859" w:rsidRPr="00AA6838" w:rsidRDefault="00653859" w:rsidP="00AA6838">
    <w:pPr>
      <w:pStyle w:val="Footer"/>
      <w:jc w:val="center"/>
      <w:rPr>
        <w:b/>
      </w:rPr>
    </w:pPr>
    <w:r>
      <w:rPr>
        <w:b/>
      </w:rPr>
      <w:t>###</w:t>
    </w:r>
  </w:p>
  <w:p w14:paraId="6CAAD0F0" w14:textId="77777777" w:rsidR="00653859" w:rsidRDefault="00653859"/>
  <w:p w14:paraId="6FCB7723" w14:textId="77777777" w:rsidR="00653859" w:rsidRDefault="00653859">
    <w:pPr>
      <w:pStyle w:val="Header"/>
    </w:pPr>
  </w:p>
  <w:p w14:paraId="1157C91F" w14:textId="77777777" w:rsidR="00653859" w:rsidRDefault="00653859"/>
  <w:p w14:paraId="39EBDC5B" w14:textId="77777777" w:rsidR="00653859" w:rsidRDefault="00653859" w:rsidP="00A7489D">
    <w:pPr>
      <w:pStyle w:val="Footer"/>
      <w:jc w:val="center"/>
    </w:pPr>
    <w:r>
      <w:fldChar w:fldCharType="begin"/>
    </w:r>
    <w:r>
      <w:instrText xml:space="preserve"> PAGE   \* MERGEFORMAT </w:instrText>
    </w:r>
    <w:r>
      <w:fldChar w:fldCharType="separate"/>
    </w:r>
    <w:r>
      <w:rPr>
        <w:noProof/>
      </w:rPr>
      <w:t>3</w:t>
    </w:r>
    <w:r>
      <w:rPr>
        <w:noProof/>
      </w:rPr>
      <w:fldChar w:fldCharType="end"/>
    </w:r>
  </w:p>
  <w:p w14:paraId="28715BA3" w14:textId="77777777" w:rsidR="00653859" w:rsidRDefault="00653859" w:rsidP="004422FB">
    <w:pPr>
      <w:pStyle w:val="Footer"/>
    </w:pPr>
  </w:p>
  <w:p w14:paraId="1FD5481F" w14:textId="77777777" w:rsidR="00653859" w:rsidRDefault="00653859" w:rsidP="008A5F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84B6" w14:textId="77777777" w:rsidR="00653859" w:rsidRDefault="00653859"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DB26A" w14:textId="77777777" w:rsidR="00573EBF" w:rsidRDefault="00573EBF" w:rsidP="004422FB">
      <w:r>
        <w:separator/>
      </w:r>
    </w:p>
  </w:footnote>
  <w:footnote w:type="continuationSeparator" w:id="0">
    <w:p w14:paraId="28A4607B" w14:textId="77777777" w:rsidR="00573EBF" w:rsidRDefault="00573EBF"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1FEF" w14:textId="77777777" w:rsidR="00653859" w:rsidRDefault="00653859">
    <w:pPr>
      <w:pStyle w:val="Header"/>
    </w:pPr>
    <w:r w:rsidRPr="004F39CB">
      <w:rPr>
        <w:noProof/>
      </w:rPr>
      <w:drawing>
        <wp:inline distT="0" distB="0" distL="0" distR="0" wp14:anchorId="701E7A6D" wp14:editId="5C4B8F86">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8120" w14:textId="77777777" w:rsidR="00653859" w:rsidRPr="00472920" w:rsidRDefault="00653859"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AA42C87"/>
    <w:multiLevelType w:val="multilevel"/>
    <w:tmpl w:val="C6E6E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0"/>
  </w:num>
  <w:num w:numId="2" w16cid:durableId="1845196331">
    <w:abstractNumId w:val="2"/>
  </w:num>
  <w:num w:numId="3" w16cid:durableId="30521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34407"/>
    <w:rsid w:val="000520F7"/>
    <w:rsid w:val="000871C8"/>
    <w:rsid w:val="00087359"/>
    <w:rsid w:val="00096511"/>
    <w:rsid w:val="000D522C"/>
    <w:rsid w:val="000E6508"/>
    <w:rsid w:val="00134BBC"/>
    <w:rsid w:val="00144D4F"/>
    <w:rsid w:val="00153CF3"/>
    <w:rsid w:val="00172B54"/>
    <w:rsid w:val="00177EF1"/>
    <w:rsid w:val="00186A50"/>
    <w:rsid w:val="001A687F"/>
    <w:rsid w:val="001D3520"/>
    <w:rsid w:val="002049D0"/>
    <w:rsid w:val="00220F69"/>
    <w:rsid w:val="00241DEF"/>
    <w:rsid w:val="00246139"/>
    <w:rsid w:val="00277674"/>
    <w:rsid w:val="00296BF7"/>
    <w:rsid w:val="002E7A44"/>
    <w:rsid w:val="002F020C"/>
    <w:rsid w:val="002F47BC"/>
    <w:rsid w:val="00304DE8"/>
    <w:rsid w:val="0036369E"/>
    <w:rsid w:val="003643C1"/>
    <w:rsid w:val="00376DEC"/>
    <w:rsid w:val="00387407"/>
    <w:rsid w:val="003B3474"/>
    <w:rsid w:val="003B670F"/>
    <w:rsid w:val="003F3DEB"/>
    <w:rsid w:val="00401F33"/>
    <w:rsid w:val="00404B0F"/>
    <w:rsid w:val="00414E31"/>
    <w:rsid w:val="004422FB"/>
    <w:rsid w:val="004433D8"/>
    <w:rsid w:val="00443A0F"/>
    <w:rsid w:val="004562CE"/>
    <w:rsid w:val="004641B9"/>
    <w:rsid w:val="00486CCB"/>
    <w:rsid w:val="00494777"/>
    <w:rsid w:val="004B3179"/>
    <w:rsid w:val="004C2859"/>
    <w:rsid w:val="004D4E0A"/>
    <w:rsid w:val="004F2672"/>
    <w:rsid w:val="004F383B"/>
    <w:rsid w:val="00552D47"/>
    <w:rsid w:val="00573EBF"/>
    <w:rsid w:val="00583D37"/>
    <w:rsid w:val="005A1F60"/>
    <w:rsid w:val="006131D7"/>
    <w:rsid w:val="00652DCC"/>
    <w:rsid w:val="00653859"/>
    <w:rsid w:val="00677F25"/>
    <w:rsid w:val="00691E45"/>
    <w:rsid w:val="006959EC"/>
    <w:rsid w:val="006A30B4"/>
    <w:rsid w:val="006B4011"/>
    <w:rsid w:val="006C4831"/>
    <w:rsid w:val="006E696F"/>
    <w:rsid w:val="006E7AA3"/>
    <w:rsid w:val="007150B5"/>
    <w:rsid w:val="00716A75"/>
    <w:rsid w:val="007305BB"/>
    <w:rsid w:val="00734084"/>
    <w:rsid w:val="00766EB9"/>
    <w:rsid w:val="007B1C14"/>
    <w:rsid w:val="007B5113"/>
    <w:rsid w:val="007C095B"/>
    <w:rsid w:val="007E3D57"/>
    <w:rsid w:val="007F16D7"/>
    <w:rsid w:val="00833F99"/>
    <w:rsid w:val="00846F5B"/>
    <w:rsid w:val="0089446A"/>
    <w:rsid w:val="00894597"/>
    <w:rsid w:val="008A3A73"/>
    <w:rsid w:val="008A45B8"/>
    <w:rsid w:val="008A5F28"/>
    <w:rsid w:val="008B7616"/>
    <w:rsid w:val="008D7E3A"/>
    <w:rsid w:val="008E4E77"/>
    <w:rsid w:val="00903941"/>
    <w:rsid w:val="00922B4A"/>
    <w:rsid w:val="00922FCF"/>
    <w:rsid w:val="0095070C"/>
    <w:rsid w:val="00995863"/>
    <w:rsid w:val="009B15B2"/>
    <w:rsid w:val="009B2328"/>
    <w:rsid w:val="009D0542"/>
    <w:rsid w:val="009F16FD"/>
    <w:rsid w:val="009F32C7"/>
    <w:rsid w:val="009F7B30"/>
    <w:rsid w:val="00A213F5"/>
    <w:rsid w:val="00A30573"/>
    <w:rsid w:val="00A7343F"/>
    <w:rsid w:val="00A7489D"/>
    <w:rsid w:val="00A7711D"/>
    <w:rsid w:val="00AA2DDC"/>
    <w:rsid w:val="00AA3D35"/>
    <w:rsid w:val="00B02C57"/>
    <w:rsid w:val="00B2632B"/>
    <w:rsid w:val="00B44E7B"/>
    <w:rsid w:val="00B4616E"/>
    <w:rsid w:val="00B4673C"/>
    <w:rsid w:val="00B502FF"/>
    <w:rsid w:val="00B51502"/>
    <w:rsid w:val="00B61191"/>
    <w:rsid w:val="00B66B45"/>
    <w:rsid w:val="00BB7014"/>
    <w:rsid w:val="00BC0F2B"/>
    <w:rsid w:val="00BC6263"/>
    <w:rsid w:val="00BC6551"/>
    <w:rsid w:val="00BF415F"/>
    <w:rsid w:val="00C36B57"/>
    <w:rsid w:val="00C528BC"/>
    <w:rsid w:val="00C53991"/>
    <w:rsid w:val="00C77462"/>
    <w:rsid w:val="00C815CE"/>
    <w:rsid w:val="00C936D4"/>
    <w:rsid w:val="00CB1EAA"/>
    <w:rsid w:val="00CB3D5C"/>
    <w:rsid w:val="00CC52F4"/>
    <w:rsid w:val="00CD55C2"/>
    <w:rsid w:val="00CE3919"/>
    <w:rsid w:val="00CE3B4D"/>
    <w:rsid w:val="00D03053"/>
    <w:rsid w:val="00D128D7"/>
    <w:rsid w:val="00D17971"/>
    <w:rsid w:val="00D46FAD"/>
    <w:rsid w:val="00D60567"/>
    <w:rsid w:val="00D74319"/>
    <w:rsid w:val="00D93377"/>
    <w:rsid w:val="00D95C48"/>
    <w:rsid w:val="00DA73E9"/>
    <w:rsid w:val="00DE728B"/>
    <w:rsid w:val="00E115D3"/>
    <w:rsid w:val="00E633E7"/>
    <w:rsid w:val="00EB5CF9"/>
    <w:rsid w:val="00EC3F8A"/>
    <w:rsid w:val="00EC69D0"/>
    <w:rsid w:val="00F073F4"/>
    <w:rsid w:val="00F100FC"/>
    <w:rsid w:val="00F13A9C"/>
    <w:rsid w:val="00F228DB"/>
    <w:rsid w:val="00F27385"/>
    <w:rsid w:val="00F404C4"/>
    <w:rsid w:val="00F470EC"/>
    <w:rsid w:val="00F53643"/>
    <w:rsid w:val="00F65C64"/>
    <w:rsid w:val="00F737D0"/>
    <w:rsid w:val="00F958BB"/>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22FB"/>
    <w:pPr>
      <w:tabs>
        <w:tab w:val="center" w:pos="4680"/>
        <w:tab w:val="right" w:pos="9360"/>
      </w:tabs>
    </w:pPr>
  </w:style>
  <w:style w:type="character" w:customStyle="1" w:styleId="HeaderChar">
    <w:name w:val="Header Char"/>
    <w:basedOn w:val="DefaultParagraphFont"/>
    <w:link w:val="Header"/>
    <w:rsid w:val="004422FB"/>
    <w:rPr>
      <w:sz w:val="24"/>
      <w:szCs w:val="24"/>
    </w:rPr>
  </w:style>
  <w:style w:type="paragraph" w:styleId="Footer">
    <w:name w:val="footer"/>
    <w:basedOn w:val="Normal"/>
    <w:link w:val="FooterChar"/>
    <w:unhideWhenUsed/>
    <w:rsid w:val="004422FB"/>
    <w:pPr>
      <w:tabs>
        <w:tab w:val="center" w:pos="4680"/>
        <w:tab w:val="right" w:pos="9360"/>
      </w:tabs>
    </w:pPr>
  </w:style>
  <w:style w:type="character" w:customStyle="1" w:styleId="FooterChar">
    <w:name w:val="Footer Char"/>
    <w:basedOn w:val="DefaultParagraphFont"/>
    <w:link w:val="Footer"/>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eovax.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nam12.safelinks.protection.outlook.com/?url=https%3A%2F%2Fregister-conf.media-server.com%2Fregister%2FBI4407dda1f5584e75849326fc18273176&amp;data=05%7C02%7CMaximilian.Gadicke%40precisionaq.com%7C9ee6cbab27ca42fbb9f908dd76f6faa1%7Cb71ff3f628164ca8a9b938f820f91ad1%7C0%7C0%7C638797525817579626%7CUnknown%7CTWFpbGZsb3d8eyJFbXB0eU1hcGkiOnRydWUsIlYiOiIwLjAuMDAwMCIsIlAiOiJXaW4zMiIsIkFOIjoiTWFpbCIsIldUIjoyfQ%3D%3D%7C0%7C%7C%7C&amp;sdata=%2Bex4Cl8gAiynFN6UB7qP2yyZFKdOz7pvEHSUkZegUXs%3D&amp;reserved=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ovax.com/investors/" TargetMode="External"/><Relationship Id="rId5" Type="http://schemas.openxmlformats.org/officeDocument/2006/relationships/webSettings" Target="webSettings.xml"/><Relationship Id="rId15" Type="http://schemas.openxmlformats.org/officeDocument/2006/relationships/hyperlink" Target="mailto:geovax@precisionaq.com" TargetMode="External"/><Relationship Id="rId23" Type="http://schemas.openxmlformats.org/officeDocument/2006/relationships/theme" Target="theme/theme1.xml"/><Relationship Id="rId10" Type="http://schemas.openxmlformats.org/officeDocument/2006/relationships/hyperlink" Target="https://edge.media-server.com/mmc/p/2ksjeqjq/"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dpi.com/2076-393X/13/4/411" TargetMode="External"/><Relationship Id="rId14" Type="http://schemas.openxmlformats.org/officeDocument/2006/relationships/hyperlink" Target="mailto:info@geovax.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cp:lastPrinted>2022-05-03T12:55:00Z</cp:lastPrinted>
  <dcterms:created xsi:type="dcterms:W3CDTF">2025-05-01T20:57:00Z</dcterms:created>
  <dcterms:modified xsi:type="dcterms:W3CDTF">2025-05-01T20:57:00Z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