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3E754EF8" w:rsidR="008D7E3A" w:rsidRDefault="008D7E3A" w:rsidP="008D7E3A">
      <w:pPr>
        <w:ind w:left="144" w:right="144"/>
        <w:jc w:val="center"/>
        <w:rPr>
          <w:sz w:val="20"/>
          <w:szCs w:val="20"/>
        </w:rPr>
      </w:pPr>
      <w:r>
        <w:rPr>
          <w:b/>
          <w:bCs/>
          <w:sz w:val="20"/>
          <w:szCs w:val="20"/>
        </w:rPr>
        <w:t>Date of report (Date of earliest event reported):  </w:t>
      </w:r>
      <w:r w:rsidR="00853867">
        <w:rPr>
          <w:b/>
          <w:bCs/>
          <w:sz w:val="20"/>
          <w:szCs w:val="20"/>
        </w:rPr>
        <w:t>July</w:t>
      </w:r>
      <w:r w:rsidR="000850CC">
        <w:rPr>
          <w:b/>
          <w:bCs/>
          <w:sz w:val="20"/>
          <w:szCs w:val="20"/>
        </w:rPr>
        <w:t xml:space="preserve"> </w:t>
      </w:r>
      <w:r w:rsidR="00853867">
        <w:rPr>
          <w:b/>
          <w:bCs/>
          <w:sz w:val="20"/>
          <w:szCs w:val="20"/>
        </w:rPr>
        <w:t>3</w:t>
      </w:r>
      <w:r w:rsidR="00734591">
        <w:rPr>
          <w:b/>
          <w:bCs/>
          <w:sz w:val="20"/>
          <w:szCs w:val="20"/>
        </w:rPr>
        <w:t>1</w:t>
      </w:r>
      <w:r>
        <w:rPr>
          <w:b/>
          <w:bCs/>
          <w:sz w:val="20"/>
          <w:szCs w:val="20"/>
        </w:rPr>
        <w:t>, 202</w:t>
      </w:r>
      <w:r w:rsidR="00853867">
        <w:rPr>
          <w:b/>
          <w:bCs/>
          <w:sz w:val="20"/>
          <w:szCs w:val="20"/>
        </w:rPr>
        <w:t>5</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293A07DD" w:rsidR="00C524E3" w:rsidRPr="00C524E3" w:rsidRDefault="00C524E3" w:rsidP="00C524E3">
      <w:pPr>
        <w:ind w:left="144" w:right="144"/>
        <w:jc w:val="both"/>
        <w:rPr>
          <w:sz w:val="20"/>
          <w:szCs w:val="20"/>
        </w:rPr>
      </w:pPr>
      <w:r w:rsidRPr="00C524E3">
        <w:rPr>
          <w:b/>
          <w:bCs/>
          <w:sz w:val="20"/>
          <w:szCs w:val="20"/>
        </w:rPr>
        <w:t xml:space="preserve">Item </w:t>
      </w:r>
      <w:r w:rsidR="00BD31FD">
        <w:rPr>
          <w:b/>
          <w:bCs/>
          <w:sz w:val="20"/>
          <w:szCs w:val="20"/>
        </w:rPr>
        <w:t>3.01</w:t>
      </w:r>
      <w:r w:rsidR="00B55645">
        <w:rPr>
          <w:b/>
          <w:bCs/>
          <w:sz w:val="20"/>
          <w:szCs w:val="20"/>
        </w:rPr>
        <w:tab/>
      </w:r>
      <w:r w:rsidR="00BD31FD" w:rsidRPr="00BD31FD">
        <w:rPr>
          <w:b/>
          <w:bCs/>
          <w:sz w:val="20"/>
          <w:szCs w:val="20"/>
        </w:rPr>
        <w:t>Notice of Delisting or Failure to Satisfy a Continued Listing Rule or Standard; Transfer of Listing</w:t>
      </w:r>
      <w:r w:rsidRPr="00C524E3">
        <w:rPr>
          <w:b/>
          <w:bCs/>
          <w:sz w:val="20"/>
          <w:szCs w:val="20"/>
        </w:rPr>
        <w:t>.</w:t>
      </w:r>
    </w:p>
    <w:p w14:paraId="193E3A71" w14:textId="324C6DFF" w:rsidR="00DF2B44" w:rsidRDefault="00DF2B44" w:rsidP="00C524E3">
      <w:pPr>
        <w:ind w:left="144" w:right="144"/>
        <w:jc w:val="both"/>
        <w:rPr>
          <w:sz w:val="20"/>
          <w:szCs w:val="20"/>
        </w:rPr>
      </w:pPr>
    </w:p>
    <w:p w14:paraId="56930F02" w14:textId="3F0DDC8A" w:rsidR="00F04F9F" w:rsidRDefault="00BD31FD" w:rsidP="00BD31FD">
      <w:pPr>
        <w:ind w:left="180" w:right="144"/>
        <w:jc w:val="both"/>
        <w:rPr>
          <w:sz w:val="20"/>
          <w:szCs w:val="20"/>
        </w:rPr>
      </w:pPr>
      <w:r w:rsidRPr="00BD31FD">
        <w:rPr>
          <w:sz w:val="20"/>
          <w:szCs w:val="20"/>
        </w:rPr>
        <w:t xml:space="preserve">On </w:t>
      </w:r>
      <w:r w:rsidR="00853867">
        <w:rPr>
          <w:sz w:val="20"/>
          <w:szCs w:val="20"/>
        </w:rPr>
        <w:t>July</w:t>
      </w:r>
      <w:r w:rsidRPr="00BD31FD">
        <w:rPr>
          <w:sz w:val="20"/>
          <w:szCs w:val="20"/>
        </w:rPr>
        <w:t xml:space="preserve"> </w:t>
      </w:r>
      <w:r w:rsidR="00853867">
        <w:rPr>
          <w:sz w:val="20"/>
          <w:szCs w:val="20"/>
        </w:rPr>
        <w:t>3</w:t>
      </w:r>
      <w:r w:rsidR="00734591">
        <w:rPr>
          <w:sz w:val="20"/>
          <w:szCs w:val="20"/>
        </w:rPr>
        <w:t>1</w:t>
      </w:r>
      <w:r w:rsidRPr="00BD31FD">
        <w:rPr>
          <w:sz w:val="20"/>
          <w:szCs w:val="20"/>
        </w:rPr>
        <w:t>, 202</w:t>
      </w:r>
      <w:r w:rsidR="00853867">
        <w:rPr>
          <w:sz w:val="20"/>
          <w:szCs w:val="20"/>
        </w:rPr>
        <w:t>5</w:t>
      </w:r>
      <w:r w:rsidRPr="00BD31FD">
        <w:rPr>
          <w:sz w:val="20"/>
          <w:szCs w:val="20"/>
        </w:rPr>
        <w:t xml:space="preserve">, the “Company received a deficiency letter from the Listing Qualifications Department of the Nasdaq Stock Market (“Nasdaq”) notifying the Company that, for the preceding 30 consecutive business days, the closing bid price for the Company’s common stock was below the minimum $1.00 per share requirement for continued inclusion on The Nasdaq Capital Market pursuant to Nasdaq Listing Rule 5550(a)(2) (the “Bid Price Requirement”). </w:t>
      </w:r>
    </w:p>
    <w:p w14:paraId="217B65CE" w14:textId="77777777" w:rsidR="00F04F9F" w:rsidRDefault="00F04F9F" w:rsidP="00BD31FD">
      <w:pPr>
        <w:ind w:left="180" w:right="144"/>
        <w:jc w:val="both"/>
        <w:rPr>
          <w:sz w:val="20"/>
          <w:szCs w:val="20"/>
        </w:rPr>
      </w:pPr>
    </w:p>
    <w:p w14:paraId="2CC72537" w14:textId="32F3F703" w:rsidR="00BD31FD" w:rsidRDefault="00BD31FD" w:rsidP="00BD31FD">
      <w:pPr>
        <w:ind w:left="180" w:right="144"/>
        <w:jc w:val="both"/>
        <w:rPr>
          <w:sz w:val="20"/>
          <w:szCs w:val="20"/>
        </w:rPr>
      </w:pPr>
      <w:r w:rsidRPr="00BD31FD">
        <w:rPr>
          <w:sz w:val="20"/>
          <w:szCs w:val="20"/>
        </w:rPr>
        <w:t xml:space="preserve">In accordance with Nasdaq rules, the Company has been provided an initial period of 180 calendar days, or until </w:t>
      </w:r>
      <w:r w:rsidR="00853867">
        <w:rPr>
          <w:sz w:val="20"/>
          <w:szCs w:val="20"/>
        </w:rPr>
        <w:t>January</w:t>
      </w:r>
      <w:r w:rsidR="00617423">
        <w:rPr>
          <w:sz w:val="20"/>
          <w:szCs w:val="20"/>
        </w:rPr>
        <w:t xml:space="preserve"> </w:t>
      </w:r>
      <w:r w:rsidR="00734591">
        <w:rPr>
          <w:sz w:val="20"/>
          <w:szCs w:val="20"/>
        </w:rPr>
        <w:t>27</w:t>
      </w:r>
      <w:r>
        <w:rPr>
          <w:sz w:val="20"/>
          <w:szCs w:val="20"/>
        </w:rPr>
        <w:t>, 202</w:t>
      </w:r>
      <w:r w:rsidR="00853867">
        <w:rPr>
          <w:sz w:val="20"/>
          <w:szCs w:val="20"/>
        </w:rPr>
        <w:t>6</w:t>
      </w:r>
      <w:r w:rsidRPr="00BD31FD">
        <w:rPr>
          <w:sz w:val="20"/>
          <w:szCs w:val="20"/>
        </w:rPr>
        <w:t xml:space="preserve"> (the “Compliance Date”), to regain compliance with the Bid Price Requirement. If, at any time before the Compliance Date, the closing bid price for the Company’s common stock is at least $1.00 for a minimum of 10 consecutive business days, the Staff will provide the Company written confirmation of compliance with the Bid Price Requirement.</w:t>
      </w:r>
    </w:p>
    <w:p w14:paraId="6691EF16" w14:textId="77777777" w:rsidR="00BD31FD" w:rsidRPr="00BD31FD" w:rsidRDefault="00BD31FD" w:rsidP="00BD31FD">
      <w:pPr>
        <w:ind w:left="180" w:right="144"/>
        <w:jc w:val="both"/>
        <w:rPr>
          <w:sz w:val="20"/>
          <w:szCs w:val="20"/>
        </w:rPr>
      </w:pPr>
    </w:p>
    <w:p w14:paraId="6EEB7689" w14:textId="078E0892" w:rsidR="00BD31FD" w:rsidRDefault="00BD31FD" w:rsidP="00BD31FD">
      <w:pPr>
        <w:ind w:left="180" w:right="144"/>
        <w:jc w:val="both"/>
        <w:rPr>
          <w:sz w:val="20"/>
          <w:szCs w:val="20"/>
        </w:rPr>
      </w:pPr>
      <w:r w:rsidRPr="00BD31FD">
        <w:rPr>
          <w:sz w:val="20"/>
          <w:szCs w:val="20"/>
        </w:rPr>
        <w:t xml:space="preserve">If the Company does not regain compliance with the Bid Price Requirement by the Compliance Date, the Company may be eligible for an additional 180 calendar day compliance period. To qualify, the Company would need to provide written notice of its intention to cure the deficiency during the additional compliance period, by effecting a reverse stock split, if necessary, provided that it meets the continued listing requirement for the market value of publicly held shares and all other initial listing standards for The Nasdaq Capital Market, with the exception of the Bid Price Requirement. </w:t>
      </w:r>
    </w:p>
    <w:p w14:paraId="6EEB79E4" w14:textId="77777777" w:rsidR="00BD31FD" w:rsidRPr="00BD31FD" w:rsidRDefault="00BD31FD" w:rsidP="00BD31FD">
      <w:pPr>
        <w:ind w:left="180" w:right="144"/>
        <w:jc w:val="both"/>
        <w:rPr>
          <w:sz w:val="20"/>
          <w:szCs w:val="20"/>
        </w:rPr>
      </w:pPr>
    </w:p>
    <w:p w14:paraId="5A2F5184" w14:textId="08255B6F" w:rsidR="00BD31FD" w:rsidRDefault="00BD31FD" w:rsidP="00BD31FD">
      <w:pPr>
        <w:ind w:left="180" w:right="144"/>
        <w:jc w:val="both"/>
        <w:rPr>
          <w:sz w:val="20"/>
          <w:szCs w:val="20"/>
        </w:rPr>
      </w:pPr>
      <w:r w:rsidRPr="00BD31FD">
        <w:rPr>
          <w:sz w:val="20"/>
          <w:szCs w:val="20"/>
        </w:rPr>
        <w:t xml:space="preserve">If the Company does not regain compliance with the Bid Price Requirement by the Compliance Date and is not eligible for an additional compliance period at that time, the </w:t>
      </w:r>
      <w:r w:rsidR="00453E83">
        <w:rPr>
          <w:sz w:val="20"/>
          <w:szCs w:val="20"/>
        </w:rPr>
        <w:t>Nasdaq s</w:t>
      </w:r>
      <w:r w:rsidRPr="00BD31FD">
        <w:rPr>
          <w:sz w:val="20"/>
          <w:szCs w:val="20"/>
        </w:rPr>
        <w:t xml:space="preserve">taff will provide written notification to the Company that its common stock will be subject to delisting. At that time, the Company may appeal the </w:t>
      </w:r>
      <w:r w:rsidR="00453E83">
        <w:rPr>
          <w:sz w:val="20"/>
          <w:szCs w:val="20"/>
        </w:rPr>
        <w:t>Nasdaq s</w:t>
      </w:r>
      <w:r w:rsidRPr="00BD31FD">
        <w:rPr>
          <w:sz w:val="20"/>
          <w:szCs w:val="20"/>
        </w:rPr>
        <w:t>taff’s delisting determination to a Nasdaq Hearing Panel. There can be no assurance that the Company will regain compliance or otherwise maintain compliance with any of the other listing requirements.</w:t>
      </w:r>
    </w:p>
    <w:p w14:paraId="22FA0F10" w14:textId="77777777" w:rsidR="00B84E5E" w:rsidRDefault="00B84E5E" w:rsidP="00BD31FD">
      <w:pPr>
        <w:ind w:left="180" w:right="144"/>
        <w:jc w:val="both"/>
        <w:rPr>
          <w:sz w:val="20"/>
          <w:szCs w:val="20"/>
        </w:rPr>
      </w:pPr>
    </w:p>
    <w:p w14:paraId="0DFB0401" w14:textId="18D702AC" w:rsidR="00B84E5E" w:rsidRDefault="00B84E5E" w:rsidP="00B84E5E">
      <w:pPr>
        <w:ind w:left="180" w:right="144"/>
        <w:jc w:val="both"/>
        <w:rPr>
          <w:sz w:val="20"/>
          <w:szCs w:val="20"/>
        </w:rPr>
      </w:pPr>
      <w:r w:rsidRPr="00B84E5E">
        <w:rPr>
          <w:sz w:val="20"/>
          <w:szCs w:val="20"/>
        </w:rPr>
        <w:t xml:space="preserve">The notification received has no immediate effect on </w:t>
      </w:r>
      <w:r>
        <w:rPr>
          <w:sz w:val="20"/>
          <w:szCs w:val="20"/>
        </w:rPr>
        <w:t>the Company’s</w:t>
      </w:r>
      <w:r w:rsidRPr="00B84E5E">
        <w:rPr>
          <w:sz w:val="20"/>
          <w:szCs w:val="20"/>
        </w:rPr>
        <w:t xml:space="preserve"> Nasdaq listing. </w:t>
      </w:r>
      <w:r>
        <w:rPr>
          <w:sz w:val="20"/>
          <w:szCs w:val="20"/>
        </w:rPr>
        <w:t>GeoVax’s</w:t>
      </w:r>
      <w:r w:rsidRPr="00B84E5E">
        <w:rPr>
          <w:sz w:val="20"/>
          <w:szCs w:val="20"/>
        </w:rPr>
        <w:t xml:space="preserve"> </w:t>
      </w:r>
      <w:r>
        <w:rPr>
          <w:sz w:val="20"/>
          <w:szCs w:val="20"/>
        </w:rPr>
        <w:t>c</w:t>
      </w:r>
      <w:r w:rsidRPr="00B84E5E">
        <w:rPr>
          <w:sz w:val="20"/>
          <w:szCs w:val="20"/>
        </w:rPr>
        <w:t xml:space="preserve">ommon </w:t>
      </w:r>
      <w:r>
        <w:rPr>
          <w:sz w:val="20"/>
          <w:szCs w:val="20"/>
        </w:rPr>
        <w:t>s</w:t>
      </w:r>
      <w:r w:rsidRPr="00B84E5E">
        <w:rPr>
          <w:sz w:val="20"/>
          <w:szCs w:val="20"/>
        </w:rPr>
        <w:t>tock will continue to trade on Nasdaq under the symbol “</w:t>
      </w:r>
      <w:r>
        <w:rPr>
          <w:sz w:val="20"/>
          <w:szCs w:val="20"/>
        </w:rPr>
        <w:t>GOVX</w:t>
      </w:r>
      <w:r w:rsidRPr="00B84E5E">
        <w:rPr>
          <w:sz w:val="20"/>
          <w:szCs w:val="20"/>
        </w:rPr>
        <w:t>” at this time.</w:t>
      </w:r>
      <w:r>
        <w:rPr>
          <w:sz w:val="20"/>
          <w:szCs w:val="20"/>
        </w:rPr>
        <w:t xml:space="preserve"> </w:t>
      </w:r>
      <w:r w:rsidR="00BD31FD" w:rsidRPr="00BD31FD">
        <w:rPr>
          <w:sz w:val="20"/>
          <w:szCs w:val="20"/>
        </w:rPr>
        <w:t>The Company intends to monitor the closing bid price of its common stock and may, if appropriate, consider available options to regain compliance with the Bid Price Requirement.</w:t>
      </w:r>
    </w:p>
    <w:p w14:paraId="20965194" w14:textId="77777777" w:rsidR="00B84E5E" w:rsidRDefault="00B84E5E" w:rsidP="00BD31FD">
      <w:pPr>
        <w:ind w:left="180"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581AD4C4" w:rsidR="008D7E3A" w:rsidRDefault="008D7E3A" w:rsidP="008D7E3A">
      <w:pPr>
        <w:ind w:left="144" w:right="144"/>
        <w:rPr>
          <w:sz w:val="20"/>
          <w:szCs w:val="20"/>
        </w:rPr>
      </w:pPr>
      <w:r>
        <w:rPr>
          <w:sz w:val="20"/>
          <w:szCs w:val="20"/>
        </w:rPr>
        <w:t xml:space="preserve">Date: </w:t>
      </w:r>
      <w:r w:rsidR="00734591">
        <w:rPr>
          <w:sz w:val="20"/>
          <w:szCs w:val="20"/>
        </w:rPr>
        <w:t>August 1</w:t>
      </w:r>
      <w:r w:rsidR="007F74E8">
        <w:rPr>
          <w:sz w:val="20"/>
          <w:szCs w:val="20"/>
        </w:rPr>
        <w:t>, 202</w:t>
      </w:r>
      <w:r w:rsidR="00853867">
        <w:rPr>
          <w:sz w:val="20"/>
          <w:szCs w:val="20"/>
        </w:rPr>
        <w:t>5</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A9F2" w14:textId="77777777" w:rsidR="00BB0927" w:rsidRDefault="00BB0927" w:rsidP="004422FB">
      <w:r>
        <w:separator/>
      </w:r>
    </w:p>
  </w:endnote>
  <w:endnote w:type="continuationSeparator" w:id="0">
    <w:p w14:paraId="4F2CBAB0" w14:textId="77777777" w:rsidR="00BB0927" w:rsidRDefault="00BB0927"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0E13" w14:textId="77777777" w:rsidR="00BB0927" w:rsidRDefault="00BB0927" w:rsidP="004422FB">
      <w:r>
        <w:separator/>
      </w:r>
    </w:p>
  </w:footnote>
  <w:footnote w:type="continuationSeparator" w:id="0">
    <w:p w14:paraId="30BD5104" w14:textId="77777777" w:rsidR="00BB0927" w:rsidRDefault="00BB0927"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94676">
    <w:abstractNumId w:val="0"/>
  </w:num>
  <w:num w:numId="2" w16cid:durableId="141165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50CC"/>
    <w:rsid w:val="000871C8"/>
    <w:rsid w:val="00087359"/>
    <w:rsid w:val="000949A2"/>
    <w:rsid w:val="00096511"/>
    <w:rsid w:val="000E6508"/>
    <w:rsid w:val="001139A5"/>
    <w:rsid w:val="0012601A"/>
    <w:rsid w:val="00134BBC"/>
    <w:rsid w:val="00172B54"/>
    <w:rsid w:val="0019489B"/>
    <w:rsid w:val="00196A86"/>
    <w:rsid w:val="001A0FE2"/>
    <w:rsid w:val="001A5BA8"/>
    <w:rsid w:val="001A687F"/>
    <w:rsid w:val="001B126A"/>
    <w:rsid w:val="001D3520"/>
    <w:rsid w:val="001E2AA8"/>
    <w:rsid w:val="002049D0"/>
    <w:rsid w:val="00246139"/>
    <w:rsid w:val="00277674"/>
    <w:rsid w:val="002832B4"/>
    <w:rsid w:val="00296BF7"/>
    <w:rsid w:val="002A1A41"/>
    <w:rsid w:val="002A45C0"/>
    <w:rsid w:val="002B5A3E"/>
    <w:rsid w:val="002C2032"/>
    <w:rsid w:val="002C4E4A"/>
    <w:rsid w:val="002D1821"/>
    <w:rsid w:val="002E60D1"/>
    <w:rsid w:val="00304DE8"/>
    <w:rsid w:val="00314FC4"/>
    <w:rsid w:val="00315CD1"/>
    <w:rsid w:val="00341E48"/>
    <w:rsid w:val="003454FA"/>
    <w:rsid w:val="0034645B"/>
    <w:rsid w:val="00362F3D"/>
    <w:rsid w:val="0036369E"/>
    <w:rsid w:val="00363F13"/>
    <w:rsid w:val="00366C53"/>
    <w:rsid w:val="00376DEC"/>
    <w:rsid w:val="0037743D"/>
    <w:rsid w:val="003B670F"/>
    <w:rsid w:val="003E36C4"/>
    <w:rsid w:val="003F0C29"/>
    <w:rsid w:val="00401F33"/>
    <w:rsid w:val="004041FE"/>
    <w:rsid w:val="00404B0F"/>
    <w:rsid w:val="00415B30"/>
    <w:rsid w:val="0043642A"/>
    <w:rsid w:val="004422FB"/>
    <w:rsid w:val="00453E83"/>
    <w:rsid w:val="004562CE"/>
    <w:rsid w:val="004759D1"/>
    <w:rsid w:val="00494777"/>
    <w:rsid w:val="004B3179"/>
    <w:rsid w:val="004D4E0A"/>
    <w:rsid w:val="004E6CB9"/>
    <w:rsid w:val="005108D6"/>
    <w:rsid w:val="00526107"/>
    <w:rsid w:val="005449BB"/>
    <w:rsid w:val="0054576E"/>
    <w:rsid w:val="00552D47"/>
    <w:rsid w:val="0055647C"/>
    <w:rsid w:val="005765ED"/>
    <w:rsid w:val="00583D37"/>
    <w:rsid w:val="00587D9F"/>
    <w:rsid w:val="005A12FB"/>
    <w:rsid w:val="005B311B"/>
    <w:rsid w:val="005B70A9"/>
    <w:rsid w:val="005F3C3F"/>
    <w:rsid w:val="00617074"/>
    <w:rsid w:val="00617423"/>
    <w:rsid w:val="00625417"/>
    <w:rsid w:val="00651320"/>
    <w:rsid w:val="00652DCC"/>
    <w:rsid w:val="00654112"/>
    <w:rsid w:val="00670AD9"/>
    <w:rsid w:val="00677F25"/>
    <w:rsid w:val="00691E45"/>
    <w:rsid w:val="006A30B4"/>
    <w:rsid w:val="006B4011"/>
    <w:rsid w:val="006C4831"/>
    <w:rsid w:val="006C673A"/>
    <w:rsid w:val="006E7AA3"/>
    <w:rsid w:val="006F2242"/>
    <w:rsid w:val="006F78DC"/>
    <w:rsid w:val="007150B5"/>
    <w:rsid w:val="00716A75"/>
    <w:rsid w:val="00732183"/>
    <w:rsid w:val="00734084"/>
    <w:rsid w:val="00734591"/>
    <w:rsid w:val="007578ED"/>
    <w:rsid w:val="00766EB9"/>
    <w:rsid w:val="00780E12"/>
    <w:rsid w:val="00797D8A"/>
    <w:rsid w:val="007B3B3E"/>
    <w:rsid w:val="007B5113"/>
    <w:rsid w:val="007C3C4A"/>
    <w:rsid w:val="007F4493"/>
    <w:rsid w:val="007F74E8"/>
    <w:rsid w:val="0082793A"/>
    <w:rsid w:val="00853867"/>
    <w:rsid w:val="00883B50"/>
    <w:rsid w:val="0089446A"/>
    <w:rsid w:val="008A5F28"/>
    <w:rsid w:val="008A7A20"/>
    <w:rsid w:val="008B66AE"/>
    <w:rsid w:val="008B71BC"/>
    <w:rsid w:val="008B7616"/>
    <w:rsid w:val="008C1C3D"/>
    <w:rsid w:val="008D3E76"/>
    <w:rsid w:val="008D7E3A"/>
    <w:rsid w:val="008E4E77"/>
    <w:rsid w:val="00903941"/>
    <w:rsid w:val="00922B4A"/>
    <w:rsid w:val="00964940"/>
    <w:rsid w:val="0096668D"/>
    <w:rsid w:val="009B15B2"/>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AB0FB9"/>
    <w:rsid w:val="00AB6B8D"/>
    <w:rsid w:val="00B00A81"/>
    <w:rsid w:val="00B155CF"/>
    <w:rsid w:val="00B32B67"/>
    <w:rsid w:val="00B33DA4"/>
    <w:rsid w:val="00B44E7B"/>
    <w:rsid w:val="00B4616E"/>
    <w:rsid w:val="00B51502"/>
    <w:rsid w:val="00B55645"/>
    <w:rsid w:val="00B57F61"/>
    <w:rsid w:val="00B610FD"/>
    <w:rsid w:val="00B61191"/>
    <w:rsid w:val="00B64A14"/>
    <w:rsid w:val="00B84E5E"/>
    <w:rsid w:val="00BA446A"/>
    <w:rsid w:val="00BB0927"/>
    <w:rsid w:val="00BB7014"/>
    <w:rsid w:val="00BC6551"/>
    <w:rsid w:val="00BD31FD"/>
    <w:rsid w:val="00BE0F8F"/>
    <w:rsid w:val="00BF415F"/>
    <w:rsid w:val="00C36B57"/>
    <w:rsid w:val="00C524E3"/>
    <w:rsid w:val="00C53991"/>
    <w:rsid w:val="00C713DF"/>
    <w:rsid w:val="00C815CE"/>
    <w:rsid w:val="00C86B46"/>
    <w:rsid w:val="00CB1EAA"/>
    <w:rsid w:val="00CB3D5C"/>
    <w:rsid w:val="00CC52F4"/>
    <w:rsid w:val="00CD0128"/>
    <w:rsid w:val="00CD55C2"/>
    <w:rsid w:val="00CE3919"/>
    <w:rsid w:val="00CF10FD"/>
    <w:rsid w:val="00D041E0"/>
    <w:rsid w:val="00D128D7"/>
    <w:rsid w:val="00D17971"/>
    <w:rsid w:val="00D215E7"/>
    <w:rsid w:val="00D53F6F"/>
    <w:rsid w:val="00D60567"/>
    <w:rsid w:val="00D95C48"/>
    <w:rsid w:val="00DE2079"/>
    <w:rsid w:val="00DE54BD"/>
    <w:rsid w:val="00DE728B"/>
    <w:rsid w:val="00DE7BBA"/>
    <w:rsid w:val="00DF2B44"/>
    <w:rsid w:val="00E115D3"/>
    <w:rsid w:val="00E13D7F"/>
    <w:rsid w:val="00E30F6C"/>
    <w:rsid w:val="00E31534"/>
    <w:rsid w:val="00E5409F"/>
    <w:rsid w:val="00E57AE0"/>
    <w:rsid w:val="00E633E7"/>
    <w:rsid w:val="00E77BC6"/>
    <w:rsid w:val="00EB5CF9"/>
    <w:rsid w:val="00EC14ED"/>
    <w:rsid w:val="00EE3BF7"/>
    <w:rsid w:val="00EF5131"/>
    <w:rsid w:val="00F04F9F"/>
    <w:rsid w:val="00F073F4"/>
    <w:rsid w:val="00F100FC"/>
    <w:rsid w:val="00F10BB8"/>
    <w:rsid w:val="00F1148C"/>
    <w:rsid w:val="00F13A9C"/>
    <w:rsid w:val="00F2058C"/>
    <w:rsid w:val="00F2190E"/>
    <w:rsid w:val="00F23A64"/>
    <w:rsid w:val="00F27385"/>
    <w:rsid w:val="00F44F70"/>
    <w:rsid w:val="00F51C02"/>
    <w:rsid w:val="00F53643"/>
    <w:rsid w:val="00F57E97"/>
    <w:rsid w:val="00F65C64"/>
    <w:rsid w:val="00F737D0"/>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7</cp:revision>
  <dcterms:created xsi:type="dcterms:W3CDTF">2022-12-09T15:09:00Z</dcterms:created>
  <dcterms:modified xsi:type="dcterms:W3CDTF">2025-07-31T15:25:00Z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