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FC20" w14:textId="77777777" w:rsidR="008D7E3A" w:rsidRDefault="008D7E3A" w:rsidP="008D7E3A">
      <w:pPr>
        <w:ind w:left="144" w:right="144"/>
        <w:rPr>
          <w:sz w:val="20"/>
          <w:szCs w:val="20"/>
        </w:rPr>
      </w:pPr>
      <w:r>
        <w:rPr>
          <w:sz w:val="20"/>
          <w:szCs w:val="20"/>
        </w:rPr>
        <w:t> </w:t>
      </w:r>
    </w:p>
    <w:p w14:paraId="11173570" w14:textId="77777777" w:rsidR="008D7E3A" w:rsidRDefault="008D7E3A" w:rsidP="008D7E3A">
      <w:pPr>
        <w:ind w:left="144" w:right="144"/>
        <w:rPr>
          <w:sz w:val="20"/>
          <w:szCs w:val="20"/>
        </w:rPr>
      </w:pPr>
      <w:r>
        <w:rPr>
          <w:sz w:val="20"/>
          <w:szCs w:val="20"/>
        </w:rPr>
        <w:t> </w:t>
      </w:r>
    </w:p>
    <w:p w14:paraId="4269CD0C" w14:textId="77777777" w:rsidR="008D7E3A" w:rsidRDefault="008D7E3A" w:rsidP="008D7E3A">
      <w:pPr>
        <w:ind w:left="144" w:right="144"/>
        <w:jc w:val="center"/>
        <w:rPr>
          <w:sz w:val="36"/>
          <w:szCs w:val="36"/>
        </w:rPr>
      </w:pPr>
      <w:r>
        <w:rPr>
          <w:b/>
          <w:bCs/>
          <w:sz w:val="36"/>
          <w:szCs w:val="36"/>
        </w:rPr>
        <w:t>SECURITIES AND EXCHANGE COMMISSION</w:t>
      </w:r>
    </w:p>
    <w:p w14:paraId="6FEC2A83" w14:textId="77777777" w:rsidR="008D7E3A" w:rsidRDefault="008D7E3A" w:rsidP="008D7E3A">
      <w:pPr>
        <w:ind w:left="144" w:right="144"/>
        <w:jc w:val="center"/>
        <w:rPr>
          <w:sz w:val="20"/>
          <w:szCs w:val="20"/>
        </w:rPr>
      </w:pPr>
      <w:r>
        <w:rPr>
          <w:b/>
          <w:bCs/>
          <w:sz w:val="20"/>
          <w:szCs w:val="20"/>
        </w:rPr>
        <w:t>WASHINGTON, D.C. 20549</w:t>
      </w:r>
      <w:r>
        <w:rPr>
          <w:sz w:val="20"/>
          <w:szCs w:val="20"/>
        </w:rPr>
        <w:t> </w:t>
      </w:r>
    </w:p>
    <w:p w14:paraId="5227C5AC" w14:textId="77777777" w:rsidR="008D7E3A" w:rsidRDefault="008D7E3A" w:rsidP="008D7E3A">
      <w:pPr>
        <w:ind w:left="144" w:right="144"/>
        <w:jc w:val="center"/>
        <w:rPr>
          <w:sz w:val="20"/>
          <w:szCs w:val="20"/>
        </w:rPr>
      </w:pPr>
      <w:r>
        <w:rPr>
          <w:sz w:val="20"/>
          <w:szCs w:val="20"/>
        </w:rPr>
        <w:t> </w:t>
      </w:r>
    </w:p>
    <w:p w14:paraId="5AD7287B" w14:textId="77777777" w:rsidR="008D7E3A" w:rsidRDefault="004D191B" w:rsidP="008D7E3A">
      <w:pPr>
        <w:jc w:val="center"/>
      </w:pPr>
      <w:r>
        <w:pict w14:anchorId="6CA29461">
          <v:rect id="_x0000_i1025" style="width:135pt;height:.75pt" o:hrpct="250" o:hralign="center" o:hrstd="t" o:hrnoshade="t" o:hr="t" fillcolor="gray" stroked="f"/>
        </w:pict>
      </w:r>
    </w:p>
    <w:p w14:paraId="0B38DE17" w14:textId="77777777" w:rsidR="008D7E3A" w:rsidRDefault="008D7E3A" w:rsidP="008D7E3A">
      <w:pPr>
        <w:ind w:left="144" w:right="144"/>
        <w:jc w:val="center"/>
        <w:rPr>
          <w:sz w:val="20"/>
          <w:szCs w:val="20"/>
        </w:rPr>
      </w:pPr>
      <w:r>
        <w:rPr>
          <w:sz w:val="20"/>
          <w:szCs w:val="20"/>
        </w:rPr>
        <w:t> </w:t>
      </w:r>
    </w:p>
    <w:p w14:paraId="1FACBEF2" w14:textId="77777777" w:rsidR="008D7E3A" w:rsidRDefault="008D7E3A" w:rsidP="008D7E3A">
      <w:pPr>
        <w:ind w:left="144" w:right="144"/>
        <w:jc w:val="center"/>
        <w:rPr>
          <w:sz w:val="36"/>
          <w:szCs w:val="36"/>
        </w:rPr>
      </w:pPr>
      <w:r>
        <w:rPr>
          <w:b/>
          <w:bCs/>
          <w:sz w:val="36"/>
          <w:szCs w:val="36"/>
        </w:rPr>
        <w:t>FORM 8-K</w:t>
      </w:r>
    </w:p>
    <w:p w14:paraId="4126124C" w14:textId="77777777" w:rsidR="008D7E3A" w:rsidRDefault="008D7E3A" w:rsidP="008D7E3A">
      <w:pPr>
        <w:ind w:left="144" w:right="144"/>
        <w:rPr>
          <w:sz w:val="20"/>
          <w:szCs w:val="20"/>
        </w:rPr>
      </w:pPr>
      <w:r>
        <w:rPr>
          <w:sz w:val="20"/>
          <w:szCs w:val="20"/>
        </w:rPr>
        <w:t> </w:t>
      </w:r>
    </w:p>
    <w:p w14:paraId="6C98B2EA" w14:textId="77777777" w:rsidR="008D7E3A" w:rsidRDefault="008D7E3A" w:rsidP="008D7E3A">
      <w:pPr>
        <w:ind w:left="144" w:right="144"/>
        <w:jc w:val="center"/>
        <w:rPr>
          <w:sz w:val="20"/>
          <w:szCs w:val="20"/>
        </w:rPr>
      </w:pPr>
      <w:r>
        <w:rPr>
          <w:b/>
          <w:bCs/>
          <w:sz w:val="20"/>
          <w:szCs w:val="20"/>
        </w:rPr>
        <w:t>CURRENT REPORT</w:t>
      </w:r>
    </w:p>
    <w:p w14:paraId="3914BBE3" w14:textId="77777777" w:rsidR="008D7E3A" w:rsidRDefault="008D7E3A" w:rsidP="008D7E3A">
      <w:pPr>
        <w:ind w:left="144" w:right="144"/>
        <w:jc w:val="center"/>
        <w:rPr>
          <w:sz w:val="20"/>
          <w:szCs w:val="20"/>
        </w:rPr>
      </w:pPr>
      <w:r>
        <w:rPr>
          <w:b/>
          <w:bCs/>
          <w:sz w:val="20"/>
          <w:szCs w:val="20"/>
        </w:rPr>
        <w:t>Pursuant to Section 13 or 15(d) of the</w:t>
      </w:r>
    </w:p>
    <w:p w14:paraId="6B78B71F" w14:textId="77777777" w:rsidR="008D7E3A" w:rsidRDefault="008D7E3A" w:rsidP="008D7E3A">
      <w:pPr>
        <w:ind w:left="144" w:right="144"/>
        <w:jc w:val="center"/>
        <w:rPr>
          <w:sz w:val="20"/>
          <w:szCs w:val="20"/>
        </w:rPr>
      </w:pPr>
      <w:r>
        <w:rPr>
          <w:b/>
          <w:bCs/>
          <w:sz w:val="20"/>
          <w:szCs w:val="20"/>
        </w:rPr>
        <w:t>Securities Exchange Act of 1934</w:t>
      </w:r>
    </w:p>
    <w:p w14:paraId="1116214B" w14:textId="77777777" w:rsidR="008D7E3A" w:rsidRDefault="008D7E3A" w:rsidP="008D7E3A">
      <w:pPr>
        <w:ind w:left="144" w:right="144"/>
        <w:rPr>
          <w:sz w:val="20"/>
          <w:szCs w:val="20"/>
        </w:rPr>
      </w:pPr>
      <w:r>
        <w:rPr>
          <w:sz w:val="20"/>
          <w:szCs w:val="20"/>
        </w:rPr>
        <w:t> </w:t>
      </w:r>
    </w:p>
    <w:p w14:paraId="1907E5A2" w14:textId="1D84BEA8" w:rsidR="008D7E3A" w:rsidRDefault="008D7E3A" w:rsidP="008D7E3A">
      <w:pPr>
        <w:ind w:left="144" w:right="144"/>
        <w:jc w:val="center"/>
        <w:rPr>
          <w:sz w:val="20"/>
          <w:szCs w:val="20"/>
        </w:rPr>
      </w:pPr>
      <w:r>
        <w:rPr>
          <w:b/>
          <w:bCs/>
          <w:sz w:val="20"/>
          <w:szCs w:val="20"/>
        </w:rPr>
        <w:t>Date of report (Date of earliest event reported):  </w:t>
      </w:r>
      <w:r w:rsidR="00037B68">
        <w:rPr>
          <w:b/>
          <w:bCs/>
          <w:sz w:val="20"/>
          <w:szCs w:val="20"/>
        </w:rPr>
        <w:t>December</w:t>
      </w:r>
      <w:r w:rsidR="000850CC">
        <w:rPr>
          <w:b/>
          <w:bCs/>
          <w:sz w:val="20"/>
          <w:szCs w:val="20"/>
        </w:rPr>
        <w:t xml:space="preserve"> </w:t>
      </w:r>
      <w:r w:rsidR="00643E11">
        <w:rPr>
          <w:b/>
          <w:bCs/>
          <w:sz w:val="20"/>
          <w:szCs w:val="20"/>
        </w:rPr>
        <w:t>6</w:t>
      </w:r>
      <w:r>
        <w:rPr>
          <w:b/>
          <w:bCs/>
          <w:sz w:val="20"/>
          <w:szCs w:val="20"/>
        </w:rPr>
        <w:t>, 202</w:t>
      </w:r>
      <w:r w:rsidR="00914FA8">
        <w:rPr>
          <w:b/>
          <w:bCs/>
          <w:sz w:val="20"/>
          <w:szCs w:val="20"/>
        </w:rPr>
        <w:t>3</w:t>
      </w:r>
      <w:r>
        <w:rPr>
          <w:sz w:val="20"/>
          <w:szCs w:val="20"/>
        </w:rPr>
        <w:t> </w:t>
      </w:r>
    </w:p>
    <w:p w14:paraId="5F0131D8" w14:textId="77777777" w:rsidR="008D7E3A" w:rsidRDefault="008D7E3A" w:rsidP="008D7E3A">
      <w:pPr>
        <w:ind w:left="144" w:right="144"/>
        <w:jc w:val="center"/>
        <w:rPr>
          <w:sz w:val="20"/>
          <w:szCs w:val="20"/>
        </w:rPr>
      </w:pPr>
      <w:r>
        <w:rPr>
          <w:sz w:val="20"/>
          <w:szCs w:val="20"/>
        </w:rPr>
        <w:t> </w:t>
      </w:r>
    </w:p>
    <w:p w14:paraId="4BE21BF0" w14:textId="77777777" w:rsidR="008D7E3A" w:rsidRDefault="004D191B" w:rsidP="008D7E3A">
      <w:pPr>
        <w:jc w:val="center"/>
      </w:pPr>
      <w:r>
        <w:pict w14:anchorId="34234C18">
          <v:rect id="_x0000_i1026" style="width:135pt;height:.75pt" o:hrpct="250" o:hralign="center" o:hrstd="t" o:hrnoshade="t" o:hr="t" fillcolor="gray" stroked="f"/>
        </w:pict>
      </w:r>
    </w:p>
    <w:p w14:paraId="3C569251" w14:textId="77777777" w:rsidR="008D7E3A" w:rsidRDefault="008D7E3A" w:rsidP="008D7E3A">
      <w:pPr>
        <w:ind w:left="144" w:right="144"/>
        <w:jc w:val="center"/>
        <w:rPr>
          <w:sz w:val="20"/>
          <w:szCs w:val="20"/>
        </w:rPr>
      </w:pPr>
      <w:r>
        <w:rPr>
          <w:sz w:val="20"/>
          <w:szCs w:val="20"/>
        </w:rPr>
        <w:t> </w:t>
      </w:r>
    </w:p>
    <w:p w14:paraId="6037F5E1" w14:textId="77777777" w:rsidR="008D7E3A" w:rsidRDefault="008D7E3A" w:rsidP="008D7E3A">
      <w:pPr>
        <w:ind w:left="144" w:right="144"/>
        <w:jc w:val="center"/>
        <w:rPr>
          <w:sz w:val="36"/>
          <w:szCs w:val="36"/>
        </w:rPr>
      </w:pPr>
      <w:r>
        <w:rPr>
          <w:b/>
          <w:bCs/>
          <w:sz w:val="36"/>
          <w:szCs w:val="36"/>
        </w:rPr>
        <w:t>GEOVAX LABS, INC.</w:t>
      </w:r>
    </w:p>
    <w:p w14:paraId="5DE0AB61" w14:textId="77777777" w:rsidR="008D7E3A" w:rsidRDefault="008D7E3A" w:rsidP="008D7E3A">
      <w:pPr>
        <w:ind w:left="144" w:right="144"/>
        <w:jc w:val="center"/>
        <w:rPr>
          <w:sz w:val="20"/>
          <w:szCs w:val="20"/>
        </w:rPr>
      </w:pPr>
      <w:r>
        <w:rPr>
          <w:b/>
          <w:bCs/>
          <w:sz w:val="20"/>
          <w:szCs w:val="20"/>
        </w:rPr>
        <w:t>(Exact name of registrant as specified in its charter)</w:t>
      </w:r>
    </w:p>
    <w:p w14:paraId="0F1B7EA2"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456"/>
        <w:gridCol w:w="216"/>
        <w:gridCol w:w="3456"/>
        <w:gridCol w:w="216"/>
        <w:gridCol w:w="3456"/>
      </w:tblGrid>
      <w:tr w:rsidR="008D7E3A" w14:paraId="65DC7518" w14:textId="77777777" w:rsidTr="008D7E3A">
        <w:tc>
          <w:tcPr>
            <w:tcW w:w="1600" w:type="pct"/>
            <w:tcMar>
              <w:top w:w="5" w:type="dxa"/>
              <w:left w:w="5" w:type="dxa"/>
              <w:bottom w:w="5" w:type="dxa"/>
              <w:right w:w="5" w:type="dxa"/>
            </w:tcMar>
            <w:hideMark/>
          </w:tcPr>
          <w:p w14:paraId="2CD5D0E3" w14:textId="77777777" w:rsidR="008D7E3A" w:rsidRDefault="008D7E3A">
            <w:pPr>
              <w:jc w:val="center"/>
              <w:rPr>
                <w:color w:val="000000"/>
                <w:sz w:val="20"/>
                <w:szCs w:val="20"/>
              </w:rPr>
            </w:pPr>
            <w:r>
              <w:rPr>
                <w:b/>
                <w:bCs/>
                <w:color w:val="000000"/>
                <w:sz w:val="20"/>
                <w:szCs w:val="20"/>
              </w:rPr>
              <w:t>Delaware</w:t>
            </w:r>
          </w:p>
        </w:tc>
        <w:tc>
          <w:tcPr>
            <w:tcW w:w="100" w:type="pct"/>
            <w:tcMar>
              <w:top w:w="5" w:type="dxa"/>
              <w:left w:w="5" w:type="dxa"/>
              <w:bottom w:w="5" w:type="dxa"/>
              <w:right w:w="5" w:type="dxa"/>
            </w:tcMar>
            <w:vAlign w:val="bottom"/>
            <w:hideMark/>
          </w:tcPr>
          <w:p w14:paraId="21BB6B9C"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E1BFCAA" w14:textId="77777777" w:rsidR="008D7E3A" w:rsidRDefault="008D7E3A">
            <w:pPr>
              <w:jc w:val="center"/>
              <w:rPr>
                <w:color w:val="000000"/>
                <w:sz w:val="20"/>
                <w:szCs w:val="20"/>
              </w:rPr>
            </w:pPr>
            <w:r>
              <w:rPr>
                <w:b/>
                <w:bCs/>
                <w:color w:val="000000"/>
                <w:sz w:val="20"/>
                <w:szCs w:val="20"/>
              </w:rPr>
              <w:t>001-39563</w:t>
            </w:r>
          </w:p>
        </w:tc>
        <w:tc>
          <w:tcPr>
            <w:tcW w:w="100" w:type="pct"/>
            <w:tcMar>
              <w:top w:w="5" w:type="dxa"/>
              <w:left w:w="5" w:type="dxa"/>
              <w:bottom w:w="5" w:type="dxa"/>
              <w:right w:w="5" w:type="dxa"/>
            </w:tcMar>
            <w:vAlign w:val="bottom"/>
            <w:hideMark/>
          </w:tcPr>
          <w:p w14:paraId="02B8DA0E"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08920BD4" w14:textId="77777777" w:rsidR="008D7E3A" w:rsidRDefault="008D7E3A">
            <w:pPr>
              <w:jc w:val="center"/>
              <w:rPr>
                <w:color w:val="000000"/>
                <w:sz w:val="20"/>
                <w:szCs w:val="20"/>
              </w:rPr>
            </w:pPr>
            <w:r>
              <w:rPr>
                <w:b/>
                <w:bCs/>
                <w:color w:val="000000"/>
                <w:sz w:val="20"/>
                <w:szCs w:val="20"/>
              </w:rPr>
              <w:t>87-0455038</w:t>
            </w:r>
          </w:p>
        </w:tc>
      </w:tr>
      <w:tr w:rsidR="008D7E3A" w14:paraId="1B960DB8" w14:textId="77777777" w:rsidTr="008D7E3A">
        <w:tc>
          <w:tcPr>
            <w:tcW w:w="1600" w:type="pct"/>
            <w:tcMar>
              <w:top w:w="5" w:type="dxa"/>
              <w:left w:w="5" w:type="dxa"/>
              <w:bottom w:w="5" w:type="dxa"/>
              <w:right w:w="5" w:type="dxa"/>
            </w:tcMar>
            <w:hideMark/>
          </w:tcPr>
          <w:p w14:paraId="55850994" w14:textId="77777777" w:rsidR="008D7E3A" w:rsidRDefault="008D7E3A">
            <w:pPr>
              <w:jc w:val="center"/>
              <w:rPr>
                <w:color w:val="000000"/>
                <w:sz w:val="20"/>
                <w:szCs w:val="20"/>
              </w:rPr>
            </w:pPr>
            <w:r>
              <w:rPr>
                <w:b/>
                <w:bCs/>
                <w:color w:val="000000"/>
                <w:sz w:val="20"/>
                <w:szCs w:val="20"/>
              </w:rPr>
              <w:t xml:space="preserve">(State or </w:t>
            </w:r>
            <w:proofErr w:type="gramStart"/>
            <w:r>
              <w:rPr>
                <w:b/>
                <w:bCs/>
                <w:color w:val="000000"/>
                <w:sz w:val="20"/>
                <w:szCs w:val="20"/>
              </w:rPr>
              <w:t>other</w:t>
            </w:r>
            <w:proofErr w:type="gramEnd"/>
            <w:r>
              <w:rPr>
                <w:b/>
                <w:bCs/>
                <w:color w:val="000000"/>
                <w:sz w:val="20"/>
                <w:szCs w:val="20"/>
              </w:rPr>
              <w:t xml:space="preserve"> jurisdiction of</w:t>
            </w:r>
          </w:p>
          <w:p w14:paraId="6BCD4496" w14:textId="77777777" w:rsidR="008D7E3A" w:rsidRDefault="008D7E3A">
            <w:pPr>
              <w:jc w:val="center"/>
              <w:rPr>
                <w:color w:val="000000"/>
                <w:sz w:val="20"/>
                <w:szCs w:val="20"/>
              </w:rPr>
            </w:pPr>
            <w:r>
              <w:rPr>
                <w:b/>
                <w:bCs/>
                <w:color w:val="000000"/>
                <w:sz w:val="20"/>
                <w:szCs w:val="20"/>
              </w:rPr>
              <w:t>incorporation or organization)</w:t>
            </w:r>
          </w:p>
        </w:tc>
        <w:tc>
          <w:tcPr>
            <w:tcW w:w="100" w:type="pct"/>
            <w:tcMar>
              <w:top w:w="5" w:type="dxa"/>
              <w:left w:w="5" w:type="dxa"/>
              <w:bottom w:w="5" w:type="dxa"/>
              <w:right w:w="5" w:type="dxa"/>
            </w:tcMar>
            <w:vAlign w:val="bottom"/>
            <w:hideMark/>
          </w:tcPr>
          <w:p w14:paraId="3CCD15D2"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2CADF59" w14:textId="77777777" w:rsidR="008D7E3A" w:rsidRDefault="008D7E3A">
            <w:pPr>
              <w:jc w:val="center"/>
              <w:rPr>
                <w:color w:val="000000"/>
                <w:sz w:val="20"/>
                <w:szCs w:val="20"/>
              </w:rPr>
            </w:pPr>
            <w:r>
              <w:rPr>
                <w:b/>
                <w:bCs/>
                <w:color w:val="000000"/>
                <w:sz w:val="20"/>
                <w:szCs w:val="20"/>
              </w:rPr>
              <w:t>(Commission File No.)</w:t>
            </w:r>
          </w:p>
        </w:tc>
        <w:tc>
          <w:tcPr>
            <w:tcW w:w="100" w:type="pct"/>
            <w:tcMar>
              <w:top w:w="5" w:type="dxa"/>
              <w:left w:w="5" w:type="dxa"/>
              <w:bottom w:w="5" w:type="dxa"/>
              <w:right w:w="5" w:type="dxa"/>
            </w:tcMar>
            <w:vAlign w:val="bottom"/>
            <w:hideMark/>
          </w:tcPr>
          <w:p w14:paraId="5BE72CCD"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4EAE9BA6" w14:textId="77777777" w:rsidR="008D7E3A" w:rsidRDefault="008D7E3A">
            <w:pPr>
              <w:jc w:val="center"/>
              <w:rPr>
                <w:color w:val="000000"/>
                <w:sz w:val="20"/>
                <w:szCs w:val="20"/>
              </w:rPr>
            </w:pPr>
            <w:r>
              <w:rPr>
                <w:b/>
                <w:bCs/>
                <w:color w:val="000000"/>
                <w:sz w:val="20"/>
                <w:szCs w:val="20"/>
              </w:rPr>
              <w:t>(IRS Employee Identification No.)</w:t>
            </w:r>
          </w:p>
        </w:tc>
      </w:tr>
    </w:tbl>
    <w:p w14:paraId="6698FA39" w14:textId="77777777" w:rsidR="008D7E3A" w:rsidRDefault="008D7E3A" w:rsidP="008D7E3A">
      <w:pPr>
        <w:ind w:left="144" w:right="144"/>
        <w:rPr>
          <w:sz w:val="20"/>
          <w:szCs w:val="20"/>
        </w:rPr>
      </w:pPr>
      <w:r>
        <w:rPr>
          <w:sz w:val="20"/>
          <w:szCs w:val="20"/>
        </w:rPr>
        <w:t> </w:t>
      </w:r>
    </w:p>
    <w:p w14:paraId="15C44742" w14:textId="77777777" w:rsidR="008D7E3A" w:rsidRDefault="008D7E3A" w:rsidP="008D7E3A">
      <w:pPr>
        <w:ind w:left="144" w:right="144"/>
        <w:jc w:val="center"/>
        <w:rPr>
          <w:sz w:val="20"/>
          <w:szCs w:val="20"/>
        </w:rPr>
      </w:pPr>
      <w:r>
        <w:rPr>
          <w:b/>
          <w:bCs/>
          <w:sz w:val="20"/>
          <w:szCs w:val="20"/>
        </w:rPr>
        <w:t>1900 Lake Park Drive, Suite 380</w:t>
      </w:r>
    </w:p>
    <w:p w14:paraId="25EE6DB2" w14:textId="77777777" w:rsidR="008D7E3A" w:rsidRDefault="008D7E3A" w:rsidP="008D7E3A">
      <w:pPr>
        <w:ind w:left="144" w:right="144"/>
        <w:jc w:val="center"/>
        <w:rPr>
          <w:sz w:val="20"/>
          <w:szCs w:val="20"/>
        </w:rPr>
      </w:pPr>
      <w:r>
        <w:rPr>
          <w:b/>
          <w:bCs/>
          <w:sz w:val="20"/>
          <w:szCs w:val="20"/>
        </w:rPr>
        <w:t>Smyrna, Georgia 30080</w:t>
      </w:r>
    </w:p>
    <w:p w14:paraId="46F2FA6A" w14:textId="77777777" w:rsidR="008D7E3A" w:rsidRDefault="008D7E3A" w:rsidP="008D7E3A">
      <w:pPr>
        <w:ind w:left="144" w:right="144"/>
        <w:jc w:val="center"/>
        <w:rPr>
          <w:sz w:val="20"/>
          <w:szCs w:val="20"/>
        </w:rPr>
      </w:pPr>
      <w:r>
        <w:rPr>
          <w:b/>
          <w:bCs/>
          <w:sz w:val="20"/>
          <w:szCs w:val="20"/>
        </w:rPr>
        <w:t>(Address of principal executive offices) (Zip code)</w:t>
      </w:r>
    </w:p>
    <w:p w14:paraId="727D898C" w14:textId="77777777" w:rsidR="008D7E3A" w:rsidRDefault="008D7E3A" w:rsidP="008D7E3A">
      <w:pPr>
        <w:ind w:left="144" w:right="144"/>
        <w:rPr>
          <w:sz w:val="20"/>
          <w:szCs w:val="20"/>
        </w:rPr>
      </w:pPr>
      <w:r>
        <w:rPr>
          <w:sz w:val="20"/>
          <w:szCs w:val="20"/>
        </w:rPr>
        <w:t> </w:t>
      </w:r>
    </w:p>
    <w:p w14:paraId="5512C648" w14:textId="77777777" w:rsidR="008D7E3A" w:rsidRDefault="008D7E3A" w:rsidP="008D7E3A">
      <w:pPr>
        <w:ind w:left="144" w:right="144"/>
        <w:jc w:val="center"/>
        <w:rPr>
          <w:sz w:val="20"/>
          <w:szCs w:val="20"/>
        </w:rPr>
      </w:pPr>
      <w:r>
        <w:rPr>
          <w:b/>
          <w:bCs/>
          <w:sz w:val="20"/>
          <w:szCs w:val="20"/>
        </w:rPr>
        <w:t>(678) 384-7220</w:t>
      </w:r>
    </w:p>
    <w:p w14:paraId="4C4D8CE6" w14:textId="77777777" w:rsidR="008D7E3A" w:rsidRDefault="008D7E3A" w:rsidP="008D7E3A">
      <w:pPr>
        <w:ind w:left="144" w:right="144"/>
        <w:jc w:val="center"/>
        <w:rPr>
          <w:sz w:val="20"/>
          <w:szCs w:val="20"/>
        </w:rPr>
      </w:pPr>
      <w:r>
        <w:rPr>
          <w:b/>
          <w:bCs/>
          <w:sz w:val="20"/>
          <w:szCs w:val="20"/>
        </w:rPr>
        <w:t>(Registrant’s telephone number, including area code)</w:t>
      </w:r>
    </w:p>
    <w:p w14:paraId="56233E1A" w14:textId="77777777" w:rsidR="008D7E3A" w:rsidRDefault="008D7E3A" w:rsidP="008D7E3A">
      <w:pPr>
        <w:ind w:left="144" w:right="144"/>
        <w:rPr>
          <w:sz w:val="20"/>
          <w:szCs w:val="20"/>
        </w:rPr>
      </w:pPr>
      <w:r>
        <w:rPr>
          <w:sz w:val="20"/>
          <w:szCs w:val="20"/>
        </w:rPr>
        <w:t>  </w:t>
      </w:r>
    </w:p>
    <w:p w14:paraId="21125087" w14:textId="77777777" w:rsidR="008D7E3A" w:rsidRDefault="008D7E3A" w:rsidP="008D7E3A">
      <w:pPr>
        <w:ind w:left="144" w:right="144"/>
        <w:rPr>
          <w:sz w:val="20"/>
          <w:szCs w:val="20"/>
        </w:rPr>
      </w:pPr>
      <w:r>
        <w:rPr>
          <w:sz w:val="20"/>
          <w:szCs w:val="20"/>
        </w:rPr>
        <w:t>Check the appropriate box below if the Form 8-K filing is intended to simultaneously satisfy the filing obligation of the Registrant under any of the following provisions.</w:t>
      </w:r>
    </w:p>
    <w:p w14:paraId="56A7FFCB" w14:textId="77777777" w:rsidR="008D7E3A" w:rsidRDefault="008D7E3A" w:rsidP="008D7E3A">
      <w:pPr>
        <w:ind w:left="144" w:right="144"/>
        <w:rPr>
          <w:sz w:val="20"/>
          <w:szCs w:val="20"/>
        </w:rPr>
      </w:pPr>
      <w:r>
        <w:rPr>
          <w:sz w:val="20"/>
          <w:szCs w:val="20"/>
        </w:rPr>
        <w:t> </w:t>
      </w:r>
    </w:p>
    <w:p w14:paraId="060CE3CB"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Written communications pursuant to Rule 425 under the Securities Act (17 CFR 230.425)</w:t>
      </w:r>
    </w:p>
    <w:p w14:paraId="378B9C71" w14:textId="77777777" w:rsidR="008D7E3A" w:rsidRDefault="008D7E3A" w:rsidP="008D7E3A">
      <w:pPr>
        <w:ind w:left="144" w:right="144"/>
        <w:rPr>
          <w:sz w:val="20"/>
          <w:szCs w:val="20"/>
        </w:rPr>
      </w:pPr>
      <w:r>
        <w:rPr>
          <w:sz w:val="20"/>
          <w:szCs w:val="20"/>
        </w:rPr>
        <w:t> </w:t>
      </w:r>
    </w:p>
    <w:p w14:paraId="01FD6FA6"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Soliciting material pursuant to Rule 14a-12 under the Exchange Act (17 CFR240.14a-12)</w:t>
      </w:r>
    </w:p>
    <w:p w14:paraId="72B0E98D" w14:textId="77777777" w:rsidR="008D7E3A" w:rsidRDefault="008D7E3A" w:rsidP="008D7E3A">
      <w:pPr>
        <w:ind w:left="144" w:right="144"/>
        <w:rPr>
          <w:sz w:val="20"/>
          <w:szCs w:val="20"/>
        </w:rPr>
      </w:pPr>
      <w:r>
        <w:rPr>
          <w:sz w:val="20"/>
          <w:szCs w:val="20"/>
        </w:rPr>
        <w:t> </w:t>
      </w:r>
    </w:p>
    <w:p w14:paraId="07FCB38D"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14d-2(b) under the Exchange Act (17 CFR 240.14d-2(b)).</w:t>
      </w:r>
    </w:p>
    <w:p w14:paraId="0480CCDE" w14:textId="77777777" w:rsidR="008D7E3A" w:rsidRDefault="008D7E3A" w:rsidP="008D7E3A">
      <w:pPr>
        <w:ind w:left="144" w:right="144"/>
        <w:rPr>
          <w:sz w:val="20"/>
          <w:szCs w:val="20"/>
        </w:rPr>
      </w:pPr>
      <w:r>
        <w:rPr>
          <w:sz w:val="20"/>
          <w:szCs w:val="20"/>
        </w:rPr>
        <w:t> </w:t>
      </w:r>
    </w:p>
    <w:p w14:paraId="5C400D4E"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13e-4(c) under the Exchange Act (17 CFR 240.13(e)-4(c))</w:t>
      </w:r>
    </w:p>
    <w:p w14:paraId="204B4D11" w14:textId="77777777" w:rsidR="008D7E3A" w:rsidRDefault="008D7E3A" w:rsidP="008D7E3A">
      <w:pPr>
        <w:ind w:left="144" w:right="144"/>
        <w:rPr>
          <w:sz w:val="20"/>
          <w:szCs w:val="20"/>
        </w:rPr>
      </w:pPr>
      <w:r>
        <w:rPr>
          <w:sz w:val="20"/>
          <w:szCs w:val="20"/>
        </w:rPr>
        <w:t> </w:t>
      </w:r>
    </w:p>
    <w:p w14:paraId="03D855F4" w14:textId="77777777" w:rsidR="008D7E3A" w:rsidRDefault="008D7E3A" w:rsidP="008D7E3A">
      <w:pPr>
        <w:ind w:left="144" w:right="144"/>
        <w:rPr>
          <w:sz w:val="20"/>
          <w:szCs w:val="20"/>
        </w:rPr>
      </w:pPr>
      <w:r>
        <w:rPr>
          <w:sz w:val="20"/>
          <w:szCs w:val="20"/>
        </w:rPr>
        <w:t>Securities registered pursuant to Section 12(b) of the Act:</w:t>
      </w:r>
    </w:p>
    <w:p w14:paraId="1D661DC7" w14:textId="77777777" w:rsidR="008D7E3A" w:rsidRDefault="008D7E3A" w:rsidP="008D7E3A">
      <w:pPr>
        <w:ind w:left="144" w:right="144"/>
        <w:rPr>
          <w:sz w:val="20"/>
          <w:szCs w:val="20"/>
        </w:rPr>
      </w:pPr>
      <w:r>
        <w:rPr>
          <w:sz w:val="20"/>
          <w:szCs w:val="20"/>
        </w:rPr>
        <w:t> </w:t>
      </w:r>
    </w:p>
    <w:tbl>
      <w:tblPr>
        <w:tblW w:w="4995" w:type="pct"/>
        <w:tblInd w:w="149" w:type="dxa"/>
        <w:tblCellMar>
          <w:left w:w="0" w:type="dxa"/>
          <w:right w:w="0" w:type="dxa"/>
        </w:tblCellMar>
        <w:tblLook w:val="04A0" w:firstRow="1" w:lastRow="0" w:firstColumn="1" w:lastColumn="0" w:noHBand="0" w:noVBand="1"/>
      </w:tblPr>
      <w:tblGrid>
        <w:gridCol w:w="4424"/>
        <w:gridCol w:w="1942"/>
        <w:gridCol w:w="4423"/>
      </w:tblGrid>
      <w:tr w:rsidR="008D7E3A" w14:paraId="27B326FD" w14:textId="77777777" w:rsidTr="008D7E3A">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71910E3E" w14:textId="77777777" w:rsidR="008D7E3A" w:rsidRDefault="008D7E3A">
            <w:pPr>
              <w:jc w:val="center"/>
              <w:rPr>
                <w:color w:val="000000"/>
                <w:sz w:val="20"/>
                <w:szCs w:val="20"/>
              </w:rPr>
            </w:pPr>
            <w:r>
              <w:rPr>
                <w:color w:val="000000"/>
                <w:sz w:val="20"/>
                <w:szCs w:val="20"/>
              </w:rPr>
              <w:t>Title of each class</w:t>
            </w:r>
          </w:p>
        </w:tc>
        <w:tc>
          <w:tcPr>
            <w:tcW w:w="900" w:type="pct"/>
            <w:tcBorders>
              <w:top w:val="nil"/>
              <w:left w:val="nil"/>
              <w:bottom w:val="single" w:sz="6" w:space="0" w:color="000000"/>
              <w:right w:val="nil"/>
            </w:tcBorders>
            <w:tcMar>
              <w:top w:w="5" w:type="dxa"/>
              <w:left w:w="5" w:type="dxa"/>
              <w:bottom w:w="8" w:type="dxa"/>
              <w:right w:w="5" w:type="dxa"/>
            </w:tcMar>
            <w:vAlign w:val="bottom"/>
            <w:hideMark/>
          </w:tcPr>
          <w:p w14:paraId="64DC4E24" w14:textId="77777777" w:rsidR="008D7E3A" w:rsidRDefault="008D7E3A">
            <w:pPr>
              <w:jc w:val="center"/>
              <w:rPr>
                <w:color w:val="000000"/>
                <w:sz w:val="20"/>
                <w:szCs w:val="20"/>
              </w:rPr>
            </w:pPr>
            <w:r>
              <w:rPr>
                <w:color w:val="000000"/>
                <w:sz w:val="20"/>
                <w:szCs w:val="20"/>
              </w:rPr>
              <w:t>Trading</w:t>
            </w:r>
          </w:p>
          <w:p w14:paraId="72AEB163" w14:textId="77777777" w:rsidR="008D7E3A" w:rsidRDefault="008D7E3A">
            <w:pPr>
              <w:jc w:val="center"/>
              <w:rPr>
                <w:color w:val="000000"/>
                <w:sz w:val="20"/>
                <w:szCs w:val="20"/>
              </w:rPr>
            </w:pPr>
            <w:r>
              <w:rPr>
                <w:color w:val="000000"/>
                <w:sz w:val="20"/>
                <w:szCs w:val="20"/>
              </w:rPr>
              <w:t>Symbol(s)</w:t>
            </w:r>
          </w:p>
        </w:tc>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32D81BE6" w14:textId="77777777" w:rsidR="008D7E3A" w:rsidRDefault="008D7E3A">
            <w:pPr>
              <w:jc w:val="center"/>
              <w:rPr>
                <w:color w:val="000000"/>
                <w:sz w:val="20"/>
                <w:szCs w:val="20"/>
              </w:rPr>
            </w:pPr>
            <w:r>
              <w:rPr>
                <w:color w:val="000000"/>
                <w:sz w:val="20"/>
                <w:szCs w:val="20"/>
              </w:rPr>
              <w:t>Name of each exchange on which registered</w:t>
            </w:r>
          </w:p>
        </w:tc>
      </w:tr>
      <w:tr w:rsidR="008D7E3A" w14:paraId="1A046CA1" w14:textId="77777777" w:rsidTr="008D7E3A">
        <w:tc>
          <w:tcPr>
            <w:tcW w:w="2050" w:type="pct"/>
            <w:tcMar>
              <w:top w:w="5" w:type="dxa"/>
              <w:left w:w="5" w:type="dxa"/>
              <w:bottom w:w="5" w:type="dxa"/>
              <w:right w:w="5" w:type="dxa"/>
            </w:tcMar>
            <w:vAlign w:val="center"/>
            <w:hideMark/>
          </w:tcPr>
          <w:p w14:paraId="1EEB88FC" w14:textId="77777777" w:rsidR="008D7E3A" w:rsidRDefault="008D7E3A">
            <w:pPr>
              <w:jc w:val="center"/>
              <w:rPr>
                <w:color w:val="000000"/>
                <w:sz w:val="20"/>
                <w:szCs w:val="20"/>
              </w:rPr>
            </w:pPr>
            <w:r>
              <w:rPr>
                <w:color w:val="000000"/>
                <w:sz w:val="20"/>
                <w:szCs w:val="20"/>
              </w:rPr>
              <w:t>Common Stock, par value $0.001 per share</w:t>
            </w:r>
          </w:p>
        </w:tc>
        <w:tc>
          <w:tcPr>
            <w:tcW w:w="900" w:type="pct"/>
            <w:tcMar>
              <w:top w:w="5" w:type="dxa"/>
              <w:left w:w="5" w:type="dxa"/>
              <w:bottom w:w="5" w:type="dxa"/>
              <w:right w:w="5" w:type="dxa"/>
            </w:tcMar>
            <w:vAlign w:val="center"/>
            <w:hideMark/>
          </w:tcPr>
          <w:p w14:paraId="4CF2F38D" w14:textId="77777777" w:rsidR="008D7E3A" w:rsidRDefault="008D7E3A">
            <w:pPr>
              <w:jc w:val="center"/>
              <w:rPr>
                <w:color w:val="000000"/>
                <w:sz w:val="20"/>
                <w:szCs w:val="20"/>
              </w:rPr>
            </w:pPr>
            <w:r>
              <w:rPr>
                <w:color w:val="000000"/>
                <w:sz w:val="20"/>
                <w:szCs w:val="20"/>
              </w:rPr>
              <w:t>GOVX</w:t>
            </w:r>
          </w:p>
        </w:tc>
        <w:tc>
          <w:tcPr>
            <w:tcW w:w="2050" w:type="pct"/>
            <w:tcMar>
              <w:top w:w="5" w:type="dxa"/>
              <w:left w:w="5" w:type="dxa"/>
              <w:bottom w:w="5" w:type="dxa"/>
              <w:right w:w="5" w:type="dxa"/>
            </w:tcMar>
            <w:vAlign w:val="center"/>
            <w:hideMark/>
          </w:tcPr>
          <w:p w14:paraId="1F76576B" w14:textId="77777777" w:rsidR="008D7E3A" w:rsidRDefault="008D7E3A">
            <w:pPr>
              <w:jc w:val="center"/>
              <w:rPr>
                <w:color w:val="000000"/>
                <w:sz w:val="20"/>
                <w:szCs w:val="20"/>
              </w:rPr>
            </w:pPr>
            <w:r>
              <w:rPr>
                <w:color w:val="000000"/>
                <w:sz w:val="20"/>
                <w:szCs w:val="20"/>
              </w:rPr>
              <w:t>The Nasdaq Capital Market</w:t>
            </w:r>
          </w:p>
        </w:tc>
      </w:tr>
      <w:tr w:rsidR="008D7E3A" w14:paraId="67135A27" w14:textId="77777777" w:rsidTr="008D7E3A">
        <w:tc>
          <w:tcPr>
            <w:tcW w:w="2050" w:type="pct"/>
            <w:tcMar>
              <w:top w:w="5" w:type="dxa"/>
              <w:left w:w="5" w:type="dxa"/>
              <w:bottom w:w="5" w:type="dxa"/>
              <w:right w:w="5" w:type="dxa"/>
            </w:tcMar>
            <w:vAlign w:val="center"/>
            <w:hideMark/>
          </w:tcPr>
          <w:p w14:paraId="36C81E47" w14:textId="77777777" w:rsidR="008D7E3A" w:rsidRDefault="008D7E3A">
            <w:pPr>
              <w:jc w:val="center"/>
              <w:rPr>
                <w:color w:val="000000"/>
                <w:sz w:val="20"/>
                <w:szCs w:val="20"/>
              </w:rPr>
            </w:pPr>
            <w:r>
              <w:rPr>
                <w:color w:val="000000"/>
                <w:sz w:val="20"/>
                <w:szCs w:val="20"/>
              </w:rPr>
              <w:t>Warrants to Purchase Common Stock</w:t>
            </w:r>
          </w:p>
        </w:tc>
        <w:tc>
          <w:tcPr>
            <w:tcW w:w="900" w:type="pct"/>
            <w:tcMar>
              <w:top w:w="5" w:type="dxa"/>
              <w:left w:w="5" w:type="dxa"/>
              <w:bottom w:w="5" w:type="dxa"/>
              <w:right w:w="5" w:type="dxa"/>
            </w:tcMar>
            <w:vAlign w:val="center"/>
            <w:hideMark/>
          </w:tcPr>
          <w:p w14:paraId="363E4FB4" w14:textId="77777777" w:rsidR="008D7E3A" w:rsidRDefault="008D7E3A">
            <w:pPr>
              <w:jc w:val="center"/>
              <w:rPr>
                <w:color w:val="000000"/>
                <w:sz w:val="20"/>
                <w:szCs w:val="20"/>
              </w:rPr>
            </w:pPr>
            <w:r>
              <w:rPr>
                <w:color w:val="000000"/>
                <w:sz w:val="20"/>
                <w:szCs w:val="20"/>
              </w:rPr>
              <w:t>GOVXW</w:t>
            </w:r>
          </w:p>
        </w:tc>
        <w:tc>
          <w:tcPr>
            <w:tcW w:w="2050" w:type="pct"/>
            <w:tcMar>
              <w:top w:w="5" w:type="dxa"/>
              <w:left w:w="5" w:type="dxa"/>
              <w:bottom w:w="5" w:type="dxa"/>
              <w:right w:w="5" w:type="dxa"/>
            </w:tcMar>
            <w:vAlign w:val="center"/>
            <w:hideMark/>
          </w:tcPr>
          <w:p w14:paraId="0F8471ED" w14:textId="77777777" w:rsidR="008D7E3A" w:rsidRDefault="008D7E3A">
            <w:pPr>
              <w:jc w:val="center"/>
              <w:rPr>
                <w:color w:val="000000"/>
                <w:sz w:val="20"/>
                <w:szCs w:val="20"/>
              </w:rPr>
            </w:pPr>
            <w:r>
              <w:rPr>
                <w:color w:val="000000"/>
                <w:sz w:val="20"/>
                <w:szCs w:val="20"/>
              </w:rPr>
              <w:t>The Nasdaq Capital Market</w:t>
            </w:r>
          </w:p>
        </w:tc>
      </w:tr>
    </w:tbl>
    <w:p w14:paraId="6C7667D3" w14:textId="77777777" w:rsidR="008D7E3A" w:rsidRDefault="008D7E3A" w:rsidP="008D7E3A">
      <w:pPr>
        <w:ind w:left="144" w:right="144"/>
        <w:rPr>
          <w:sz w:val="20"/>
          <w:szCs w:val="20"/>
        </w:rPr>
      </w:pPr>
      <w:r>
        <w:rPr>
          <w:sz w:val="20"/>
          <w:szCs w:val="20"/>
        </w:rPr>
        <w:t> </w:t>
      </w:r>
    </w:p>
    <w:p w14:paraId="157A0BCE" w14:textId="77777777" w:rsidR="008D7E3A" w:rsidRDefault="008D7E3A" w:rsidP="008D7E3A">
      <w:pPr>
        <w:ind w:left="144" w:right="144"/>
        <w:rPr>
          <w:sz w:val="20"/>
          <w:szCs w:val="20"/>
        </w:rPr>
      </w:pPr>
      <w:r>
        <w:rPr>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0623A4F2" w14:textId="77777777" w:rsidR="008D7E3A" w:rsidRDefault="008D7E3A" w:rsidP="008D7E3A">
      <w:pPr>
        <w:ind w:left="144" w:right="144"/>
        <w:rPr>
          <w:sz w:val="20"/>
          <w:szCs w:val="20"/>
        </w:rPr>
      </w:pPr>
      <w:r>
        <w:rPr>
          <w:sz w:val="20"/>
          <w:szCs w:val="20"/>
        </w:rPr>
        <w:t xml:space="preserve">Emerging growth company </w:t>
      </w:r>
      <w:r>
        <w:rPr>
          <w:rFonts w:ascii="Segoe UI Symbol" w:eastAsia="Segoe UI Symbol" w:hAnsi="Segoe UI Symbol" w:cs="Segoe UI Symbol"/>
          <w:sz w:val="20"/>
          <w:szCs w:val="20"/>
        </w:rPr>
        <w:t>☐</w:t>
      </w:r>
    </w:p>
    <w:p w14:paraId="207B99DA" w14:textId="77777777" w:rsidR="008D7E3A" w:rsidRDefault="008D7E3A" w:rsidP="008D7E3A">
      <w:pPr>
        <w:ind w:left="144" w:right="144"/>
        <w:rPr>
          <w:sz w:val="20"/>
          <w:szCs w:val="20"/>
        </w:rPr>
      </w:pPr>
      <w:r>
        <w:rPr>
          <w:sz w:val="20"/>
          <w:szCs w:val="20"/>
        </w:rPr>
        <w:t> </w:t>
      </w:r>
    </w:p>
    <w:p w14:paraId="40CA140A" w14:textId="77777777" w:rsidR="008D7E3A" w:rsidRDefault="008D7E3A" w:rsidP="008D7E3A">
      <w:pPr>
        <w:ind w:left="144" w:right="144"/>
        <w:rPr>
          <w:sz w:val="20"/>
          <w:szCs w:val="20"/>
        </w:rPr>
      </w:pPr>
      <w:r>
        <w:rPr>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sz w:val="20"/>
          <w:szCs w:val="20"/>
        </w:rPr>
        <w:t>☐</w:t>
      </w:r>
    </w:p>
    <w:p w14:paraId="236FA74A" w14:textId="77777777" w:rsidR="008D7E3A" w:rsidRDefault="008D7E3A" w:rsidP="008D7E3A">
      <w:pPr>
        <w:ind w:left="144" w:right="144"/>
        <w:rPr>
          <w:sz w:val="20"/>
          <w:szCs w:val="20"/>
        </w:rPr>
      </w:pPr>
      <w:r>
        <w:rPr>
          <w:sz w:val="20"/>
          <w:szCs w:val="20"/>
        </w:rPr>
        <w:t> </w:t>
      </w:r>
    </w:p>
    <w:p w14:paraId="5808B58E" w14:textId="77777777" w:rsidR="008D7E3A" w:rsidRDefault="008D7E3A" w:rsidP="008D7E3A">
      <w:pPr>
        <w:ind w:left="144" w:right="144"/>
        <w:rPr>
          <w:sz w:val="20"/>
          <w:szCs w:val="20"/>
        </w:rPr>
      </w:pPr>
      <w:r>
        <w:rPr>
          <w:sz w:val="20"/>
          <w:szCs w:val="20"/>
        </w:rPr>
        <w:br w:type="page"/>
      </w:r>
      <w:r>
        <w:rPr>
          <w:sz w:val="20"/>
          <w:szCs w:val="20"/>
        </w:rPr>
        <w:lastRenderedPageBreak/>
        <w:t> </w:t>
      </w:r>
    </w:p>
    <w:p w14:paraId="2B28EAC3" w14:textId="025EC905" w:rsidR="00CB3D5C" w:rsidRDefault="008D7E3A" w:rsidP="00C36B57">
      <w:pPr>
        <w:ind w:left="144" w:right="144"/>
        <w:rPr>
          <w:sz w:val="20"/>
          <w:szCs w:val="20"/>
        </w:rPr>
      </w:pPr>
      <w:r>
        <w:rPr>
          <w:sz w:val="20"/>
          <w:szCs w:val="20"/>
        </w:rPr>
        <w:t> </w:t>
      </w:r>
    </w:p>
    <w:p w14:paraId="68BAEFFD" w14:textId="2AC59DCA" w:rsidR="00F9508E" w:rsidRDefault="00F9508E" w:rsidP="00F9508E">
      <w:pPr>
        <w:ind w:left="144" w:right="144"/>
        <w:jc w:val="both"/>
        <w:rPr>
          <w:sz w:val="20"/>
          <w:szCs w:val="20"/>
        </w:rPr>
      </w:pPr>
      <w:r>
        <w:rPr>
          <w:sz w:val="20"/>
          <w:szCs w:val="20"/>
        </w:rPr>
        <w:t>This Current Report on Form 8-K and other reports filed by GeoVax Labs, Inc. (the “Company</w:t>
      </w:r>
      <w:r w:rsidR="00EC14ED">
        <w:rPr>
          <w:sz w:val="20"/>
          <w:szCs w:val="20"/>
        </w:rPr>
        <w:t>,</w:t>
      </w:r>
      <w:r>
        <w:rPr>
          <w:sz w:val="20"/>
          <w:szCs w:val="20"/>
        </w:rPr>
        <w:t>”</w:t>
      </w:r>
      <w:r w:rsidR="00EC14ED">
        <w:rPr>
          <w:sz w:val="20"/>
          <w:szCs w:val="20"/>
        </w:rPr>
        <w:t xml:space="preserve"> “us” or “we”</w:t>
      </w:r>
      <w:r>
        <w:rPr>
          <w:sz w:val="20"/>
          <w:szCs w:val="20"/>
        </w:rPr>
        <w:t>) from time to time with the Securities and Exchange Commission (collectively the “Filings”) contain forward-looking statements and information that are based upon beliefs of, and information currently available to, the Company’s management as well as estimates and assumptions made by the Company’s management. When used in the Filings the words “</w:t>
      </w:r>
      <w:r w:rsidRPr="00314FC4">
        <w:rPr>
          <w:sz w:val="20"/>
          <w:szCs w:val="20"/>
        </w:rPr>
        <w:t xml:space="preserve">believe,” “look forward to,” “may,” “estimate,” “continue,” “anticipate,” “intend,” “should,” “plan,” “could,” </w:t>
      </w:r>
      <w:r>
        <w:rPr>
          <w:sz w:val="20"/>
          <w:szCs w:val="20"/>
        </w:rPr>
        <w:t xml:space="preserve">“desire,” </w:t>
      </w:r>
      <w:r w:rsidRPr="00314FC4">
        <w:rPr>
          <w:sz w:val="20"/>
          <w:szCs w:val="20"/>
        </w:rPr>
        <w:t>“target,” “potential,” “is likely,” “will,” “expect”</w:t>
      </w:r>
      <w:r>
        <w:rPr>
          <w:sz w:val="20"/>
          <w:szCs w:val="20"/>
        </w:rPr>
        <w:t xml:space="preserve"> or the negative of these terms and similar expressions as they relate to the Company or the Company’s management identify forward looking statements.  Such statements reflect the current view of the Company with respect to future events and are subject to risks, uncertainties, </w:t>
      </w:r>
      <w:proofErr w:type="gramStart"/>
      <w:r>
        <w:rPr>
          <w:sz w:val="20"/>
          <w:szCs w:val="20"/>
        </w:rPr>
        <w:t>assumptions</w:t>
      </w:r>
      <w:proofErr w:type="gramEnd"/>
      <w:r>
        <w:rPr>
          <w:sz w:val="20"/>
          <w:szCs w:val="20"/>
        </w:rPr>
        <w:t xml:space="preserve"> and other factors relating to the Company’s industry, operations and results of operations and any businesses that may be acquired by the Company. Should one or more of these risks or uncertainties materialize, or should the underlying assumptions prove incorrect, actual results may differ significantly from those anticipated, believed, estimated, expected, </w:t>
      </w:r>
      <w:proofErr w:type="gramStart"/>
      <w:r>
        <w:rPr>
          <w:sz w:val="20"/>
          <w:szCs w:val="20"/>
        </w:rPr>
        <w:t>intended</w:t>
      </w:r>
      <w:proofErr w:type="gramEnd"/>
      <w:r>
        <w:rPr>
          <w:sz w:val="20"/>
          <w:szCs w:val="20"/>
        </w:rPr>
        <w:t xml:space="preserve"> or planned. Except as required by law, the Company does not undertake to update its forward-looking statements.</w:t>
      </w:r>
    </w:p>
    <w:p w14:paraId="66959998" w14:textId="04C853BC" w:rsidR="00F9508E" w:rsidRDefault="00F9508E" w:rsidP="00F9508E">
      <w:pPr>
        <w:ind w:left="144" w:right="144"/>
        <w:jc w:val="both"/>
        <w:rPr>
          <w:sz w:val="20"/>
          <w:szCs w:val="20"/>
        </w:rPr>
      </w:pPr>
    </w:p>
    <w:p w14:paraId="27539B9F" w14:textId="293A07DD" w:rsidR="00C524E3" w:rsidRPr="00C524E3" w:rsidRDefault="00C524E3" w:rsidP="00C524E3">
      <w:pPr>
        <w:ind w:left="144" w:right="144"/>
        <w:jc w:val="both"/>
        <w:rPr>
          <w:sz w:val="20"/>
          <w:szCs w:val="20"/>
        </w:rPr>
      </w:pPr>
      <w:r w:rsidRPr="00C524E3">
        <w:rPr>
          <w:b/>
          <w:bCs/>
          <w:sz w:val="20"/>
          <w:szCs w:val="20"/>
        </w:rPr>
        <w:t xml:space="preserve">Item </w:t>
      </w:r>
      <w:r w:rsidR="00BD31FD">
        <w:rPr>
          <w:b/>
          <w:bCs/>
          <w:sz w:val="20"/>
          <w:szCs w:val="20"/>
        </w:rPr>
        <w:t>3.01</w:t>
      </w:r>
      <w:r w:rsidR="00B55645">
        <w:rPr>
          <w:b/>
          <w:bCs/>
          <w:sz w:val="20"/>
          <w:szCs w:val="20"/>
        </w:rPr>
        <w:tab/>
      </w:r>
      <w:r w:rsidR="00BD31FD" w:rsidRPr="00BD31FD">
        <w:rPr>
          <w:b/>
          <w:bCs/>
          <w:sz w:val="20"/>
          <w:szCs w:val="20"/>
        </w:rPr>
        <w:t xml:space="preserve">Notice of Delisting or Failure to Satisfy a Continued Listing Rule or </w:t>
      </w:r>
      <w:proofErr w:type="gramStart"/>
      <w:r w:rsidR="00BD31FD" w:rsidRPr="00BD31FD">
        <w:rPr>
          <w:b/>
          <w:bCs/>
          <w:sz w:val="20"/>
          <w:szCs w:val="20"/>
        </w:rPr>
        <w:t>Standard;</w:t>
      </w:r>
      <w:proofErr w:type="gramEnd"/>
      <w:r w:rsidR="00BD31FD" w:rsidRPr="00BD31FD">
        <w:rPr>
          <w:b/>
          <w:bCs/>
          <w:sz w:val="20"/>
          <w:szCs w:val="20"/>
        </w:rPr>
        <w:t xml:space="preserve"> Transfer of Listing</w:t>
      </w:r>
      <w:r w:rsidRPr="00C524E3">
        <w:rPr>
          <w:b/>
          <w:bCs/>
          <w:sz w:val="20"/>
          <w:szCs w:val="20"/>
        </w:rPr>
        <w:t>.</w:t>
      </w:r>
    </w:p>
    <w:p w14:paraId="193E3A71" w14:textId="324C6DFF" w:rsidR="00DF2B44" w:rsidRDefault="00DF2B44" w:rsidP="00C524E3">
      <w:pPr>
        <w:ind w:left="144" w:right="144"/>
        <w:jc w:val="both"/>
        <w:rPr>
          <w:sz w:val="20"/>
          <w:szCs w:val="20"/>
        </w:rPr>
      </w:pPr>
    </w:p>
    <w:p w14:paraId="67F25987" w14:textId="06543E65" w:rsidR="00037B68" w:rsidRDefault="00037B68" w:rsidP="00037B68">
      <w:pPr>
        <w:ind w:left="180" w:right="144"/>
        <w:jc w:val="both"/>
        <w:rPr>
          <w:sz w:val="20"/>
          <w:szCs w:val="20"/>
        </w:rPr>
      </w:pPr>
      <w:r w:rsidRPr="00BD31FD">
        <w:rPr>
          <w:sz w:val="20"/>
          <w:szCs w:val="20"/>
        </w:rPr>
        <w:t xml:space="preserve">On </w:t>
      </w:r>
      <w:r>
        <w:rPr>
          <w:sz w:val="20"/>
          <w:szCs w:val="20"/>
        </w:rPr>
        <w:t>December</w:t>
      </w:r>
      <w:r w:rsidRPr="00BD31FD">
        <w:rPr>
          <w:sz w:val="20"/>
          <w:szCs w:val="20"/>
        </w:rPr>
        <w:t xml:space="preserve"> </w:t>
      </w:r>
      <w:r w:rsidR="00643E11">
        <w:rPr>
          <w:sz w:val="20"/>
          <w:szCs w:val="20"/>
        </w:rPr>
        <w:t>6</w:t>
      </w:r>
      <w:r w:rsidRPr="00BD31FD">
        <w:rPr>
          <w:sz w:val="20"/>
          <w:szCs w:val="20"/>
        </w:rPr>
        <w:t>, 202</w:t>
      </w:r>
      <w:r>
        <w:rPr>
          <w:sz w:val="20"/>
          <w:szCs w:val="20"/>
        </w:rPr>
        <w:t>3</w:t>
      </w:r>
      <w:r w:rsidRPr="00BD31FD">
        <w:rPr>
          <w:sz w:val="20"/>
          <w:szCs w:val="20"/>
        </w:rPr>
        <w:t xml:space="preserve">, the Company received </w:t>
      </w:r>
      <w:r w:rsidRPr="00037B68">
        <w:rPr>
          <w:sz w:val="20"/>
          <w:szCs w:val="20"/>
        </w:rPr>
        <w:t xml:space="preserve">a notice (the “Notice”) from The Nasdaq Stock Market, LLC ("Nasdaq") stating that Nasdaq has determined to delist the Company's securities from the Nasdaq Capital Market for failure to maintain a minimum bid price of $1.00 per share in accordance with </w:t>
      </w:r>
      <w:r w:rsidRPr="00BD31FD">
        <w:rPr>
          <w:sz w:val="20"/>
          <w:szCs w:val="20"/>
        </w:rPr>
        <w:t xml:space="preserve">Nasdaq Listing Rule 5550(a)(2) (the “Bid Price Requirement”). </w:t>
      </w:r>
    </w:p>
    <w:p w14:paraId="57616EAD" w14:textId="77777777" w:rsidR="00037B68" w:rsidRDefault="00037B68" w:rsidP="00037B68">
      <w:pPr>
        <w:ind w:left="180" w:right="144"/>
        <w:jc w:val="both"/>
        <w:rPr>
          <w:sz w:val="20"/>
          <w:szCs w:val="20"/>
        </w:rPr>
      </w:pPr>
    </w:p>
    <w:p w14:paraId="2BBA638F" w14:textId="494A15DE" w:rsidR="00037B68" w:rsidRPr="00037B68" w:rsidRDefault="00037B68" w:rsidP="00037B68">
      <w:pPr>
        <w:ind w:left="180" w:right="144"/>
        <w:jc w:val="both"/>
        <w:rPr>
          <w:sz w:val="20"/>
          <w:szCs w:val="20"/>
        </w:rPr>
      </w:pPr>
      <w:r w:rsidRPr="00037B68">
        <w:rPr>
          <w:sz w:val="20"/>
          <w:szCs w:val="20"/>
        </w:rPr>
        <w:t xml:space="preserve">The Company intends to appeal the </w:t>
      </w:r>
      <w:r>
        <w:rPr>
          <w:sz w:val="20"/>
          <w:szCs w:val="20"/>
        </w:rPr>
        <w:t>Nasdaq determination</w:t>
      </w:r>
      <w:r w:rsidRPr="00037B68">
        <w:rPr>
          <w:sz w:val="20"/>
          <w:szCs w:val="20"/>
        </w:rPr>
        <w:t xml:space="preserve"> by requesting a hearing (the "Hearing") before a Nasdaq Hearings Panel (the "Panel") to seek continued listing pending its return to compliance with the Bid Price </w:t>
      </w:r>
      <w:r>
        <w:rPr>
          <w:sz w:val="20"/>
          <w:szCs w:val="20"/>
        </w:rPr>
        <w:t>Requirement</w:t>
      </w:r>
      <w:r w:rsidRPr="00037B68">
        <w:rPr>
          <w:sz w:val="20"/>
          <w:szCs w:val="20"/>
        </w:rPr>
        <w:t xml:space="preserve">. The Hearing request will stay the delisting of the Company's securities pending the Panel's decision. </w:t>
      </w:r>
    </w:p>
    <w:p w14:paraId="288A3D84" w14:textId="77777777" w:rsidR="00037B68" w:rsidRDefault="00037B68" w:rsidP="00037B68">
      <w:pPr>
        <w:ind w:left="180" w:right="144"/>
        <w:jc w:val="both"/>
        <w:rPr>
          <w:sz w:val="20"/>
          <w:szCs w:val="20"/>
        </w:rPr>
      </w:pPr>
    </w:p>
    <w:p w14:paraId="5A66BF40" w14:textId="25C006D6" w:rsidR="00037B68" w:rsidRPr="00037B68" w:rsidRDefault="00BB362F" w:rsidP="00BB362F">
      <w:pPr>
        <w:ind w:left="180" w:right="144"/>
        <w:jc w:val="both"/>
        <w:rPr>
          <w:sz w:val="20"/>
          <w:szCs w:val="20"/>
        </w:rPr>
      </w:pPr>
      <w:r>
        <w:rPr>
          <w:sz w:val="20"/>
          <w:szCs w:val="20"/>
        </w:rPr>
        <w:t>At the Hearing, the Company intends to</w:t>
      </w:r>
      <w:r w:rsidRPr="00BB362F">
        <w:rPr>
          <w:sz w:val="20"/>
          <w:szCs w:val="20"/>
        </w:rPr>
        <w:t xml:space="preserve"> </w:t>
      </w:r>
      <w:r>
        <w:rPr>
          <w:sz w:val="20"/>
          <w:szCs w:val="20"/>
        </w:rPr>
        <w:t>discuss</w:t>
      </w:r>
      <w:r w:rsidRPr="00BB362F">
        <w:rPr>
          <w:sz w:val="20"/>
          <w:szCs w:val="20"/>
        </w:rPr>
        <w:t xml:space="preserve"> the events that it believes will enable it to regain compliance</w:t>
      </w:r>
      <w:r>
        <w:rPr>
          <w:sz w:val="20"/>
          <w:szCs w:val="20"/>
        </w:rPr>
        <w:t>, including</w:t>
      </w:r>
      <w:r w:rsidR="00CA70CD">
        <w:rPr>
          <w:sz w:val="20"/>
          <w:szCs w:val="20"/>
        </w:rPr>
        <w:t xml:space="preserve"> a</w:t>
      </w:r>
      <w:r>
        <w:rPr>
          <w:sz w:val="20"/>
          <w:szCs w:val="20"/>
        </w:rPr>
        <w:t xml:space="preserve"> </w:t>
      </w:r>
      <w:r w:rsidRPr="00BB362F">
        <w:rPr>
          <w:sz w:val="20"/>
          <w:szCs w:val="20"/>
        </w:rPr>
        <w:t xml:space="preserve">commitment to </w:t>
      </w:r>
      <w:proofErr w:type="gramStart"/>
      <w:r w:rsidRPr="00BB362F">
        <w:rPr>
          <w:sz w:val="20"/>
          <w:szCs w:val="20"/>
        </w:rPr>
        <w:t>effect</w:t>
      </w:r>
      <w:proofErr w:type="gramEnd"/>
      <w:r w:rsidRPr="00BB362F">
        <w:rPr>
          <w:sz w:val="20"/>
          <w:szCs w:val="20"/>
        </w:rPr>
        <w:t xml:space="preserve"> a reverse stock split, </w:t>
      </w:r>
      <w:r w:rsidR="00037B68" w:rsidRPr="00037B68">
        <w:rPr>
          <w:sz w:val="20"/>
          <w:szCs w:val="20"/>
        </w:rPr>
        <w:t xml:space="preserve">as soon as reasonably practicable, subject to applicable law and Nasdaq rules. </w:t>
      </w:r>
      <w:r w:rsidR="00D51199">
        <w:rPr>
          <w:sz w:val="20"/>
          <w:szCs w:val="20"/>
        </w:rPr>
        <w:t xml:space="preserve"> </w:t>
      </w:r>
      <w:r>
        <w:rPr>
          <w:sz w:val="20"/>
          <w:szCs w:val="20"/>
        </w:rPr>
        <w:t>In this regard, t</w:t>
      </w:r>
      <w:r w:rsidR="00D51199">
        <w:rPr>
          <w:sz w:val="20"/>
          <w:szCs w:val="20"/>
        </w:rPr>
        <w:t xml:space="preserve">he Company plans to hold a Special Stockholders meeting on January 16, 2024 for the purpose of seeking stockholder approval for such </w:t>
      </w:r>
      <w:proofErr w:type="gramStart"/>
      <w:r w:rsidR="00D51199">
        <w:rPr>
          <w:sz w:val="20"/>
          <w:szCs w:val="20"/>
        </w:rPr>
        <w:t>reverse</w:t>
      </w:r>
      <w:proofErr w:type="gramEnd"/>
      <w:r w:rsidR="00D51199">
        <w:rPr>
          <w:sz w:val="20"/>
          <w:szCs w:val="20"/>
        </w:rPr>
        <w:t xml:space="preserve"> stock split.</w:t>
      </w:r>
    </w:p>
    <w:p w14:paraId="2A7A5328" w14:textId="77777777" w:rsidR="00914FA8" w:rsidRDefault="00914FA8" w:rsidP="00037B68">
      <w:pPr>
        <w:ind w:left="180" w:right="144"/>
        <w:jc w:val="both"/>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8D7E3A" w14:paraId="188F57B2" w14:textId="77777777" w:rsidTr="008D7E3A">
        <w:tc>
          <w:tcPr>
            <w:tcW w:w="1260" w:type="dxa"/>
            <w:tcMar>
              <w:top w:w="5" w:type="dxa"/>
              <w:left w:w="5" w:type="dxa"/>
              <w:bottom w:w="5" w:type="dxa"/>
              <w:right w:w="5" w:type="dxa"/>
            </w:tcMar>
            <w:hideMark/>
          </w:tcPr>
          <w:p w14:paraId="3842769B" w14:textId="77777777" w:rsidR="008D7E3A" w:rsidRDefault="008D7E3A">
            <w:pPr>
              <w:rPr>
                <w:color w:val="000000"/>
                <w:sz w:val="20"/>
                <w:szCs w:val="20"/>
              </w:rPr>
            </w:pPr>
            <w:r>
              <w:rPr>
                <w:b/>
                <w:bCs/>
                <w:color w:val="000000"/>
                <w:sz w:val="20"/>
                <w:szCs w:val="20"/>
              </w:rPr>
              <w:t xml:space="preserve">Item 9.01 </w:t>
            </w:r>
          </w:p>
        </w:tc>
        <w:tc>
          <w:tcPr>
            <w:tcW w:w="0" w:type="auto"/>
            <w:tcMar>
              <w:top w:w="5" w:type="dxa"/>
              <w:left w:w="5" w:type="dxa"/>
              <w:bottom w:w="5" w:type="dxa"/>
              <w:right w:w="5" w:type="dxa"/>
            </w:tcMar>
            <w:hideMark/>
          </w:tcPr>
          <w:p w14:paraId="68CCEC3A" w14:textId="77777777" w:rsidR="008D7E3A" w:rsidRDefault="008D7E3A">
            <w:pPr>
              <w:rPr>
                <w:color w:val="000000"/>
                <w:sz w:val="20"/>
                <w:szCs w:val="20"/>
              </w:rPr>
            </w:pPr>
            <w:r>
              <w:rPr>
                <w:b/>
                <w:bCs/>
                <w:color w:val="000000"/>
                <w:sz w:val="20"/>
                <w:szCs w:val="20"/>
              </w:rPr>
              <w:t>Financial Statements and Exhibits.</w:t>
            </w:r>
          </w:p>
        </w:tc>
      </w:tr>
    </w:tbl>
    <w:p w14:paraId="4E240D59" w14:textId="77777777" w:rsidR="008D7E3A" w:rsidRDefault="008D7E3A" w:rsidP="008D7E3A">
      <w:pPr>
        <w:ind w:left="144" w:right="144"/>
        <w:rPr>
          <w:sz w:val="20"/>
          <w:szCs w:val="20"/>
        </w:rPr>
      </w:pPr>
      <w:r>
        <w:rPr>
          <w:b/>
          <w:bCs/>
          <w:sz w:val="20"/>
          <w:szCs w:val="20"/>
        </w:rPr>
        <w:t> </w:t>
      </w:r>
    </w:p>
    <w:p w14:paraId="5820E653" w14:textId="77777777" w:rsidR="008D7E3A" w:rsidRDefault="008D7E3A" w:rsidP="008D7E3A">
      <w:pPr>
        <w:ind w:left="144" w:right="144"/>
        <w:rPr>
          <w:sz w:val="20"/>
          <w:szCs w:val="20"/>
        </w:rPr>
      </w:pPr>
      <w:r>
        <w:rPr>
          <w:sz w:val="20"/>
          <w:szCs w:val="20"/>
        </w:rPr>
        <w:t>(d)     Exhibits</w:t>
      </w:r>
    </w:p>
    <w:tbl>
      <w:tblPr>
        <w:tblW w:w="5000" w:type="pct"/>
        <w:tblInd w:w="149" w:type="dxa"/>
        <w:tblCellMar>
          <w:left w:w="0" w:type="dxa"/>
          <w:right w:w="0" w:type="dxa"/>
        </w:tblCellMar>
        <w:tblLook w:val="04A0" w:firstRow="1" w:lastRow="0" w:firstColumn="1" w:lastColumn="0" w:noHBand="0" w:noVBand="1"/>
      </w:tblPr>
      <w:tblGrid>
        <w:gridCol w:w="1296"/>
        <w:gridCol w:w="9504"/>
      </w:tblGrid>
      <w:tr w:rsidR="008D7E3A" w14:paraId="30A37310" w14:textId="77777777" w:rsidTr="008D7E3A">
        <w:tc>
          <w:tcPr>
            <w:tcW w:w="600" w:type="pct"/>
            <w:tcMar>
              <w:top w:w="5" w:type="dxa"/>
              <w:left w:w="5" w:type="dxa"/>
              <w:bottom w:w="5" w:type="dxa"/>
              <w:right w:w="5" w:type="dxa"/>
            </w:tcMar>
            <w:hideMark/>
          </w:tcPr>
          <w:p w14:paraId="49316493" w14:textId="762331DA" w:rsidR="008D7E3A" w:rsidRDefault="008D7E3A">
            <w:pPr>
              <w:ind w:left="180"/>
              <w:rPr>
                <w:color w:val="000000"/>
                <w:sz w:val="20"/>
                <w:szCs w:val="20"/>
              </w:rPr>
            </w:pPr>
            <w:r>
              <w:rPr>
                <w:sz w:val="20"/>
                <w:szCs w:val="20"/>
              </w:rPr>
              <w:t> </w:t>
            </w:r>
            <w:r>
              <w:rPr>
                <w:color w:val="000000"/>
                <w:sz w:val="20"/>
                <w:szCs w:val="20"/>
                <w:u w:val="single" w:color="000000"/>
              </w:rPr>
              <w:t>Exhibit No.</w:t>
            </w:r>
          </w:p>
        </w:tc>
        <w:tc>
          <w:tcPr>
            <w:tcW w:w="4400" w:type="pct"/>
            <w:tcMar>
              <w:top w:w="5" w:type="dxa"/>
              <w:left w:w="5" w:type="dxa"/>
              <w:bottom w:w="5" w:type="dxa"/>
              <w:right w:w="5" w:type="dxa"/>
            </w:tcMar>
            <w:hideMark/>
          </w:tcPr>
          <w:p w14:paraId="06EC41C2" w14:textId="77777777" w:rsidR="008D7E3A" w:rsidRDefault="008D7E3A">
            <w:pPr>
              <w:rPr>
                <w:color w:val="000000"/>
                <w:sz w:val="20"/>
                <w:szCs w:val="20"/>
              </w:rPr>
            </w:pPr>
            <w:r>
              <w:rPr>
                <w:color w:val="000000"/>
                <w:sz w:val="20"/>
                <w:szCs w:val="20"/>
                <w:u w:val="single" w:color="000000"/>
              </w:rPr>
              <w:t>Description</w:t>
            </w:r>
          </w:p>
        </w:tc>
      </w:tr>
      <w:tr w:rsidR="00587D9F" w14:paraId="2D4C5F1F" w14:textId="77777777" w:rsidTr="008D7E3A">
        <w:tc>
          <w:tcPr>
            <w:tcW w:w="600" w:type="pct"/>
            <w:tcMar>
              <w:top w:w="5" w:type="dxa"/>
              <w:left w:w="5" w:type="dxa"/>
              <w:bottom w:w="5" w:type="dxa"/>
              <w:right w:w="5" w:type="dxa"/>
            </w:tcMar>
          </w:tcPr>
          <w:p w14:paraId="21AF7946" w14:textId="40C001CF" w:rsidR="00587D9F" w:rsidRDefault="00587D9F" w:rsidP="00587D9F">
            <w:pPr>
              <w:ind w:left="180"/>
              <w:rPr>
                <w:sz w:val="20"/>
                <w:szCs w:val="20"/>
              </w:rPr>
            </w:pPr>
            <w:r>
              <w:rPr>
                <w:sz w:val="20"/>
                <w:szCs w:val="20"/>
              </w:rPr>
              <w:t>104</w:t>
            </w:r>
          </w:p>
        </w:tc>
        <w:tc>
          <w:tcPr>
            <w:tcW w:w="4400" w:type="pct"/>
            <w:tcMar>
              <w:top w:w="5" w:type="dxa"/>
              <w:left w:w="5" w:type="dxa"/>
              <w:bottom w:w="5" w:type="dxa"/>
              <w:right w:w="5" w:type="dxa"/>
            </w:tcMar>
          </w:tcPr>
          <w:p w14:paraId="63CC3CFB" w14:textId="2202E4C3" w:rsidR="00587D9F" w:rsidRDefault="00587D9F" w:rsidP="00587D9F">
            <w:pPr>
              <w:rPr>
                <w:sz w:val="20"/>
                <w:szCs w:val="20"/>
              </w:rPr>
            </w:pPr>
            <w:r w:rsidRPr="00A7711D">
              <w:rPr>
                <w:sz w:val="20"/>
                <w:szCs w:val="20"/>
              </w:rPr>
              <w:t>Cover Page Interactive Data File (embedded within the Inline XBRL document)</w:t>
            </w:r>
          </w:p>
        </w:tc>
      </w:tr>
    </w:tbl>
    <w:p w14:paraId="3B0F25FB" w14:textId="77777777" w:rsidR="00BB7014" w:rsidRDefault="00BB7014" w:rsidP="008D7E3A">
      <w:pPr>
        <w:ind w:left="144" w:right="144"/>
        <w:jc w:val="center"/>
        <w:rPr>
          <w:b/>
          <w:bCs/>
          <w:sz w:val="20"/>
          <w:szCs w:val="20"/>
        </w:rPr>
      </w:pPr>
    </w:p>
    <w:p w14:paraId="21C94549" w14:textId="77777777" w:rsidR="00BB7014" w:rsidRDefault="00BB7014" w:rsidP="008D7E3A">
      <w:pPr>
        <w:ind w:left="144" w:right="144"/>
        <w:jc w:val="center"/>
        <w:rPr>
          <w:b/>
          <w:bCs/>
          <w:sz w:val="20"/>
          <w:szCs w:val="20"/>
        </w:rPr>
      </w:pPr>
    </w:p>
    <w:p w14:paraId="11D34B34" w14:textId="77777777" w:rsidR="00BB7014" w:rsidRDefault="00BB7014" w:rsidP="008D7E3A">
      <w:pPr>
        <w:ind w:left="144" w:right="144"/>
        <w:jc w:val="center"/>
        <w:rPr>
          <w:b/>
          <w:bCs/>
          <w:sz w:val="20"/>
          <w:szCs w:val="20"/>
        </w:rPr>
      </w:pPr>
    </w:p>
    <w:p w14:paraId="7154307C" w14:textId="77777777" w:rsidR="00BB7014" w:rsidRDefault="00BB7014" w:rsidP="008D7E3A">
      <w:pPr>
        <w:ind w:left="144" w:right="144"/>
        <w:jc w:val="center"/>
        <w:rPr>
          <w:b/>
          <w:bCs/>
          <w:sz w:val="20"/>
          <w:szCs w:val="20"/>
        </w:rPr>
      </w:pPr>
    </w:p>
    <w:p w14:paraId="637EFEC5" w14:textId="11370499" w:rsidR="00C36B57" w:rsidRDefault="00C36B57">
      <w:pPr>
        <w:rPr>
          <w:b/>
          <w:bCs/>
          <w:sz w:val="20"/>
          <w:szCs w:val="20"/>
        </w:rPr>
      </w:pPr>
      <w:r>
        <w:rPr>
          <w:b/>
          <w:bCs/>
          <w:sz w:val="20"/>
          <w:szCs w:val="20"/>
        </w:rPr>
        <w:br w:type="page"/>
      </w:r>
    </w:p>
    <w:p w14:paraId="7F943D3B" w14:textId="4471F98A" w:rsidR="008D7E3A" w:rsidRDefault="008D7E3A" w:rsidP="008D7E3A">
      <w:pPr>
        <w:ind w:left="144" w:right="144"/>
        <w:jc w:val="center"/>
        <w:rPr>
          <w:sz w:val="20"/>
          <w:szCs w:val="20"/>
        </w:rPr>
      </w:pPr>
      <w:r>
        <w:rPr>
          <w:b/>
          <w:bCs/>
          <w:sz w:val="20"/>
          <w:szCs w:val="20"/>
        </w:rPr>
        <w:lastRenderedPageBreak/>
        <w:t>SIGNATURE</w:t>
      </w:r>
    </w:p>
    <w:p w14:paraId="74FE07D3" w14:textId="77777777" w:rsidR="008D7E3A" w:rsidRDefault="008D7E3A" w:rsidP="008D7E3A">
      <w:pPr>
        <w:ind w:left="144" w:right="144"/>
        <w:rPr>
          <w:sz w:val="20"/>
          <w:szCs w:val="20"/>
        </w:rPr>
      </w:pPr>
      <w:r>
        <w:rPr>
          <w:sz w:val="20"/>
          <w:szCs w:val="20"/>
        </w:rPr>
        <w:t> </w:t>
      </w:r>
    </w:p>
    <w:p w14:paraId="507F328C" w14:textId="77777777" w:rsidR="008D7E3A" w:rsidRDefault="008D7E3A" w:rsidP="008D7E3A">
      <w:pPr>
        <w:ind w:left="144" w:right="144"/>
        <w:rPr>
          <w:sz w:val="20"/>
          <w:szCs w:val="20"/>
        </w:rPr>
      </w:pPr>
      <w:r>
        <w:rPr>
          <w:sz w:val="20"/>
          <w:szCs w:val="20"/>
        </w:rPr>
        <w:t>Pursuant to the requirements of the Securities Exchange Act of 1934, the Registrant has duly caused this report to be signed on its behalf by the undersigned hereunto duly authorized.</w:t>
      </w:r>
    </w:p>
    <w:p w14:paraId="3AC2F94E" w14:textId="77777777" w:rsidR="008D7E3A" w:rsidRDefault="008D7E3A" w:rsidP="008D7E3A">
      <w:pPr>
        <w:ind w:left="144" w:right="144"/>
        <w:rPr>
          <w:sz w:val="20"/>
          <w:szCs w:val="20"/>
        </w:rPr>
      </w:pPr>
      <w:r>
        <w:rPr>
          <w:sz w:val="20"/>
          <w:szCs w:val="20"/>
        </w:rPr>
        <w:t> </w:t>
      </w:r>
    </w:p>
    <w:p w14:paraId="64E2F402" w14:textId="70979072" w:rsidR="008D7E3A" w:rsidRDefault="008D7E3A" w:rsidP="008D7E3A">
      <w:pPr>
        <w:ind w:left="144" w:right="144"/>
        <w:rPr>
          <w:sz w:val="20"/>
          <w:szCs w:val="20"/>
        </w:rPr>
      </w:pPr>
      <w:r>
        <w:rPr>
          <w:sz w:val="20"/>
          <w:szCs w:val="20"/>
        </w:rPr>
        <w:t xml:space="preserve">Date: </w:t>
      </w:r>
      <w:r w:rsidR="00037B68">
        <w:rPr>
          <w:sz w:val="20"/>
          <w:szCs w:val="20"/>
        </w:rPr>
        <w:t>December</w:t>
      </w:r>
      <w:r w:rsidR="009E2EA9">
        <w:rPr>
          <w:sz w:val="20"/>
          <w:szCs w:val="20"/>
        </w:rPr>
        <w:t xml:space="preserve"> </w:t>
      </w:r>
      <w:r w:rsidR="00643E11">
        <w:rPr>
          <w:sz w:val="20"/>
          <w:szCs w:val="20"/>
        </w:rPr>
        <w:t>8</w:t>
      </w:r>
      <w:r w:rsidR="007F74E8">
        <w:rPr>
          <w:sz w:val="20"/>
          <w:szCs w:val="20"/>
        </w:rPr>
        <w:t>, 202</w:t>
      </w:r>
      <w:r w:rsidR="00914FA8">
        <w:rPr>
          <w:sz w:val="20"/>
          <w:szCs w:val="20"/>
        </w:rPr>
        <w:t>3</w:t>
      </w:r>
    </w:p>
    <w:p w14:paraId="71B7E649"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0"/>
        <w:gridCol w:w="335"/>
        <w:gridCol w:w="3780"/>
        <w:gridCol w:w="1285"/>
      </w:tblGrid>
      <w:tr w:rsidR="008D7E3A" w14:paraId="30F84C9B" w14:textId="77777777" w:rsidTr="008D7E3A">
        <w:tc>
          <w:tcPr>
            <w:tcW w:w="2500" w:type="pct"/>
            <w:tcMar>
              <w:top w:w="5" w:type="dxa"/>
              <w:left w:w="5" w:type="dxa"/>
              <w:bottom w:w="5" w:type="dxa"/>
              <w:right w:w="5" w:type="dxa"/>
            </w:tcMar>
            <w:hideMark/>
          </w:tcPr>
          <w:p w14:paraId="370A7E7F"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28A3B145" w14:textId="77777777" w:rsidR="008D7E3A" w:rsidRDefault="008D7E3A">
            <w:pPr>
              <w:rPr>
                <w:color w:val="000000"/>
                <w:sz w:val="20"/>
                <w:szCs w:val="20"/>
              </w:rPr>
            </w:pPr>
            <w:r>
              <w:rPr>
                <w:color w:val="000000"/>
                <w:sz w:val="20"/>
                <w:szCs w:val="20"/>
              </w:rPr>
              <w:t>GEOVAX LABS, INC.</w:t>
            </w:r>
          </w:p>
        </w:tc>
        <w:tc>
          <w:tcPr>
            <w:tcW w:w="595" w:type="pct"/>
            <w:tcMar>
              <w:top w:w="5" w:type="dxa"/>
              <w:left w:w="5" w:type="dxa"/>
              <w:bottom w:w="5" w:type="dxa"/>
              <w:right w:w="5" w:type="dxa"/>
            </w:tcMar>
            <w:hideMark/>
          </w:tcPr>
          <w:p w14:paraId="2AD46375" w14:textId="77777777" w:rsidR="008D7E3A" w:rsidRDefault="008D7E3A">
            <w:pPr>
              <w:rPr>
                <w:color w:val="000000"/>
                <w:sz w:val="20"/>
                <w:szCs w:val="20"/>
              </w:rPr>
            </w:pPr>
            <w:r>
              <w:rPr>
                <w:color w:val="000000"/>
                <w:sz w:val="20"/>
                <w:szCs w:val="20"/>
              </w:rPr>
              <w:t> </w:t>
            </w:r>
          </w:p>
        </w:tc>
      </w:tr>
      <w:tr w:rsidR="008D7E3A" w14:paraId="3738A2D0" w14:textId="77777777" w:rsidTr="008D7E3A">
        <w:tc>
          <w:tcPr>
            <w:tcW w:w="2500" w:type="pct"/>
            <w:tcMar>
              <w:top w:w="5" w:type="dxa"/>
              <w:left w:w="5" w:type="dxa"/>
              <w:bottom w:w="5" w:type="dxa"/>
              <w:right w:w="5" w:type="dxa"/>
            </w:tcMar>
            <w:hideMark/>
          </w:tcPr>
          <w:p w14:paraId="409FACA0"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48AE598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3AE77D9" w14:textId="77777777" w:rsidR="008D7E3A" w:rsidRDefault="008D7E3A">
            <w:pPr>
              <w:rPr>
                <w:color w:val="000000"/>
                <w:sz w:val="20"/>
                <w:szCs w:val="20"/>
              </w:rPr>
            </w:pPr>
            <w:r>
              <w:rPr>
                <w:color w:val="000000"/>
                <w:sz w:val="20"/>
                <w:szCs w:val="20"/>
              </w:rPr>
              <w:t> </w:t>
            </w:r>
          </w:p>
        </w:tc>
      </w:tr>
      <w:tr w:rsidR="008D7E3A" w14:paraId="4F849B23" w14:textId="77777777" w:rsidTr="008D7E3A">
        <w:tc>
          <w:tcPr>
            <w:tcW w:w="2500" w:type="pct"/>
            <w:tcMar>
              <w:top w:w="5" w:type="dxa"/>
              <w:left w:w="5" w:type="dxa"/>
              <w:bottom w:w="5" w:type="dxa"/>
              <w:right w:w="5" w:type="dxa"/>
            </w:tcMar>
            <w:hideMark/>
          </w:tcPr>
          <w:p w14:paraId="12CADD62"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0B9BA796"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D78D4B2" w14:textId="77777777" w:rsidR="008D7E3A" w:rsidRDefault="008D7E3A">
            <w:pPr>
              <w:rPr>
                <w:color w:val="000000"/>
                <w:sz w:val="20"/>
                <w:szCs w:val="20"/>
              </w:rPr>
            </w:pPr>
            <w:r>
              <w:rPr>
                <w:color w:val="000000"/>
                <w:sz w:val="20"/>
                <w:szCs w:val="20"/>
              </w:rPr>
              <w:t> </w:t>
            </w:r>
          </w:p>
        </w:tc>
      </w:tr>
      <w:tr w:rsidR="008D7E3A" w14:paraId="04C3C72F" w14:textId="77777777" w:rsidTr="008D7E3A">
        <w:tc>
          <w:tcPr>
            <w:tcW w:w="2500" w:type="pct"/>
            <w:tcMar>
              <w:top w:w="5" w:type="dxa"/>
              <w:left w:w="5" w:type="dxa"/>
              <w:bottom w:w="5" w:type="dxa"/>
              <w:right w:w="5" w:type="dxa"/>
            </w:tcMar>
            <w:hideMark/>
          </w:tcPr>
          <w:p w14:paraId="2D406BE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B783CC2" w14:textId="77777777" w:rsidR="008D7E3A" w:rsidRDefault="008D7E3A">
            <w:pPr>
              <w:rPr>
                <w:color w:val="000000"/>
                <w:sz w:val="20"/>
                <w:szCs w:val="20"/>
              </w:rPr>
            </w:pPr>
            <w:r>
              <w:rPr>
                <w:color w:val="000000"/>
                <w:sz w:val="20"/>
                <w:szCs w:val="20"/>
              </w:rPr>
              <w:t>By:</w:t>
            </w:r>
          </w:p>
        </w:tc>
        <w:tc>
          <w:tcPr>
            <w:tcW w:w="1750" w:type="pct"/>
            <w:tcBorders>
              <w:top w:val="nil"/>
              <w:left w:val="nil"/>
              <w:bottom w:val="single" w:sz="6" w:space="0" w:color="000000"/>
              <w:right w:val="nil"/>
            </w:tcBorders>
            <w:tcMar>
              <w:top w:w="5" w:type="dxa"/>
              <w:left w:w="5" w:type="dxa"/>
              <w:bottom w:w="8" w:type="dxa"/>
              <w:right w:w="5" w:type="dxa"/>
            </w:tcMar>
            <w:hideMark/>
          </w:tcPr>
          <w:p w14:paraId="6EBFAF06" w14:textId="53D46959" w:rsidR="008D7E3A" w:rsidRDefault="002A1A41">
            <w:pPr>
              <w:rPr>
                <w:color w:val="000000"/>
                <w:sz w:val="20"/>
                <w:szCs w:val="20"/>
              </w:rPr>
            </w:pPr>
            <w:r>
              <w:rPr>
                <w:color w:val="000000"/>
                <w:sz w:val="20"/>
                <w:szCs w:val="20"/>
              </w:rPr>
              <w:t>/s/ Mark W. Reynolds</w:t>
            </w:r>
          </w:p>
        </w:tc>
        <w:tc>
          <w:tcPr>
            <w:tcW w:w="595" w:type="pct"/>
            <w:tcMar>
              <w:top w:w="5" w:type="dxa"/>
              <w:left w:w="5" w:type="dxa"/>
              <w:bottom w:w="5" w:type="dxa"/>
              <w:right w:w="5" w:type="dxa"/>
            </w:tcMar>
            <w:hideMark/>
          </w:tcPr>
          <w:p w14:paraId="4AAA5D22" w14:textId="77777777" w:rsidR="008D7E3A" w:rsidRDefault="008D7E3A">
            <w:pPr>
              <w:rPr>
                <w:color w:val="000000"/>
                <w:sz w:val="20"/>
                <w:szCs w:val="20"/>
              </w:rPr>
            </w:pPr>
            <w:r>
              <w:rPr>
                <w:color w:val="000000"/>
                <w:sz w:val="20"/>
                <w:szCs w:val="20"/>
              </w:rPr>
              <w:t> </w:t>
            </w:r>
          </w:p>
        </w:tc>
      </w:tr>
      <w:tr w:rsidR="008D7E3A" w14:paraId="70400E79" w14:textId="77777777" w:rsidTr="008D7E3A">
        <w:tc>
          <w:tcPr>
            <w:tcW w:w="2500" w:type="pct"/>
            <w:tcMar>
              <w:top w:w="5" w:type="dxa"/>
              <w:left w:w="5" w:type="dxa"/>
              <w:bottom w:w="5" w:type="dxa"/>
              <w:right w:w="5" w:type="dxa"/>
            </w:tcMar>
            <w:hideMark/>
          </w:tcPr>
          <w:p w14:paraId="65BD03C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F46E1DB"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vAlign w:val="bottom"/>
            <w:hideMark/>
          </w:tcPr>
          <w:p w14:paraId="7D534BFF" w14:textId="77777777" w:rsidR="008D7E3A" w:rsidRDefault="008D7E3A">
            <w:pPr>
              <w:rPr>
                <w:color w:val="000000"/>
                <w:sz w:val="20"/>
                <w:szCs w:val="20"/>
              </w:rPr>
            </w:pPr>
            <w:r>
              <w:rPr>
                <w:color w:val="000000"/>
                <w:sz w:val="20"/>
                <w:szCs w:val="20"/>
              </w:rPr>
              <w:t>Mark W. Reynolds</w:t>
            </w:r>
          </w:p>
        </w:tc>
        <w:tc>
          <w:tcPr>
            <w:tcW w:w="595" w:type="pct"/>
            <w:tcMar>
              <w:top w:w="5" w:type="dxa"/>
              <w:left w:w="5" w:type="dxa"/>
              <w:bottom w:w="5" w:type="dxa"/>
              <w:right w:w="5" w:type="dxa"/>
            </w:tcMar>
            <w:hideMark/>
          </w:tcPr>
          <w:p w14:paraId="7F9773BD" w14:textId="77777777" w:rsidR="008D7E3A" w:rsidRDefault="008D7E3A">
            <w:pPr>
              <w:rPr>
                <w:color w:val="000000"/>
                <w:sz w:val="20"/>
                <w:szCs w:val="20"/>
              </w:rPr>
            </w:pPr>
            <w:r>
              <w:rPr>
                <w:color w:val="000000"/>
                <w:sz w:val="20"/>
                <w:szCs w:val="20"/>
              </w:rPr>
              <w:t> </w:t>
            </w:r>
          </w:p>
        </w:tc>
      </w:tr>
      <w:tr w:rsidR="008D7E3A" w14:paraId="1A236024" w14:textId="77777777" w:rsidTr="008D7E3A">
        <w:tc>
          <w:tcPr>
            <w:tcW w:w="2500" w:type="pct"/>
            <w:tcMar>
              <w:top w:w="5" w:type="dxa"/>
              <w:left w:w="5" w:type="dxa"/>
              <w:bottom w:w="5" w:type="dxa"/>
              <w:right w:w="5" w:type="dxa"/>
            </w:tcMar>
            <w:hideMark/>
          </w:tcPr>
          <w:p w14:paraId="647818B0"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E5804F5"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41C30FDC" w14:textId="77777777" w:rsidR="008D7E3A" w:rsidRDefault="008D7E3A">
            <w:pPr>
              <w:rPr>
                <w:color w:val="000000"/>
                <w:sz w:val="20"/>
                <w:szCs w:val="20"/>
              </w:rPr>
            </w:pPr>
            <w:r>
              <w:rPr>
                <w:color w:val="000000"/>
                <w:sz w:val="20"/>
                <w:szCs w:val="20"/>
              </w:rPr>
              <w:t>Chief Financial Officer</w:t>
            </w:r>
          </w:p>
        </w:tc>
        <w:tc>
          <w:tcPr>
            <w:tcW w:w="595" w:type="pct"/>
            <w:tcMar>
              <w:top w:w="5" w:type="dxa"/>
              <w:left w:w="5" w:type="dxa"/>
              <w:bottom w:w="5" w:type="dxa"/>
              <w:right w:w="5" w:type="dxa"/>
            </w:tcMar>
            <w:hideMark/>
          </w:tcPr>
          <w:p w14:paraId="73443147" w14:textId="77777777" w:rsidR="008D7E3A" w:rsidRDefault="008D7E3A">
            <w:pPr>
              <w:rPr>
                <w:color w:val="000000"/>
                <w:sz w:val="20"/>
                <w:szCs w:val="20"/>
              </w:rPr>
            </w:pPr>
            <w:r>
              <w:rPr>
                <w:color w:val="000000"/>
                <w:sz w:val="20"/>
                <w:szCs w:val="20"/>
              </w:rPr>
              <w:t> </w:t>
            </w:r>
          </w:p>
        </w:tc>
      </w:tr>
      <w:tr w:rsidR="008D7E3A" w14:paraId="0ED9B5DF" w14:textId="77777777" w:rsidTr="008D7E3A">
        <w:tc>
          <w:tcPr>
            <w:tcW w:w="2500" w:type="pct"/>
            <w:tcMar>
              <w:top w:w="5" w:type="dxa"/>
              <w:left w:w="5" w:type="dxa"/>
              <w:bottom w:w="5" w:type="dxa"/>
              <w:right w:w="5" w:type="dxa"/>
            </w:tcMar>
            <w:hideMark/>
          </w:tcPr>
          <w:p w14:paraId="5A2BF58E"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378366E"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15CCFEB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74557E43" w14:textId="77777777" w:rsidR="008D7E3A" w:rsidRDefault="008D7E3A">
            <w:pPr>
              <w:rPr>
                <w:color w:val="000000"/>
                <w:sz w:val="20"/>
                <w:szCs w:val="20"/>
              </w:rPr>
            </w:pPr>
            <w:r>
              <w:rPr>
                <w:color w:val="000000"/>
                <w:sz w:val="20"/>
                <w:szCs w:val="20"/>
              </w:rPr>
              <w:t> </w:t>
            </w:r>
          </w:p>
        </w:tc>
      </w:tr>
    </w:tbl>
    <w:p w14:paraId="5122E448" w14:textId="77777777" w:rsidR="008D7E3A" w:rsidRDefault="008D7E3A" w:rsidP="008D7E3A">
      <w:pPr>
        <w:ind w:left="144" w:right="144"/>
        <w:rPr>
          <w:sz w:val="20"/>
          <w:szCs w:val="20"/>
        </w:rPr>
      </w:pPr>
    </w:p>
    <w:p w14:paraId="2B519A86" w14:textId="2381A9CF" w:rsidR="004B3179" w:rsidRPr="008D7E3A" w:rsidRDefault="004B3179" w:rsidP="008D7E3A"/>
    <w:sectPr w:rsidR="004B3179" w:rsidRPr="008D7E3A">
      <w:footerReference w:type="default" r:id="rId8"/>
      <w:pgSz w:w="12240" w:h="15840"/>
      <w:pgMar w:top="576" w:right="720" w:bottom="576" w:left="720" w:header="144"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C0341" w14:textId="77777777" w:rsidR="00903C34" w:rsidRDefault="00903C34" w:rsidP="004422FB">
      <w:r>
        <w:separator/>
      </w:r>
    </w:p>
  </w:endnote>
  <w:endnote w:type="continuationSeparator" w:id="0">
    <w:p w14:paraId="522E5B45" w14:textId="77777777" w:rsidR="00903C34" w:rsidRDefault="00903C34" w:rsidP="004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9915" w14:textId="0965AE6D" w:rsidR="004422FB" w:rsidRDefault="00A7489D" w:rsidP="00A7489D">
    <w:pPr>
      <w:pStyle w:val="Footer"/>
      <w:jc w:val="center"/>
    </w:pPr>
    <w:r>
      <w:fldChar w:fldCharType="begin"/>
    </w:r>
    <w:r>
      <w:instrText xml:space="preserve"> PAGE   \* MERGEFORMAT </w:instrText>
    </w:r>
    <w:r>
      <w:fldChar w:fldCharType="separate"/>
    </w:r>
    <w:r w:rsidR="00F51C02">
      <w:rPr>
        <w:noProof/>
      </w:rPr>
      <w:t>4</w:t>
    </w:r>
    <w:r>
      <w:rPr>
        <w:noProof/>
      </w:rPr>
      <w:fldChar w:fldCharType="end"/>
    </w:r>
  </w:p>
  <w:p w14:paraId="22F65163" w14:textId="77777777" w:rsidR="008A5F28" w:rsidRDefault="008A5F28" w:rsidP="004422FB">
    <w:pPr>
      <w:pStyle w:val="Footer"/>
    </w:pPr>
  </w:p>
  <w:p w14:paraId="00D1A497" w14:textId="1D4A7FB1" w:rsidR="004422FB" w:rsidRDefault="004422FB" w:rsidP="008A5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DD01B" w14:textId="77777777" w:rsidR="00903C34" w:rsidRDefault="00903C34" w:rsidP="004422FB">
      <w:r>
        <w:separator/>
      </w:r>
    </w:p>
  </w:footnote>
  <w:footnote w:type="continuationSeparator" w:id="0">
    <w:p w14:paraId="0B496D16" w14:textId="77777777" w:rsidR="00903C34" w:rsidRDefault="00903C34" w:rsidP="00442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23EF7"/>
    <w:multiLevelType w:val="hybridMultilevel"/>
    <w:tmpl w:val="0582C1DE"/>
    <w:lvl w:ilvl="0" w:tplc="BBF2C682">
      <w:start w:val="10"/>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6DA94E45"/>
    <w:multiLevelType w:val="hybridMultilevel"/>
    <w:tmpl w:val="B1E8AD8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9653127">
    <w:abstractNumId w:val="0"/>
  </w:num>
  <w:num w:numId="2" w16cid:durableId="1300569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s>
  <w:rsids>
    <w:rsidRoot w:val="004B3179"/>
    <w:rsid w:val="000039E8"/>
    <w:rsid w:val="00037B68"/>
    <w:rsid w:val="000520F7"/>
    <w:rsid w:val="000746B7"/>
    <w:rsid w:val="000850CC"/>
    <w:rsid w:val="000871C8"/>
    <w:rsid w:val="00087359"/>
    <w:rsid w:val="000949A2"/>
    <w:rsid w:val="00096511"/>
    <w:rsid w:val="000E6508"/>
    <w:rsid w:val="001139A5"/>
    <w:rsid w:val="0012601A"/>
    <w:rsid w:val="00134BBC"/>
    <w:rsid w:val="00172B54"/>
    <w:rsid w:val="0019489B"/>
    <w:rsid w:val="00196A86"/>
    <w:rsid w:val="001A0FE2"/>
    <w:rsid w:val="001A5BA8"/>
    <w:rsid w:val="001A687F"/>
    <w:rsid w:val="001B126A"/>
    <w:rsid w:val="001B3E38"/>
    <w:rsid w:val="001D3520"/>
    <w:rsid w:val="001E2AA8"/>
    <w:rsid w:val="002049D0"/>
    <w:rsid w:val="00246139"/>
    <w:rsid w:val="00277674"/>
    <w:rsid w:val="002832B4"/>
    <w:rsid w:val="00296BF7"/>
    <w:rsid w:val="002A1A41"/>
    <w:rsid w:val="002A45C0"/>
    <w:rsid w:val="002B5A3E"/>
    <w:rsid w:val="002C2032"/>
    <w:rsid w:val="002C4E4A"/>
    <w:rsid w:val="002D1821"/>
    <w:rsid w:val="002E60D1"/>
    <w:rsid w:val="00304DE8"/>
    <w:rsid w:val="00314FC4"/>
    <w:rsid w:val="00315CD1"/>
    <w:rsid w:val="00341E48"/>
    <w:rsid w:val="003454FA"/>
    <w:rsid w:val="0034645B"/>
    <w:rsid w:val="00362F3D"/>
    <w:rsid w:val="0036369E"/>
    <w:rsid w:val="00366C53"/>
    <w:rsid w:val="00376DEC"/>
    <w:rsid w:val="0037743D"/>
    <w:rsid w:val="003B04B9"/>
    <w:rsid w:val="003B670F"/>
    <w:rsid w:val="003E36C4"/>
    <w:rsid w:val="003F0C29"/>
    <w:rsid w:val="00401F33"/>
    <w:rsid w:val="004041FE"/>
    <w:rsid w:val="00404B0F"/>
    <w:rsid w:val="00407C5E"/>
    <w:rsid w:val="00415B30"/>
    <w:rsid w:val="00433AB7"/>
    <w:rsid w:val="0043642A"/>
    <w:rsid w:val="004422FB"/>
    <w:rsid w:val="00453E83"/>
    <w:rsid w:val="004562CE"/>
    <w:rsid w:val="00470CD3"/>
    <w:rsid w:val="004759D1"/>
    <w:rsid w:val="00476A7F"/>
    <w:rsid w:val="0048699E"/>
    <w:rsid w:val="00494777"/>
    <w:rsid w:val="004B3179"/>
    <w:rsid w:val="004C3768"/>
    <w:rsid w:val="004D191B"/>
    <w:rsid w:val="004D4E0A"/>
    <w:rsid w:val="004E6CB9"/>
    <w:rsid w:val="005108D6"/>
    <w:rsid w:val="00526107"/>
    <w:rsid w:val="005449BB"/>
    <w:rsid w:val="0054576E"/>
    <w:rsid w:val="00552D47"/>
    <w:rsid w:val="0055647C"/>
    <w:rsid w:val="005765ED"/>
    <w:rsid w:val="00583D37"/>
    <w:rsid w:val="00587D9F"/>
    <w:rsid w:val="005A12FB"/>
    <w:rsid w:val="005B311B"/>
    <w:rsid w:val="005B70A9"/>
    <w:rsid w:val="005F3C3F"/>
    <w:rsid w:val="00617074"/>
    <w:rsid w:val="00617423"/>
    <w:rsid w:val="00625417"/>
    <w:rsid w:val="00643E11"/>
    <w:rsid w:val="00651320"/>
    <w:rsid w:val="00652DCC"/>
    <w:rsid w:val="00654112"/>
    <w:rsid w:val="006704F6"/>
    <w:rsid w:val="00670AD9"/>
    <w:rsid w:val="00677F25"/>
    <w:rsid w:val="00691E45"/>
    <w:rsid w:val="006A30B4"/>
    <w:rsid w:val="006B4011"/>
    <w:rsid w:val="006C4831"/>
    <w:rsid w:val="006C673A"/>
    <w:rsid w:val="006E7AA3"/>
    <w:rsid w:val="006F2242"/>
    <w:rsid w:val="006F78DC"/>
    <w:rsid w:val="007150B5"/>
    <w:rsid w:val="00716A75"/>
    <w:rsid w:val="00732183"/>
    <w:rsid w:val="00734084"/>
    <w:rsid w:val="007578ED"/>
    <w:rsid w:val="00766EB9"/>
    <w:rsid w:val="00780E12"/>
    <w:rsid w:val="00797D8A"/>
    <w:rsid w:val="007B3B3E"/>
    <w:rsid w:val="007B5113"/>
    <w:rsid w:val="007C3C4A"/>
    <w:rsid w:val="007F4493"/>
    <w:rsid w:val="007F4C50"/>
    <w:rsid w:val="007F74E8"/>
    <w:rsid w:val="0082793A"/>
    <w:rsid w:val="00883B50"/>
    <w:rsid w:val="0089446A"/>
    <w:rsid w:val="008A5F28"/>
    <w:rsid w:val="008A7A20"/>
    <w:rsid w:val="008B66AE"/>
    <w:rsid w:val="008B71BC"/>
    <w:rsid w:val="008B7616"/>
    <w:rsid w:val="008C1C3D"/>
    <w:rsid w:val="008D3E76"/>
    <w:rsid w:val="008D7E3A"/>
    <w:rsid w:val="008E4E77"/>
    <w:rsid w:val="00903941"/>
    <w:rsid w:val="00903C34"/>
    <w:rsid w:val="00914FA8"/>
    <w:rsid w:val="00922B4A"/>
    <w:rsid w:val="00964940"/>
    <w:rsid w:val="0096668D"/>
    <w:rsid w:val="009B15B2"/>
    <w:rsid w:val="009C0519"/>
    <w:rsid w:val="009C0739"/>
    <w:rsid w:val="009E2EA9"/>
    <w:rsid w:val="009F16FD"/>
    <w:rsid w:val="009F32C7"/>
    <w:rsid w:val="009F58D1"/>
    <w:rsid w:val="009F7B30"/>
    <w:rsid w:val="00A213F5"/>
    <w:rsid w:val="00A44E68"/>
    <w:rsid w:val="00A518AC"/>
    <w:rsid w:val="00A641D3"/>
    <w:rsid w:val="00A66445"/>
    <w:rsid w:val="00A7343F"/>
    <w:rsid w:val="00A7489D"/>
    <w:rsid w:val="00A7711D"/>
    <w:rsid w:val="00A77550"/>
    <w:rsid w:val="00AA3D35"/>
    <w:rsid w:val="00AA5874"/>
    <w:rsid w:val="00AB0FB9"/>
    <w:rsid w:val="00AB6B8D"/>
    <w:rsid w:val="00B00A81"/>
    <w:rsid w:val="00B155CF"/>
    <w:rsid w:val="00B32B67"/>
    <w:rsid w:val="00B33DA4"/>
    <w:rsid w:val="00B44E7B"/>
    <w:rsid w:val="00B4616E"/>
    <w:rsid w:val="00B51502"/>
    <w:rsid w:val="00B55645"/>
    <w:rsid w:val="00B57F61"/>
    <w:rsid w:val="00B610FD"/>
    <w:rsid w:val="00B61191"/>
    <w:rsid w:val="00B84E5E"/>
    <w:rsid w:val="00BA446A"/>
    <w:rsid w:val="00BB362F"/>
    <w:rsid w:val="00BB7014"/>
    <w:rsid w:val="00BC6551"/>
    <w:rsid w:val="00BD31FD"/>
    <w:rsid w:val="00BE0F8F"/>
    <w:rsid w:val="00BF415F"/>
    <w:rsid w:val="00C36B57"/>
    <w:rsid w:val="00C524E3"/>
    <w:rsid w:val="00C53991"/>
    <w:rsid w:val="00C713DF"/>
    <w:rsid w:val="00C815CE"/>
    <w:rsid w:val="00C86B46"/>
    <w:rsid w:val="00CA70CD"/>
    <w:rsid w:val="00CB1EAA"/>
    <w:rsid w:val="00CB3D5C"/>
    <w:rsid w:val="00CC52F4"/>
    <w:rsid w:val="00CD0128"/>
    <w:rsid w:val="00CD55C2"/>
    <w:rsid w:val="00CE3919"/>
    <w:rsid w:val="00CF10FD"/>
    <w:rsid w:val="00D041E0"/>
    <w:rsid w:val="00D128D7"/>
    <w:rsid w:val="00D17971"/>
    <w:rsid w:val="00D215E7"/>
    <w:rsid w:val="00D51199"/>
    <w:rsid w:val="00D53F6F"/>
    <w:rsid w:val="00D60567"/>
    <w:rsid w:val="00D60ABA"/>
    <w:rsid w:val="00D95C48"/>
    <w:rsid w:val="00DE2079"/>
    <w:rsid w:val="00DE54BD"/>
    <w:rsid w:val="00DE728B"/>
    <w:rsid w:val="00DE7BBA"/>
    <w:rsid w:val="00DF2B44"/>
    <w:rsid w:val="00E115D3"/>
    <w:rsid w:val="00E13D7F"/>
    <w:rsid w:val="00E30F6C"/>
    <w:rsid w:val="00E31534"/>
    <w:rsid w:val="00E57AE0"/>
    <w:rsid w:val="00E633E7"/>
    <w:rsid w:val="00E77BC6"/>
    <w:rsid w:val="00E85DF7"/>
    <w:rsid w:val="00EB5CF9"/>
    <w:rsid w:val="00EB7A8A"/>
    <w:rsid w:val="00EC14ED"/>
    <w:rsid w:val="00EE3BF7"/>
    <w:rsid w:val="00EF5131"/>
    <w:rsid w:val="00F04F9F"/>
    <w:rsid w:val="00F073F4"/>
    <w:rsid w:val="00F100FC"/>
    <w:rsid w:val="00F10BB8"/>
    <w:rsid w:val="00F1148C"/>
    <w:rsid w:val="00F13A9C"/>
    <w:rsid w:val="00F2058C"/>
    <w:rsid w:val="00F2190E"/>
    <w:rsid w:val="00F23A64"/>
    <w:rsid w:val="00F27385"/>
    <w:rsid w:val="00F44F70"/>
    <w:rsid w:val="00F51C02"/>
    <w:rsid w:val="00F53643"/>
    <w:rsid w:val="00F56C32"/>
    <w:rsid w:val="00F57E97"/>
    <w:rsid w:val="00F65C64"/>
    <w:rsid w:val="00F737D0"/>
    <w:rsid w:val="00F92B94"/>
    <w:rsid w:val="00F9508E"/>
    <w:rsid w:val="00F958BB"/>
    <w:rsid w:val="00FC58B0"/>
    <w:rsid w:val="00FD1599"/>
    <w:rsid w:val="00FE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574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Table">
    <w:name w:val="finTable"/>
    <w:basedOn w:val="TableNormal"/>
    <w:tblPr/>
  </w:style>
  <w:style w:type="paragraph" w:styleId="BalloonText">
    <w:name w:val="Balloon Text"/>
    <w:basedOn w:val="Normal"/>
    <w:link w:val="BalloonTextChar"/>
    <w:uiPriority w:val="99"/>
    <w:semiHidden/>
    <w:unhideWhenUsed/>
    <w:rsid w:val="00766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B9"/>
    <w:rPr>
      <w:rFonts w:ascii="Segoe UI" w:hAnsi="Segoe UI" w:cs="Segoe UI"/>
      <w:sz w:val="18"/>
      <w:szCs w:val="18"/>
    </w:rPr>
  </w:style>
  <w:style w:type="paragraph" w:styleId="ListParagraph">
    <w:name w:val="List Paragraph"/>
    <w:basedOn w:val="Normal"/>
    <w:uiPriority w:val="34"/>
    <w:qFormat/>
    <w:rsid w:val="003B670F"/>
    <w:pPr>
      <w:ind w:left="720"/>
      <w:contextualSpacing/>
    </w:pPr>
  </w:style>
  <w:style w:type="character" w:styleId="Emphasis">
    <w:name w:val="Emphasis"/>
    <w:basedOn w:val="DefaultParagraphFont"/>
    <w:uiPriority w:val="20"/>
    <w:qFormat/>
    <w:rsid w:val="00CB1EAA"/>
    <w:rPr>
      <w:i/>
      <w:iCs/>
    </w:rPr>
  </w:style>
  <w:style w:type="table" w:styleId="TableGrid">
    <w:name w:val="Table Grid"/>
    <w:basedOn w:val="TableNormal"/>
    <w:uiPriority w:val="59"/>
    <w:rsid w:val="00D1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2FB"/>
    <w:pPr>
      <w:tabs>
        <w:tab w:val="center" w:pos="4680"/>
        <w:tab w:val="right" w:pos="9360"/>
      </w:tabs>
    </w:pPr>
  </w:style>
  <w:style w:type="character" w:customStyle="1" w:styleId="HeaderChar">
    <w:name w:val="Header Char"/>
    <w:basedOn w:val="DefaultParagraphFont"/>
    <w:link w:val="Header"/>
    <w:uiPriority w:val="99"/>
    <w:rsid w:val="004422FB"/>
    <w:rPr>
      <w:sz w:val="24"/>
      <w:szCs w:val="24"/>
    </w:rPr>
  </w:style>
  <w:style w:type="paragraph" w:styleId="Footer">
    <w:name w:val="footer"/>
    <w:basedOn w:val="Normal"/>
    <w:link w:val="FooterChar"/>
    <w:uiPriority w:val="99"/>
    <w:unhideWhenUsed/>
    <w:rsid w:val="004422FB"/>
    <w:pPr>
      <w:tabs>
        <w:tab w:val="center" w:pos="4680"/>
        <w:tab w:val="right" w:pos="9360"/>
      </w:tabs>
    </w:pPr>
  </w:style>
  <w:style w:type="character" w:customStyle="1" w:styleId="FooterChar">
    <w:name w:val="Footer Char"/>
    <w:basedOn w:val="DefaultParagraphFont"/>
    <w:link w:val="Footer"/>
    <w:uiPriority w:val="99"/>
    <w:rsid w:val="004422FB"/>
    <w:rPr>
      <w:sz w:val="24"/>
      <w:szCs w:val="24"/>
    </w:rPr>
  </w:style>
  <w:style w:type="character" w:styleId="Hyperlink">
    <w:name w:val="Hyperlink"/>
    <w:basedOn w:val="DefaultParagraphFont"/>
    <w:uiPriority w:val="99"/>
    <w:unhideWhenUsed/>
    <w:rsid w:val="00F100FC"/>
    <w:rPr>
      <w:color w:val="0563C1" w:themeColor="hyperlink"/>
      <w:u w:val="single"/>
    </w:rPr>
  </w:style>
  <w:style w:type="character" w:customStyle="1" w:styleId="UnresolvedMention1">
    <w:name w:val="Unresolved Mention1"/>
    <w:basedOn w:val="DefaultParagraphFont"/>
    <w:uiPriority w:val="99"/>
    <w:semiHidden/>
    <w:unhideWhenUsed/>
    <w:rsid w:val="00F100FC"/>
    <w:rPr>
      <w:color w:val="605E5C"/>
      <w:shd w:val="clear" w:color="auto" w:fill="E1DFDD"/>
    </w:rPr>
  </w:style>
  <w:style w:type="paragraph" w:styleId="FootnoteText">
    <w:name w:val="footnote text"/>
    <w:basedOn w:val="Normal"/>
    <w:link w:val="FootnoteTextChar"/>
    <w:uiPriority w:val="99"/>
    <w:semiHidden/>
    <w:unhideWhenUsed/>
    <w:rsid w:val="00C36B57"/>
    <w:rPr>
      <w:sz w:val="20"/>
      <w:szCs w:val="20"/>
    </w:rPr>
  </w:style>
  <w:style w:type="character" w:customStyle="1" w:styleId="FootnoteTextChar">
    <w:name w:val="Footnote Text Char"/>
    <w:basedOn w:val="DefaultParagraphFont"/>
    <w:link w:val="FootnoteText"/>
    <w:uiPriority w:val="99"/>
    <w:semiHidden/>
    <w:rsid w:val="00C36B57"/>
  </w:style>
  <w:style w:type="character" w:styleId="FootnoteReference">
    <w:name w:val="footnote reference"/>
    <w:basedOn w:val="DefaultParagraphFont"/>
    <w:uiPriority w:val="99"/>
    <w:semiHidden/>
    <w:unhideWhenUsed/>
    <w:rsid w:val="00C36B57"/>
    <w:rPr>
      <w:vertAlign w:val="superscript"/>
    </w:rPr>
  </w:style>
  <w:style w:type="character" w:styleId="CommentReference">
    <w:name w:val="annotation reference"/>
    <w:basedOn w:val="DefaultParagraphFont"/>
    <w:uiPriority w:val="99"/>
    <w:semiHidden/>
    <w:unhideWhenUsed/>
    <w:rsid w:val="00BA446A"/>
    <w:rPr>
      <w:sz w:val="16"/>
      <w:szCs w:val="16"/>
    </w:rPr>
  </w:style>
  <w:style w:type="paragraph" w:styleId="CommentText">
    <w:name w:val="annotation text"/>
    <w:basedOn w:val="Normal"/>
    <w:link w:val="CommentTextChar"/>
    <w:uiPriority w:val="99"/>
    <w:semiHidden/>
    <w:unhideWhenUsed/>
    <w:rsid w:val="00BA446A"/>
    <w:rPr>
      <w:sz w:val="20"/>
      <w:szCs w:val="20"/>
    </w:rPr>
  </w:style>
  <w:style w:type="character" w:customStyle="1" w:styleId="CommentTextChar">
    <w:name w:val="Comment Text Char"/>
    <w:basedOn w:val="DefaultParagraphFont"/>
    <w:link w:val="CommentText"/>
    <w:uiPriority w:val="99"/>
    <w:semiHidden/>
    <w:rsid w:val="00BA446A"/>
  </w:style>
  <w:style w:type="paragraph" w:styleId="CommentSubject">
    <w:name w:val="annotation subject"/>
    <w:basedOn w:val="CommentText"/>
    <w:next w:val="CommentText"/>
    <w:link w:val="CommentSubjectChar"/>
    <w:uiPriority w:val="99"/>
    <w:semiHidden/>
    <w:unhideWhenUsed/>
    <w:rsid w:val="00BA446A"/>
    <w:rPr>
      <w:b/>
      <w:bCs/>
    </w:rPr>
  </w:style>
  <w:style w:type="character" w:customStyle="1" w:styleId="CommentSubjectChar">
    <w:name w:val="Comment Subject Char"/>
    <w:basedOn w:val="CommentTextChar"/>
    <w:link w:val="CommentSubject"/>
    <w:uiPriority w:val="99"/>
    <w:semiHidden/>
    <w:rsid w:val="00BA446A"/>
    <w:rPr>
      <w:b/>
      <w:bCs/>
    </w:rPr>
  </w:style>
  <w:style w:type="paragraph" w:styleId="Revision">
    <w:name w:val="Revision"/>
    <w:hidden/>
    <w:uiPriority w:val="99"/>
    <w:semiHidden/>
    <w:rsid w:val="006F78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7731">
      <w:bodyDiv w:val="1"/>
      <w:marLeft w:val="0"/>
      <w:marRight w:val="0"/>
      <w:marTop w:val="0"/>
      <w:marBottom w:val="0"/>
      <w:divBdr>
        <w:top w:val="none" w:sz="0" w:space="0" w:color="auto"/>
        <w:left w:val="none" w:sz="0" w:space="0" w:color="auto"/>
        <w:bottom w:val="none" w:sz="0" w:space="0" w:color="auto"/>
        <w:right w:val="none" w:sz="0" w:space="0" w:color="auto"/>
      </w:divBdr>
    </w:div>
    <w:div w:id="268436622">
      <w:bodyDiv w:val="1"/>
      <w:marLeft w:val="0"/>
      <w:marRight w:val="0"/>
      <w:marTop w:val="0"/>
      <w:marBottom w:val="0"/>
      <w:divBdr>
        <w:top w:val="none" w:sz="0" w:space="0" w:color="auto"/>
        <w:left w:val="none" w:sz="0" w:space="0" w:color="auto"/>
        <w:bottom w:val="none" w:sz="0" w:space="0" w:color="auto"/>
        <w:right w:val="none" w:sz="0" w:space="0" w:color="auto"/>
      </w:divBdr>
    </w:div>
    <w:div w:id="594168058">
      <w:bodyDiv w:val="1"/>
      <w:marLeft w:val="0"/>
      <w:marRight w:val="0"/>
      <w:marTop w:val="0"/>
      <w:marBottom w:val="0"/>
      <w:divBdr>
        <w:top w:val="none" w:sz="0" w:space="0" w:color="auto"/>
        <w:left w:val="none" w:sz="0" w:space="0" w:color="auto"/>
        <w:bottom w:val="none" w:sz="0" w:space="0" w:color="auto"/>
        <w:right w:val="none" w:sz="0" w:space="0" w:color="auto"/>
      </w:divBdr>
    </w:div>
    <w:div w:id="608706091">
      <w:bodyDiv w:val="1"/>
      <w:marLeft w:val="0"/>
      <w:marRight w:val="0"/>
      <w:marTop w:val="0"/>
      <w:marBottom w:val="0"/>
      <w:divBdr>
        <w:top w:val="none" w:sz="0" w:space="0" w:color="auto"/>
        <w:left w:val="none" w:sz="0" w:space="0" w:color="auto"/>
        <w:bottom w:val="none" w:sz="0" w:space="0" w:color="auto"/>
        <w:right w:val="none" w:sz="0" w:space="0" w:color="auto"/>
      </w:divBdr>
    </w:div>
    <w:div w:id="1109154986">
      <w:bodyDiv w:val="1"/>
      <w:marLeft w:val="0"/>
      <w:marRight w:val="0"/>
      <w:marTop w:val="0"/>
      <w:marBottom w:val="0"/>
      <w:divBdr>
        <w:top w:val="none" w:sz="0" w:space="0" w:color="auto"/>
        <w:left w:val="none" w:sz="0" w:space="0" w:color="auto"/>
        <w:bottom w:val="none" w:sz="0" w:space="0" w:color="auto"/>
        <w:right w:val="none" w:sz="0" w:space="0" w:color="auto"/>
      </w:divBdr>
    </w:div>
    <w:div w:id="1323582938">
      <w:bodyDiv w:val="1"/>
      <w:marLeft w:val="0"/>
      <w:marRight w:val="0"/>
      <w:marTop w:val="0"/>
      <w:marBottom w:val="0"/>
      <w:divBdr>
        <w:top w:val="none" w:sz="0" w:space="0" w:color="auto"/>
        <w:left w:val="none" w:sz="0" w:space="0" w:color="auto"/>
        <w:bottom w:val="none" w:sz="0" w:space="0" w:color="auto"/>
        <w:right w:val="none" w:sz="0" w:space="0" w:color="auto"/>
      </w:divBdr>
    </w:div>
    <w:div w:id="1718511874">
      <w:bodyDiv w:val="1"/>
      <w:marLeft w:val="0"/>
      <w:marRight w:val="0"/>
      <w:marTop w:val="0"/>
      <w:marBottom w:val="0"/>
      <w:divBdr>
        <w:top w:val="none" w:sz="0" w:space="0" w:color="auto"/>
        <w:left w:val="none" w:sz="0" w:space="0" w:color="auto"/>
        <w:bottom w:val="none" w:sz="0" w:space="0" w:color="auto"/>
        <w:right w:val="none" w:sz="0" w:space="0" w:color="auto"/>
      </w:divBdr>
      <w:divsChild>
        <w:div w:id="1721703616">
          <w:marLeft w:val="144"/>
          <w:marRight w:val="144"/>
          <w:marTop w:val="60"/>
          <w:marBottom w:val="60"/>
          <w:divBdr>
            <w:top w:val="none" w:sz="0" w:space="0" w:color="auto"/>
            <w:left w:val="none" w:sz="0" w:space="0" w:color="auto"/>
            <w:bottom w:val="none" w:sz="0" w:space="0" w:color="auto"/>
            <w:right w:val="none" w:sz="0" w:space="0" w:color="auto"/>
          </w:divBdr>
        </w:div>
        <w:div w:id="89159179">
          <w:marLeft w:val="144"/>
          <w:marRight w:val="144"/>
          <w:marTop w:val="60"/>
          <w:marBottom w:val="60"/>
          <w:divBdr>
            <w:top w:val="none" w:sz="0" w:space="0" w:color="auto"/>
            <w:left w:val="none" w:sz="0" w:space="0" w:color="auto"/>
            <w:bottom w:val="none" w:sz="0" w:space="0" w:color="auto"/>
            <w:right w:val="none" w:sz="0" w:space="0" w:color="auto"/>
          </w:divBdr>
        </w:div>
      </w:divsChild>
    </w:div>
    <w:div w:id="1722556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51295-FE61-4BFB-9688-42763902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2023-12-06T20:47:00Z</dcterms:created>
  <dcterms:modified xsi:type="dcterms:W3CDTF">2023-12-08T22:11:00Z</dcterms:modified>
</cp:coreProperties>
</file>